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t>GlobalPharma</w:t>
      </w:r>
    </w:p>
    <w:p>
      <w:pPr>
        <w:pStyle w:val="Titel"/>
        <w:rPr>
          <w:lang w:val="en-GB"/>
        </w:rPr>
      </w:pPr>
      <w:r>
        <w:rPr>
          <w:lang w:val="en-GB"/>
        </w:rPr>
      </w:r>
    </w:p>
    <w:p>
      <w:pPr>
        <w:pStyle w:val="Titel"/>
        <w:rPr>
          <w:lang w:val="en-GB"/>
        </w:rPr>
      </w:pPr>
      <w:r>
        <w:rPr>
          <w:lang w:val="en-GB"/>
        </w:rPr>
        <w:t>ATTACHMENT 1-A</w:t>
      </w:r>
    </w:p>
    <w:p>
      <w:pPr>
        <w:pStyle w:val="Titel"/>
        <w:rPr>
          <w:lang w:val="en-GB"/>
        </w:rPr>
      </w:pPr>
      <w:r>
        <w:rPr>
          <w:lang w:val="en-GB"/>
        </w:rPr>
      </w:r>
    </w:p>
    <w:p>
      <w:pPr>
        <w:pStyle w:val="Titel"/>
        <w:rPr>
          <w:lang w:val="en-GB"/>
        </w:rPr>
      </w:pPr>
      <w:r>
        <w:rPr>
          <w:lang w:val="en-GB"/>
        </w:rPr>
        <w:t>COMMON TERMS AND ACRONYMS</w:t>
      </w:r>
    </w:p>
    <w:p>
      <w:pPr>
        <w:pStyle w:val="Subtitle"/>
        <w:jc w:val="center"/>
        <w:rPr>
          <w:lang w:val="en-GB"/>
        </w:rPr>
      </w:pPr>
      <w:r>
        <w:rPr>
          <w:lang w:val="en-GB"/>
        </w:rPr>
        <w:t>Attachment to Exhibit 1 (Definitions)</w:t>
      </w:r>
    </w:p>
    <w:p>
      <w:pPr>
        <w:pStyle w:val="Titel"/>
        <w:rPr>
          <w:lang w:val="en-GB"/>
        </w:rPr>
      </w:pPr>
      <w:r>
        <w:rPr>
          <w:lang w:val="en-GB"/>
        </w:rPr>
      </w:r>
    </w:p>
    <w:p>
      <w:pPr>
        <w:pStyle w:val="Titel"/>
        <w:rPr>
          <w:lang w:val="en-GB"/>
        </w:rPr>
      </w:pPr>
      <w:r>
        <w:rPr>
          <w:lang w:val="en-GB"/>
        </w:rPr>
      </w:r>
    </w:p>
    <w:tbl>
      <w:tblPr>
        <w:tblW w:w="10260" w:type="dxa"/>
        <w:jc w:val="center"/>
        <w:tblInd w:w="0"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lang w:val="en-GB"/>
              </w:rPr>
            </w:pPr>
            <w:r>
              <w:rPr>
                <w:lang w:val="en-GB"/>
              </w:rPr>
            </w:r>
          </w:p>
          <w:p>
            <w:pPr>
              <w:pStyle w:val="Normal"/>
              <w:jc w:val="center"/>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lang w:val="en-GB"/>
              </w:rPr>
            </w:pPr>
            <w:r>
              <w:rPr>
                <w:lang w:val="en-GB"/>
              </w:rPr>
            </w:r>
          </w:p>
        </w:tc>
      </w:tr>
    </w:tbl>
    <w:p>
      <w:pPr>
        <w:sectPr>
          <w:headerReference w:type="default" r:id="rId2"/>
          <w:footerReference w:type="default" r:id="rId3"/>
          <w:type w:val="nextPage"/>
          <w:pgSz w:orient="landscape" w:w="16838" w:h="11906"/>
          <w:pgMar w:left="720" w:right="1094" w:gutter="0" w:header="720" w:top="1728" w:footer="720" w:bottom="1728"/>
          <w:pgNumType w:fmt="decimal"/>
          <w:formProt w:val="false"/>
          <w:textDirection w:val="lrTb"/>
          <w:docGrid w:type="default" w:linePitch="360" w:charSpace="0"/>
        </w:sectPr>
        <w:pStyle w:val="Normal"/>
        <w:rPr>
          <w:lang w:val="en-GB"/>
        </w:rPr>
      </w:pPr>
      <w:r>
        <w:rPr>
          <w:lang w:val="en-GB"/>
        </w:rPr>
      </w:r>
    </w:p>
    <w:p>
      <w:pPr>
        <w:pStyle w:val="Heading1Numbered"/>
        <w:numPr>
          <w:ilvl w:val="0"/>
          <w:numId w:val="2"/>
        </w:numPr>
        <w:ind w:hanging="0" w:start="0"/>
        <w:rPr>
          <w:lang w:val="en-GB"/>
        </w:rPr>
      </w:pPr>
      <w:r>
        <w:rPr>
          <w:lang w:val="en-GB"/>
        </w:rPr>
        <w:t>Introduction</w:t>
      </w:r>
    </w:p>
    <w:p>
      <w:pPr>
        <w:pStyle w:val="BodyText"/>
        <w:rPr>
          <w:lang w:val="en-GB"/>
        </w:rPr>
      </w:pPr>
      <w:r>
        <w:rPr>
          <w:lang w:val="en-GB"/>
        </w:rPr>
        <w:t xml:space="preserve">This document contains common terms and acronyms that may be included in The Agreements, or are otherwise common terms in the IT and Business Process industry.  </w:t>
      </w:r>
    </w:p>
    <w:p>
      <w:pPr>
        <w:pStyle w:val="BodyText"/>
        <w:rPr>
          <w:i/>
          <w:i/>
          <w:iCs/>
          <w:lang w:val="en-GB"/>
        </w:rPr>
      </w:pPr>
      <w:r>
        <w:rPr>
          <w:i/>
          <w:iCs/>
          <w:lang w:val="en-GB"/>
        </w:rPr>
      </w:r>
    </w:p>
    <w:tbl>
      <w:tblPr>
        <w:tblW w:w="14615" w:type="dxa"/>
        <w:jc w:val="center"/>
        <w:tblInd w:w="0" w:type="dxa"/>
        <w:tblLayout w:type="fixed"/>
        <w:tblCellMar>
          <w:top w:w="0" w:type="dxa"/>
          <w:start w:w="108" w:type="dxa"/>
          <w:bottom w:w="0" w:type="dxa"/>
          <w:end w:w="108" w:type="dxa"/>
        </w:tblCellMar>
      </w:tblPr>
      <w:tblGrid>
        <w:gridCol w:w="4478"/>
        <w:gridCol w:w="10137"/>
      </w:tblGrid>
      <w:tr>
        <w:trPr>
          <w:tblHeader w:val="true"/>
        </w:trPr>
        <w:tc>
          <w:tcPr>
            <w:tcW w:w="4478" w:type="dxa"/>
            <w:tcBorders>
              <w:top w:val="single" w:sz="4" w:space="0" w:color="000000"/>
              <w:start w:val="single" w:sz="4" w:space="0" w:color="000000"/>
              <w:bottom w:val="single" w:sz="4" w:space="0" w:color="000000"/>
              <w:end w:val="single" w:sz="4" w:space="0" w:color="000000"/>
            </w:tcBorders>
          </w:tcPr>
          <w:p>
            <w:pPr>
              <w:pStyle w:val="HeadingTable"/>
              <w:spacing w:before="120" w:after="120"/>
              <w:rPr>
                <w:lang w:val="en-GB"/>
              </w:rPr>
            </w:pPr>
            <w:r>
              <w:rPr>
                <w:lang w:val="en-GB"/>
              </w:rPr>
              <w:t>Term / Acronym</w:t>
            </w:r>
          </w:p>
        </w:tc>
        <w:tc>
          <w:tcPr>
            <w:tcW w:w="10137" w:type="dxa"/>
            <w:tcBorders>
              <w:top w:val="single" w:sz="4" w:space="0" w:color="000000"/>
              <w:start w:val="single" w:sz="4" w:space="0" w:color="000000"/>
              <w:bottom w:val="single" w:sz="4" w:space="0" w:color="000000"/>
              <w:end w:val="single" w:sz="4" w:space="0" w:color="000000"/>
            </w:tcBorders>
          </w:tcPr>
          <w:p>
            <w:pPr>
              <w:pStyle w:val="HeadingTable"/>
              <w:spacing w:before="120" w:after="120"/>
              <w:rPr>
                <w:lang w:val="en-GB"/>
              </w:rPr>
            </w:pPr>
            <w:r>
              <w:rPr>
                <w:lang w:val="en-GB"/>
              </w:rPr>
              <w:t>General Meaning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24x7</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Means support provided as part of the Services during the time period 24 hours per day, 7 days per week.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ABEND(s)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ABnormal ENDing(s)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ACD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Automatic Call Director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ACF/NCP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Advanced Communications Function/Network Control Program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ACF/SSP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Advanced Communications Function/Systems Support Program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ADM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Application Development and Maintenance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ANSI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American National Standards Institute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Accounts Payable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Account Receivable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ARC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Additional Resource Charge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ATAW (Software)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Anytime Anywhere (software)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ATM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Asynchronous Transfer Mode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AVL</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Automatic Vehicle Location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BPO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Business Process Outsourcing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British Telecom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BW</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 Business Warehouse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Computer Aided Design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Common Air Interface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CC5</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Corporate Compliance Bullet 5</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CCTV</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Closed Circuit Television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CDR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Call Detail Reporting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CEO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Chief Executive Officer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CF</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Cross Functional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CFO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Chief Financial Officer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CICS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Customer Interface Control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CMM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Capability Maturity Model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CMS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Call Monitoring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 Controlling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CODEC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Coder/DECoder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Common Operating Environment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COPA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 Profitability Analysis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COTS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 xml:space="preserve">Commercial Off The Shelf </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CPO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GlobalPharma Country Pharma Organisation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CPU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Central Processing Unit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CRM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Customer Relationship Management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CSU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Channel Service Unit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CTCSS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Continuous Tone Controlled Squelch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CTI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Computer Telephony Integration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CWD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Contingent Workforce Deployment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DASD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Direct Access Storage Device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DB</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Defined Benefit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DBA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Database Administrator/Administration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DBMS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Database Management System </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Defined Contribution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DECnet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A network architecture that defines the operation of a family of software modules, databases, and hardware components typically used to tie Digital Equipment Corporation systems together for resource sharing, distributed computation, or remote system configuration. DECnet network implementations follow the Digital Network Architecture (DNA) model.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Direct Inward Dialling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DMZ</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Demilitarised Zone. In network security, a network that is isolated from, and serves as a neutral zone between, a trusted network (for example, a private intranet) and an untrusted network (for example, the Internet). One or more secure gateways usually control access to the DMZ from the trusted or the untrusted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DNS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Domain Name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DOB</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Date Of Birth</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DOE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Date Of Employment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DRP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Disaster Recovery Plan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DS3</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Digital Signal 3 (a digital signal with a data rate for this type of signal is 44.736 Mbit/s)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DSU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Data Service Unit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DTE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Data Terminal Equipment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EAP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Employee Assistance Program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EDI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 Data Interchange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EDM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Employee Data Management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EDSM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Enterprise Distributed Systems Management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EEO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Equal Employment Opportunity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EFT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 Fund Transfer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EMEA</w:t>
            </w:r>
          </w:p>
        </w:tc>
        <w:tc>
          <w:tcPr>
            <w:tcW w:w="10137"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Europe, Middle East and Africa</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Emulation Program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e-pro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 Procurement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ERAS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Enterprise Remote Access Services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e-RFX</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Electronic-Requisition For X (X can stand for: P for Proposal, I for Information, Q for Quotation)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highlight w:val="yellow"/>
                <w:lang w:val="en-GB"/>
              </w:rPr>
            </w:pPr>
            <w:r>
              <w:rPr>
                <w:lang w:val="en-GB"/>
              </w:rPr>
              <w:t>ERISA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highlight w:val="yellow"/>
                <w:lang w:val="en-GB"/>
              </w:rPr>
            </w:pPr>
            <w:r>
              <w:rPr>
                <w:lang w:val="en-GB"/>
              </w:rPr>
              <w:t>Employee Retirement Income Security Act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ERP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Enterprise Resource Planning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highlight w:val="yellow"/>
                <w:lang w:val="en-GB"/>
              </w:rPr>
            </w:pPr>
            <w:r>
              <w:rPr>
                <w:lang w:val="en-GB"/>
              </w:rPr>
              <w:t>EU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highlight w:val="yellow"/>
                <w:lang w:val="en-GB"/>
              </w:rPr>
            </w:pPr>
            <w:r>
              <w:rPr>
                <w:lang w:val="en-GB"/>
              </w:rPr>
              <w:t>European Union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lang w:val="en-GB"/>
              </w:rPr>
              <w:t>EUC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End User Computing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Fixed Assets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 &amp; 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Finance and Accounting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FAQ(s)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Frequently Asked Question(s)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FCRS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Financial Consolidation Reporting Systems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FDCPA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 </w:t>
            </w:r>
            <w:r>
              <w:rPr>
                <w:lang w:val="en-GB"/>
              </w:rPr>
              <w:t xml:space="preserve">Fair Debt Collection  Practices Act </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FDDI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Fibre Distributed Data Interface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FDMA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Frequency Division Multiple Access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 Finance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FMLA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
                <w:bCs/>
                <w:lang w:val="en-GB"/>
              </w:rPr>
            </w:pPr>
            <w:r>
              <w:rPr>
                <w:lang w:val="en-GB"/>
              </w:rPr>
              <w:t>Family Medical Leave Act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FTE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highlight w:val="yellow"/>
                <w:lang w:val="en-GB"/>
              </w:rPr>
            </w:pPr>
            <w:r>
              <w:rPr>
                <w:lang w:val="en-GB"/>
              </w:rPr>
              <w:t>Full Time Employee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FTP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File Transfer Protocol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FTP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Full Time Professional/Person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General Accounting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GAAP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Generally Accepted Accounting Principles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General Ledger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GLB</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Gramm-Leach-Bliely Act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GPS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 Positioning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GUI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Graphical User Interface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HIPPA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Health Insurance Portability and Accountability Act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Human Resources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HRIS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Human Resources Information Services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HRIT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Human Resources Information Technology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HVAC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Heating, ventilation, air conditioning systems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IAS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International Accounting Standards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IDOC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Intermediate Document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IEEE </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Institute of Electrical and Electronics Engineers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IETF</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Internet Engineering Task Force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IFRS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International Financial Reporting Standards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IMAC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Install, Move, Add, or Change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IMS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Information Management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Internet Protocol or Intellectual Property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IPSEC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Internet Protocol Security Protocol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IPX</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Internet Package Exchange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IRPD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Intelligent Routing Predictive Dialling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Information Services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ISDN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Integrated Services Digital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ISEC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Information Security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ISP(s)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Internet Service Provider(s)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Information Technology.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ITDN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International Trade Data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ITU-T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International Telecommunications Union – Telecommunications Standardization Sector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IVR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Interactive Voice Response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khz</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Kilohertz</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LAN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Local Area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LOC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Lines of Code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MAC(s)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Move, Add or Change (see IMAC)</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MB</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Megabyte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MDC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Mobile Data Communications is defined as a wireless data communications system that supports a broad range of personal devices (for example Laptops, Personal Digital Assistants (PDAs), wireless modems and mobile data terminals.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MNS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Managed Network Services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MPLS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MultiProtocol Label Switching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MQSeries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Message queuing services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Microsoft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MSA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Master Service Agreement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MSM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Mobile Short Messaging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MTO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Maximum Tolerable Downtime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MTP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Managed Third Parties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NCP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Network Control Program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NetView</w:t>
            </w:r>
          </w:p>
        </w:tc>
        <w:tc>
          <w:tcPr>
            <w:tcW w:w="10137"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A Tivoli product that enables centralized/distributed network management across multiple operating systems and protocols.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NFCM</w:t>
            </w:r>
          </w:p>
        </w:tc>
        <w:tc>
          <w:tcPr>
            <w:tcW w:w="10137"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GlobalPharma Financial Control Matrix</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NOS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Network Operating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NPMR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 Margin Reporting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Organizational Inventory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OJT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On the Job Training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Operating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OSHA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Occupational Safety and Health Agencies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Overtime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OTC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Order to Cash</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PAYE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Pay As You Earn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PBGC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Pension Benefit Guaranty Corporation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PBX</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Private Branch Exchange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PC(s)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Personal Computer(s)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PCA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 Profit Centre Accounting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PCAOB</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Public Company Accounting Oversight Board</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PDA(s)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Personal Digital Assistant(s)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PDN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Price Delivery Note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PIN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Personal Identification Number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PIP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Performance Improvement Plan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Preventive Maintenance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Purchase Order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POP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Point-of-Presence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PQMS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Process and Quality Management System</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PSTN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Public Switched Telephone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PTT</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Push To Talk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QoS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Quality of Service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QUADRO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Qualified Domestic Relation Order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RandD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Research and Development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RAM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Random Access Memory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 &amp; 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Research and Development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RF</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Radio Frequency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RFP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Request for Proposal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RIF</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Reductions In Force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RMON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Remote Monitoring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ROI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Return On Investment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RPO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Recovery Point Objective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RTO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Recovery Time Objective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RRC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Cs/>
                <w:lang w:val="en-GB"/>
              </w:rPr>
            </w:pPr>
            <w:r>
              <w:rPr>
                <w:bCs/>
                <w:lang w:val="en-GB"/>
              </w:rPr>
              <w:t xml:space="preserve">Reduce Resource Credits </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RSR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b/>
                <w:lang w:val="en-GB"/>
              </w:rPr>
            </w:pPr>
            <w:r>
              <w:rPr>
                <w:lang w:val="en-GB"/>
              </w:rPr>
              <w:t>Recruiting, Staffing and Resourcing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RTP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Requisition to Pay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RU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 xml:space="preserve">Resource Units </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Storage Area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Enterprise Resource Planning Software Package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Summary Annual Report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SAS 70</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Statement on Auditing Standard 70</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SCM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Supply Chain Management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SAP Sales and Distribution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SDM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Delivery Management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US Security and Exchange Commission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SEI</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Software Engineering Institute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SEI CMM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Software Engineering Institute Capability Maturity Model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SLA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Service Level Agreement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SMF</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Systems Management Facility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SNA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Systems Network Architecture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SNMP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Simple Network Management Protocol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SOL ID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Solution Identification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Standard Operating Procedure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SOW</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Statement of Works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SOX</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Sarbanes Oxley Act of 2002, as may be amended from time to time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SPD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Summary Plan Description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SPOC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Single Point of Contact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SRU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Staffing Redeployment Unit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SSL</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highlight w:val="yellow"/>
                <w:lang w:val="en-GB"/>
              </w:rPr>
            </w:pPr>
            <w:r>
              <w:rPr>
                <w:lang w:val="en-GB"/>
              </w:rPr>
              <w:t>Secure Sockets Layer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SSN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Social Security Number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SYSGEN(s)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System Generation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TandA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Time And Attendance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TandE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Travel and Entertainment Expenses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TCC</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Total Cash Compensation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TCP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Transmission Control Protocol</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TDD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Telecommunications Device for the Deaf</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TDM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Time-Division Multiplexing</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TDMA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Time Division Multiple Access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 &amp; E</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Travel &amp; Entertainment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Tech Ops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GlobalPharma Technical Operations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TIA</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Telecommunications Industry Association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T1</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T-carrier 1</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TSO</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Time Sharing Option</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TWR</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Two Way Radio</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USD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United States Dollar</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UPS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Uninterruptible Power Supply</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VPN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Virtual Private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VRU</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Voice Response Unit</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VTAM</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Virtual Telecommunications Access Method</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WAN</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Wide Area Network</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WAP</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Wireless Access Points</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WWW/Web</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World Wide Web</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YOS</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Years Of Service</w:t>
            </w:r>
          </w:p>
        </w:tc>
      </w:tr>
      <w:tr>
        <w:trPr/>
        <w:tc>
          <w:tcPr>
            <w:tcW w:w="4478"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YTD</w:t>
            </w:r>
          </w:p>
        </w:tc>
        <w:tc>
          <w:tcPr>
            <w:tcW w:w="10137" w:type="dxa"/>
            <w:tcBorders>
              <w:top w:val="single" w:sz="4" w:space="0" w:color="000000"/>
              <w:start w:val="single" w:sz="4" w:space="0" w:color="000000"/>
              <w:bottom w:val="single" w:sz="4" w:space="0" w:color="000000"/>
              <w:end w:val="single" w:sz="4" w:space="0" w:color="000000"/>
            </w:tcBorders>
          </w:tcPr>
          <w:p>
            <w:pPr>
              <w:pStyle w:val="TableText"/>
              <w:spacing w:before="120" w:after="120"/>
              <w:rPr>
                <w:lang w:val="en-GB"/>
              </w:rPr>
            </w:pPr>
            <w:r>
              <w:rPr>
                <w:lang w:val="en-GB"/>
              </w:rPr>
              <w:t>Year To Date</w:t>
            </w:r>
          </w:p>
        </w:tc>
      </w:tr>
    </w:tbl>
    <w:p>
      <w:pPr>
        <w:pStyle w:val="Normal"/>
        <w:spacing w:before="120" w:after="120"/>
        <w:rPr>
          <w:lang w:val="en-GB"/>
        </w:rPr>
      </w:pPr>
      <w:r>
        <w:rPr>
          <w:lang w:val="en-GB"/>
        </w:rPr>
      </w:r>
    </w:p>
    <w:sectPr>
      <w:headerReference w:type="default" r:id="rId4"/>
      <w:headerReference w:type="first" r:id="rId5"/>
      <w:footerReference w:type="default" r:id="rId6"/>
      <w:footerReference w:type="first" r:id="rId7"/>
      <w:type w:val="nextPage"/>
      <w:pgSz w:orient="landscape" w:w="16838" w:h="11906"/>
      <w:pgMar w:left="720" w:right="1094" w:gutter="0" w:header="720" w:top="1728" w:footer="720" w:bottom="172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p>
    <w:pPr>
      <w:pStyle w:val="Footer"/>
      <w:rPr>
        <w:sz w:val="18"/>
        <w:szCs w:val="18"/>
      </w:rPr>
    </w:pPr>
    <w:r>
      <w:rPr/>
      <w:tab/>
      <w:tab/>
    </w:r>
    <w:r>
      <w:rPr>
        <w:sz w:val="18"/>
        <w:szCs w:val="18"/>
      </w:rPr>
      <w:t xml:space="preserve">A1-A 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 ARABIC </w:instrText>
    </w:r>
    <w:r>
      <w:rPr>
        <w:sz w:val="18"/>
        <w:szCs w:val="18"/>
      </w:rPr>
      <w:fldChar w:fldCharType="separate"/>
    </w:r>
    <w:r>
      <w:rPr>
        <w:sz w:val="18"/>
        <w:szCs w:val="18"/>
      </w:rPr>
      <w:t>17</w:t>
    </w:r>
    <w:r>
      <w:rPr>
        <w:sz w:val="18"/>
        <w:szCs w:val="18"/>
      </w:rPr>
      <w:fldChar w:fldCharType="end"/>
    </w:r>
  </w:p>
  <w:p>
    <w:pPr>
      <w:pStyle w:val="Footer"/>
      <w:tabs>
        <w:tab w:val="clear" w:pos="4320"/>
        <w:tab w:val="clear" w:pos="8640"/>
        <w:tab w:val="right" w:pos="14940" w:leader="none"/>
      </w:tabs>
      <w:spacing w:before="120" w:after="120"/>
      <w:rPr>
        <w:i/>
        <w:i/>
        <w:sz w:val="18"/>
        <w:szCs w:val="18"/>
      </w:rPr>
    </w:pPr>
    <w:r>
      <w:rPr>
        <w:i/>
        <w:sz w:val="18"/>
        <w:szCs w:val="18"/>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i/>
        <w:i/>
        <w:sz w:val="18"/>
        <w:szCs w:val="18"/>
      </w:rPr>
    </w:pPr>
    <w:r>
      <w:rPr>
        <w:i/>
        <w:sz w:val="18"/>
        <w:szCs w:val="18"/>
      </w:rPr>
    </w:r>
    <w:r>
      <mc:AlternateContent>
        <mc:Choice Requires="wps">
          <w:drawing>
            <wp:anchor behindDoc="0" distT="0" distB="0" distL="0" distR="0" simplePos="0" locked="0" layoutInCell="0" allowOverlap="1" relativeHeight="17">
              <wp:simplePos x="0" y="0"/>
              <wp:positionH relativeFrom="page">
                <wp:posOffset>4686935</wp:posOffset>
              </wp:positionH>
              <wp:positionV relativeFrom="paragraph">
                <wp:posOffset>-14605</wp:posOffset>
              </wp:positionV>
              <wp:extent cx="1372235" cy="236855"/>
              <wp:effectExtent l="0" t="0" r="0" b="0"/>
              <wp:wrapSquare wrapText="bothSides"/>
              <wp:docPr id="5" name="Frame1"/>
              <a:graphic xmlns:a="http://schemas.openxmlformats.org/drawingml/2006/main">
                <a:graphicData uri="http://schemas.microsoft.com/office/word/2010/wordprocessingShape">
                  <wps:wsp>
                    <wps:cNvSpPr txBox="1"/>
                    <wps:spPr>
                      <a:xfrm>
                        <a:off x="0" y="0"/>
                        <a:ext cx="1372235" cy="236855"/>
                      </a:xfrm>
                      <a:prstGeom prst="rect"/>
                      <a:solidFill>
                        <a:srgbClr val="FFFFFF">
                          <a:alpha val="0"/>
                        </a:srgbClr>
                      </a:solidFill>
                    </wps:spPr>
                    <wps:txbx>
                      <w:txbxContent>
                        <w:p>
                          <w:pPr>
                            <w:pStyle w:val="Footer"/>
                            <w:spacing w:before="120" w:after="120"/>
                            <w:jc w:val="center"/>
                            <w:rPr>
                              <w:sz w:val="22"/>
                            </w:rPr>
                          </w:pPr>
                          <w:r>
                            <w:rPr>
                              <w:sz w:val="18"/>
                            </w:rPr>
                            <w:t xml:space="preserve">Attach 1-A   Page </w:t>
                          </w:r>
                          <w:r>
                            <w:rPr>
                              <w:sz w:val="22"/>
                            </w:rPr>
                            <w:fldChar w:fldCharType="begin"/>
                          </w:r>
                          <w:r>
                            <w:rPr>
                              <w:sz w:val="22"/>
                            </w:rPr>
                            <w:instrText xml:space="preserve"> PAGE </w:instrText>
                          </w:r>
                          <w:r>
                            <w:rPr>
                              <w:sz w:val="22"/>
                            </w:rPr>
                            <w:fldChar w:fldCharType="separate"/>
                          </w:r>
                          <w:r>
                            <w:rPr>
                              <w:sz w:val="22"/>
                            </w:rPr>
                            <w:t>15</w:t>
                          </w:r>
                          <w:r>
                            <w:rPr>
                              <w:sz w:val="22"/>
                            </w:rPr>
                            <w:fldChar w:fldCharType="end"/>
                          </w:r>
                        </w:p>
                      </w:txbxContent>
                    </wps:txbx>
                    <wps:bodyPr anchor="t" lIns="0" tIns="0" rIns="0" bIns="0">
                      <a:noAutofit/>
                    </wps:bodyPr>
                  </wps:wsp>
                </a:graphicData>
              </a:graphic>
            </wp:anchor>
          </w:drawing>
        </mc:Choice>
        <mc:Fallback>
          <w:pict>
            <v:rect fillcolor="#FFFFFF" style="position:absolute;rotation:-0;width:108.05pt;height:18.65pt;mso-wrap-distance-left:0pt;mso-wrap-distance-right:0pt;mso-wrap-distance-top:0pt;mso-wrap-distance-bottom:0pt;margin-top:-1.15pt;mso-position-vertical-relative:text;margin-left:369.05pt;mso-position-horizontal-relative:page">
              <v:fill opacity="0f"/>
              <v:textbox inset="0in,0in,0in,0in">
                <w:txbxContent>
                  <w:p>
                    <w:pPr>
                      <w:pStyle w:val="Footer"/>
                      <w:spacing w:before="120" w:after="120"/>
                      <w:jc w:val="center"/>
                      <w:rPr>
                        <w:sz w:val="22"/>
                      </w:rPr>
                    </w:pPr>
                    <w:r>
                      <w:rPr>
                        <w:sz w:val="18"/>
                      </w:rPr>
                      <w:t xml:space="preserve">Attach 1-A   Page </w:t>
                    </w:r>
                    <w:r>
                      <w:rPr>
                        <w:sz w:val="22"/>
                      </w:rPr>
                      <w:fldChar w:fldCharType="begin"/>
                    </w:r>
                    <w:r>
                      <w:rPr>
                        <w:sz w:val="22"/>
                      </w:rPr>
                      <w:instrText xml:space="preserve"> PAGE </w:instrText>
                    </w:r>
                    <w:r>
                      <w:rPr>
                        <w:sz w:val="22"/>
                      </w:rPr>
                      <w:fldChar w:fldCharType="separate"/>
                    </w:r>
                    <w:r>
                      <w:rPr>
                        <w:sz w:val="22"/>
                      </w:rPr>
                      <w:t>15</w:t>
                    </w:r>
                    <w:r>
                      <w:rPr>
                        <w:sz w:val="22"/>
                      </w:rPr>
                      <w:fldChar w:fldCharType="end"/>
                    </w:r>
                  </w:p>
                </w:txbxContent>
              </v:textbox>
              <w10:wrap type="square"/>
            </v:rect>
          </w:pict>
        </mc:Fallback>
      </mc:AlternateContent>
    </w:r>
  </w:p>
  <w:p>
    <w:pPr>
      <w:pStyle w:val="Footer"/>
      <w:rPr>
        <w:i/>
        <w:i/>
        <w:sz w:val="18"/>
        <w:szCs w:val="18"/>
      </w:rPr>
    </w:pPr>
    <w:r>
      <w:rPr>
        <w:i/>
        <w:sz w:val="18"/>
        <w:szCs w:val="18"/>
      </w:rPr>
    </w:r>
  </w:p>
  <w:p>
    <w:pPr>
      <w:pStyle w:val="Footer"/>
      <w:tabs>
        <w:tab w:val="clear" w:pos="4320"/>
        <w:tab w:val="clear" w:pos="8640"/>
        <w:tab w:val="right" w:pos="14940" w:leader="none"/>
      </w:tabs>
      <w:spacing w:before="120" w:after="120"/>
      <w:rPr/>
    </w:pPr>
    <w:r>
      <w:rPr>
        <w:i/>
        <w:sz w:val="18"/>
        <w:szCs w:val="18"/>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right" w:pos="14940" w:leader="none"/>
      </w:tabs>
      <w:spacing w:before="120" w:after="120"/>
      <w:rPr/>
    </w:pPr>
    <w:r>
      <w:drawing>
        <wp:anchor behindDoc="1" distT="0" distB="0" distL="114935" distR="114935" simplePos="0" locked="0" layoutInCell="1" allowOverlap="1" relativeHeight="33">
          <wp:simplePos x="0" y="0"/>
          <wp:positionH relativeFrom="column">
            <wp:posOffset>8524875</wp:posOffset>
          </wp:positionH>
          <wp:positionV relativeFrom="paragraph">
            <wp:posOffset>-26670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drawing>
        <wp:anchor behindDoc="1" distT="0" distB="0" distL="114935" distR="114935" simplePos="0" locked="0" layoutInCell="1" allowOverlap="1" relativeHeight="48">
          <wp:simplePos x="0" y="0"/>
          <wp:positionH relativeFrom="column">
            <wp:posOffset>8524875</wp:posOffset>
          </wp:positionH>
          <wp:positionV relativeFrom="paragraph">
            <wp:posOffset>-36195</wp:posOffset>
          </wp:positionV>
          <wp:extent cx="1028700" cy="385445"/>
          <wp:effectExtent l="0" t="0" r="0" b="0"/>
          <wp:wrapNone/>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ab/>
      <w:tab/>
      <w:tab/>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PageNumber">
    <w:name w:val="page number"/>
    <w:basedOn w:val="Absatz-Standardschriftar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Bullet1Level1">
    <w:name w:val="Bullet 1 Level 1"/>
    <w:basedOn w:val="Normal"/>
    <w:qFormat/>
    <w:pPr>
      <w:numPr>
        <w:ilvl w:val="0"/>
        <w:numId w:val="4"/>
      </w:numPr>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6"/>
      </w:numPr>
    </w:pPr>
    <w:rPr>
      <w:bCs/>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Sprechblasentext">
    <w:name w:val="Sprechblasen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2007-01-30T12:47:00Z</dcterms:created>
  <dc:creator>TPI</dc:creator>
  <dc:description>RFP8 Attachment 1-A (A4) to Exhibit 1 (Definitions). Contains details of acronyms and abbreviations in TPI's generic Request for Proposal (RFP).
Version 1 - 110402</dc:description>
  <dc:language>en-US</dc:language>
  <cp:lastModifiedBy>Wenger Plattner</cp:lastModifiedBy>
  <cp:lastPrinted>2007-01-29T11:28:00Z</cp:lastPrinted>
  <dcterms:modified xsi:type="dcterms:W3CDTF">2007-01-30T12:47:00Z</dcterms:modified>
  <cp:revision>2</cp:revision>
  <dc:subject/>
  <dc:title>RFP8 Attachment 1-A Common Terms and Acronyms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Project">
    <vt:lpwstr>RFP8</vt:lpwstr>
  </property>
  <property fmtid="{D5CDD505-2E9C-101B-9397-08002B2CF9AE}" pid="5" name="Status">
    <vt:lpwstr>Released</vt:lpwstr>
  </property>
</Properties>
</file>