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el"/>
        <w:spacing w:before="240" w:after="240"/>
        <w:jc w:val="center"/>
        <w:rPr/>
      </w:pPr>
      <w:r>
        <w:rPr/>
      </w:r>
    </w:p>
    <w:p>
      <w:pPr>
        <w:pStyle w:val="Titel"/>
        <w:rPr/>
      </w:pPr>
      <w:r>
        <w:rPr/>
        <w:t>GlobalPharma</w:t>
      </w:r>
    </w:p>
    <w:p>
      <w:pPr>
        <w:pStyle w:val="Titel"/>
        <w:rPr/>
      </w:pPr>
      <w:r>
        <w:rPr/>
      </w:r>
    </w:p>
    <w:p>
      <w:pPr>
        <w:pStyle w:val="Titel"/>
        <w:rPr/>
      </w:pPr>
      <w:r>
        <w:rPr/>
        <w:t>Attachment 17-A</w:t>
      </w:r>
    </w:p>
    <w:p>
      <w:pPr>
        <w:pStyle w:val="Titel"/>
        <w:rPr/>
      </w:pPr>
      <w:r>
        <w:rPr/>
      </w:r>
    </w:p>
    <w:p>
      <w:pPr>
        <w:pStyle w:val="Titel"/>
        <w:rPr/>
      </w:pPr>
      <w:r>
        <w:rPr/>
        <w:t>Data Security</w:t>
      </w:r>
    </w:p>
    <w:p>
      <w:pPr>
        <w:pStyle w:val="Titel"/>
        <w:rPr>
          <w:rFonts w:cs="Times New Roman"/>
          <w:caps w:val="false"/>
          <w:smallCaps w:val="false"/>
          <w:kern w:val="0"/>
          <w:szCs w:val="24"/>
        </w:rPr>
      </w:pPr>
      <w:r>
        <w:rPr>
          <w:rFonts w:cs="Times New Roman"/>
          <w:caps w:val="false"/>
          <w:smallCaps w:val="false"/>
          <w:kern w:val="0"/>
          <w:szCs w:val="24"/>
        </w:rPr>
        <w:t>Attachment to Exhibit 17 (Safety and Security Procedures)</w:t>
      </w:r>
    </w:p>
    <w:p>
      <w:pPr>
        <w:pStyle w:val="Titel"/>
        <w:rPr/>
      </w:pPr>
      <w:r>
        <w:rPr/>
      </w:r>
    </w:p>
    <w:p>
      <w:pPr>
        <w:pStyle w:val="Titel"/>
        <w:rPr/>
      </w:pPr>
      <w:r>
        <w:rPr/>
      </w:r>
    </w:p>
    <w:p>
      <w:pPr>
        <w:pStyle w:val="Titel"/>
        <w:rPr/>
      </w:pPr>
      <w:r>
        <w:rPr/>
      </w:r>
    </w:p>
    <w:tbl>
      <w:tblPr>
        <w:tblW w:w="7697" w:type="dxa"/>
        <w:jc w:val="center"/>
        <w:tblInd w:w="0" w:type="dxa"/>
        <w:tblLayout w:type="fixed"/>
        <w:tblCellMar>
          <w:top w:w="0" w:type="dxa"/>
          <w:start w:w="108" w:type="dxa"/>
          <w:bottom w:w="0" w:type="dxa"/>
          <w:end w:w="108" w:type="dxa"/>
        </w:tblCellMar>
      </w:tblPr>
      <w:tblGrid>
        <w:gridCol w:w="7697"/>
      </w:tblGrid>
      <w:tr>
        <w:trPr/>
        <w:tc>
          <w:tcPr>
            <w:tcW w:w="769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120" w:after="120"/>
              <w:jc w:val="center"/>
              <w:rPr/>
            </w:pPr>
            <w:r>
              <w:rPr/>
            </w:r>
          </w:p>
          <w:p>
            <w:pPr>
              <w:pStyle w:val="Normal"/>
              <w:jc w:val="center"/>
              <w:rPr/>
            </w:pPr>
            <w:r>
              <w:rPr/>
              <w:t>This document contains confidential and proprietary information of GlobalPharma AG. It is furnished for the performance of The Agreements only. Except with the express prior written permission of GlobalPharma AG, this document and the information contained herein may not be published, disclosed, or used for any other purpose.</w:t>
            </w:r>
          </w:p>
          <w:p>
            <w:pPr>
              <w:pStyle w:val="Normal"/>
              <w:spacing w:before="120" w:after="120"/>
              <w:jc w:val="center"/>
              <w:rPr/>
            </w:pPr>
            <w:r>
              <w:rPr/>
            </w:r>
          </w:p>
        </w:tc>
      </w:tr>
    </w:tbl>
    <w:p>
      <w:pPr>
        <w:pStyle w:val="Normal"/>
        <w:rPr/>
      </w:pPr>
      <w:r>
        <w:rPr/>
      </w:r>
    </w:p>
    <w:p>
      <w:pPr>
        <w:sectPr>
          <w:headerReference w:type="default" r:id="rId2"/>
          <w:footerReference w:type="default" r:id="rId3"/>
          <w:type w:val="nextPage"/>
          <w:pgSz w:w="11906" w:h="16838"/>
          <w:pgMar w:left="1440" w:right="1440" w:gutter="0" w:header="720" w:top="1728" w:footer="720" w:bottom="1728"/>
          <w:pgNumType w:fmt="decimal"/>
          <w:formProt w:val="false"/>
          <w:textDirection w:val="lrTb"/>
          <w:docGrid w:type="default" w:linePitch="360" w:charSpace="0"/>
        </w:sectPr>
        <w:pStyle w:val="Normal"/>
        <w:rPr/>
      </w:pPr>
      <w:r>
        <w:rPr/>
      </w:r>
    </w:p>
    <w:p>
      <w:pPr>
        <w:pStyle w:val="Titel"/>
        <w:rPr/>
      </w:pPr>
      <w:r>
        <w:rPr/>
        <w:t>Table of Contents</w:t>
      </w:r>
    </w:p>
    <w:sdt>
      <w:sdtPr>
        <w:docPartObj>
          <w:docPartGallery w:val="Table of Contents"/>
          <w:docPartUnique w:val="true"/>
        </w:docPartObj>
      </w:sdtPr>
      <w:sdtContent>
        <w:p>
          <w:pPr>
            <w:pStyle w:val="TOC2"/>
            <w:tabs>
              <w:tab w:val="clear" w:pos="720"/>
              <w:tab w:val="left" w:pos="880" w:leader="none"/>
              <w:tab w:val="right" w:pos="9350" w:leader="dot"/>
            </w:tabs>
            <w:rPr>
              <w:caps w:val="false"/>
              <w:smallCaps w:val="false"/>
              <w:sz w:val="24"/>
              <w:szCs w:val="24"/>
              <w:lang w:val="de-CH" w:eastAsia="en-US"/>
            </w:rPr>
          </w:pPr>
          <w:r>
            <w:fldChar w:fldCharType="begin"/>
          </w:r>
          <w:r>
            <w:rPr>
              <w:rStyle w:val="IndexLink"/>
              <w:lang w:val="en-US" w:eastAsia="en-US"/>
            </w:rPr>
            <w:instrText xml:space="preserve"> TOC \h \z \t "Heading 1 Numbered;1;Heading 2 Numbered;2" </w:instrText>
          </w:r>
          <w:r>
            <w:rPr>
              <w:rStyle w:val="IndexLink"/>
              <w:lang w:val="en-US" w:eastAsia="en-US"/>
            </w:rPr>
            <w:fldChar w:fldCharType="separate"/>
          </w:r>
          <w:hyperlink w:anchor="__RefHeading___Toc157568627">
            <w:r>
              <w:rPr>
                <w:rStyle w:val="IndexLink"/>
                <w:lang w:val="en-US" w:eastAsia="en-US"/>
              </w:rPr>
              <w:t>1.1</w:t>
            </w:r>
            <w:r>
              <w:rPr>
                <w:rStyle w:val="IndexLink"/>
                <w:caps w:val="false"/>
                <w:smallCaps w:val="false"/>
                <w:sz w:val="24"/>
                <w:szCs w:val="24"/>
                <w:lang w:val="de-CH" w:eastAsia="en-US"/>
              </w:rPr>
              <w:tab/>
            </w:r>
            <w:r>
              <w:rPr>
                <w:rStyle w:val="IndexLink"/>
                <w:lang w:val="en-US" w:eastAsia="en-US"/>
              </w:rPr>
              <w:t>Documentation</w:t>
              <w:tab/>
              <w:t>3</w:t>
            </w:r>
          </w:hyperlink>
        </w:p>
        <w:p>
          <w:pPr>
            <w:pStyle w:val="TOC2"/>
            <w:tabs>
              <w:tab w:val="clear" w:pos="720"/>
              <w:tab w:val="left" w:pos="880" w:leader="none"/>
              <w:tab w:val="right" w:pos="9350" w:leader="dot"/>
            </w:tabs>
            <w:rPr>
              <w:caps w:val="false"/>
              <w:smallCaps w:val="false"/>
              <w:sz w:val="24"/>
              <w:szCs w:val="24"/>
              <w:lang w:val="de-CH" w:eastAsia="en-US"/>
            </w:rPr>
          </w:pPr>
          <w:hyperlink w:anchor="__RefHeading___Toc157568628">
            <w:r>
              <w:rPr>
                <w:rStyle w:val="IndexLink"/>
                <w:lang w:val="en-US" w:eastAsia="en-US"/>
              </w:rPr>
              <w:t>1.2</w:t>
            </w:r>
            <w:r>
              <w:rPr>
                <w:rStyle w:val="IndexLink"/>
                <w:caps w:val="false"/>
                <w:smallCaps w:val="false"/>
                <w:sz w:val="24"/>
                <w:szCs w:val="24"/>
                <w:lang w:val="de-CH" w:eastAsia="en-US"/>
              </w:rPr>
              <w:tab/>
            </w:r>
            <w:r>
              <w:rPr>
                <w:rStyle w:val="IndexLink"/>
                <w:lang w:val="en-US" w:eastAsia="en-US"/>
              </w:rPr>
              <w:t>Logical Security</w:t>
              <w:tab/>
              <w:t>4</w:t>
            </w:r>
          </w:hyperlink>
        </w:p>
        <w:p>
          <w:pPr>
            <w:pStyle w:val="TOC2"/>
            <w:tabs>
              <w:tab w:val="clear" w:pos="720"/>
              <w:tab w:val="left" w:pos="880" w:leader="none"/>
              <w:tab w:val="right" w:pos="9350" w:leader="dot"/>
            </w:tabs>
            <w:rPr>
              <w:sz w:val="24"/>
              <w:szCs w:val="24"/>
              <w:lang w:val="de-CH" w:eastAsia="en-US"/>
            </w:rPr>
          </w:pPr>
          <w:hyperlink w:anchor="__RefHeading___Toc157568629">
            <w:r>
              <w:rPr>
                <w:rStyle w:val="IndexLink"/>
                <w:caps w:val="false"/>
                <w:smallCaps w:val="false"/>
                <w:lang w:val="en-US" w:eastAsia="en-US"/>
              </w:rPr>
              <w:t>1.3</w:t>
            </w:r>
            <w:r>
              <w:rPr>
                <w:rStyle w:val="IndexLink"/>
                <w:caps w:val="false"/>
                <w:smallCaps w:val="false"/>
                <w:sz w:val="24"/>
                <w:szCs w:val="24"/>
                <w:lang w:val="de-CH" w:eastAsia="en-US"/>
              </w:rPr>
              <w:tab/>
            </w:r>
            <w:r>
              <w:rPr>
                <w:rStyle w:val="IndexLink"/>
                <w:caps w:val="false"/>
                <w:smallCaps w:val="false"/>
                <w:lang w:val="en-US" w:eastAsia="en-US"/>
              </w:rPr>
              <w:t>Safeguarding of Novartis Pharma Assets and Data</w:t>
              <w:tab/>
              <w:t>6</w:t>
            </w:r>
          </w:hyperlink>
          <w:r>
            <w:rPr>
              <w:rStyle w:val="IndexLink"/>
              <w:smallCaps w:val="false"/>
              <w:caps w:val="false"/>
              <w:lang w:val="en-US" w:eastAsia="en-US"/>
            </w:rPr>
            <w:fldChar w:fldCharType="end"/>
          </w:r>
        </w:p>
      </w:sdtContent>
    </w:sdt>
    <w:p>
      <w:pPr>
        <w:pStyle w:val="Normal"/>
        <w:numPr>
          <w:ilvl w:val="0"/>
          <w:numId w:val="0"/>
        </w:numPr>
        <w:rPr>
          <w:smallCaps/>
          <w:sz w:val="24"/>
          <w:szCs w:val="24"/>
          <w:lang w:val="de-CH" w:eastAsia="en-US"/>
        </w:rPr>
      </w:pPr>
      <w:r>
        <w:rPr>
          <w:smallCaps/>
          <w:sz w:val="24"/>
          <w:szCs w:val="24"/>
          <w:lang w:val="de-CH" w:eastAsia="en-US"/>
        </w:rPr>
      </w:r>
      <w:r>
        <w:br w:type="page"/>
      </w:r>
    </w:p>
    <w:p>
      <w:pPr>
        <w:pStyle w:val="Normal"/>
        <w:rPr/>
      </w:pPr>
      <w:r>
        <w:rPr/>
      </w:r>
    </w:p>
    <w:p>
      <w:pPr>
        <w:pStyle w:val="Heading2Numbered"/>
        <w:numPr>
          <w:ilvl w:val="1"/>
          <w:numId w:val="13"/>
        </w:numPr>
        <w:ind w:hanging="0" w:start="0"/>
        <w:rPr/>
      </w:pPr>
      <w:bookmarkStart w:id="0" w:name="__RefHeading___Toc157568627"/>
      <w:bookmarkEnd w:id="0"/>
      <w:r>
        <w:rPr/>
        <w:t>Documentation</w:t>
      </w:r>
    </w:p>
    <w:p>
      <w:pPr>
        <w:pStyle w:val="TableText"/>
        <w:ind w:start="720" w:end="0"/>
        <w:rPr/>
      </w:pPr>
      <w:r>
        <w:rPr/>
        <w:t>The documents below are treated as guidelines for the Service Provider to comply with GlobalPharma data security requirements. The additional required measures can be found later in the document.</w:t>
      </w:r>
    </w:p>
    <w:p>
      <w:pPr>
        <w:pStyle w:val="TableText"/>
        <w:numPr>
          <w:ilvl w:val="0"/>
          <w:numId w:val="12"/>
        </w:numPr>
        <w:rPr/>
      </w:pPr>
      <w:r>
        <w:rPr/>
        <w:t>GlobalPharma Information Directives and Policies</w:t>
      </w:r>
    </w:p>
    <w:tbl>
      <w:tblPr>
        <w:tblW w:w="7851" w:type="dxa"/>
        <w:jc w:val="start"/>
        <w:tblInd w:w="1077" w:type="dxa"/>
        <w:tblLayout w:type="fixed"/>
        <w:tblCellMar>
          <w:top w:w="0" w:type="dxa"/>
          <w:start w:w="108" w:type="dxa"/>
          <w:bottom w:w="0" w:type="dxa"/>
          <w:end w:w="108" w:type="dxa"/>
        </w:tblCellMar>
      </w:tblPr>
      <w:tblGrid>
        <w:gridCol w:w="4611"/>
        <w:gridCol w:w="3240"/>
      </w:tblGrid>
      <w:tr>
        <w:trPr/>
        <w:tc>
          <w:tcPr>
            <w:tcW w:w="4611" w:type="dxa"/>
            <w:tcBorders/>
          </w:tcPr>
          <w:p>
            <w:pPr>
              <w:pStyle w:val="TableText"/>
              <w:spacing w:before="120" w:after="120"/>
              <w:rPr/>
            </w:pPr>
            <w:r>
              <w:rPr/>
              <w:t>Key Directive on Information Security</w:t>
            </w:r>
          </w:p>
        </w:tc>
        <w:tc>
          <w:tcPr>
            <w:tcW w:w="3240" w:type="dxa"/>
            <w:tcBorders/>
          </w:tcPr>
          <w:p>
            <w:pPr>
              <w:pStyle w:val="TableText"/>
              <w:spacing w:before="120" w:after="120"/>
              <w:rPr/>
            </w:pPr>
            <w:r>
              <w:rPr/>
              <w:object>
                <v:shapetype id="_x0000_tole_rId4" coordsize="21600,21600" o:spt="ole_rId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77pt;height:49.65pt" filled="f" o:ole="">
                  <v:imagedata r:id="rId5" o:title=""/>
                </v:shape>
                <o:OLEObject Type="Embed" ProgID="" ShapeID="ole_rId4" DrawAspect="Icon" ObjectID="_2095342672" r:id="rId4"/>
              </w:object>
            </w:r>
          </w:p>
        </w:tc>
      </w:tr>
      <w:tr>
        <w:trPr/>
        <w:tc>
          <w:tcPr>
            <w:tcW w:w="4611" w:type="dxa"/>
            <w:tcBorders/>
          </w:tcPr>
          <w:p>
            <w:pPr>
              <w:pStyle w:val="Normal"/>
              <w:widowControl/>
              <w:bidi w:val="0"/>
              <w:spacing w:before="120" w:after="120"/>
              <w:rPr/>
            </w:pPr>
            <w:r>
              <w:rPr/>
              <w:t>Instructions for Handling Information</w:t>
            </w:r>
          </w:p>
          <w:p>
            <w:pPr>
              <w:pStyle w:val="TableText"/>
              <w:spacing w:before="120" w:after="120"/>
              <w:rPr/>
            </w:pPr>
            <w:r>
              <w:rPr/>
            </w:r>
          </w:p>
        </w:tc>
        <w:tc>
          <w:tcPr>
            <w:tcW w:w="3240" w:type="dxa"/>
            <w:tcBorders/>
          </w:tcPr>
          <w:p>
            <w:pPr>
              <w:pStyle w:val="TableText"/>
              <w:spacing w:before="120" w:after="120"/>
              <w:rPr/>
            </w:pPr>
            <w:r>
              <w:rPr/>
              <w:object>
                <v:shapetype id="_x0000_tole_rId6" coordsize="21600,21600" o:spt="ole_rId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76.8pt;height:49.7pt" filled="f" o:ole="">
                  <v:imagedata r:id="rId7" o:title=""/>
                </v:shape>
                <o:OLEObject Type="Embed" ProgID="" ShapeID="ole_rId6" DrawAspect="Icon" ObjectID="_2055289898" r:id="rId6"/>
              </w:object>
            </w:r>
          </w:p>
        </w:tc>
      </w:tr>
      <w:tr>
        <w:trPr/>
        <w:tc>
          <w:tcPr>
            <w:tcW w:w="4611" w:type="dxa"/>
            <w:tcBorders/>
          </w:tcPr>
          <w:p>
            <w:pPr>
              <w:pStyle w:val="TableText"/>
              <w:spacing w:before="120" w:after="120"/>
              <w:rPr/>
            </w:pPr>
            <w:r>
              <w:rPr/>
              <w:t>Directive on Network Security</w:t>
            </w:r>
          </w:p>
        </w:tc>
        <w:tc>
          <w:tcPr>
            <w:tcW w:w="3240" w:type="dxa"/>
            <w:tcBorders/>
          </w:tcPr>
          <w:p>
            <w:pPr>
              <w:pStyle w:val="TableText"/>
              <w:spacing w:before="120" w:after="120"/>
              <w:rPr/>
            </w:pPr>
            <w:r>
              <w:rPr/>
              <w:object>
                <v:shapetype id="_x0000_tole_rId8" coordsize="21600,21600" o:spt="ole_rId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76.8pt;height:49.7pt" filled="f" o:ole="">
                  <v:imagedata r:id="rId9" o:title=""/>
                </v:shape>
                <o:OLEObject Type="Embed" ProgID="" ShapeID="ole_rId8" DrawAspect="Icon" ObjectID="_948046659" r:id="rId8"/>
              </w:object>
            </w:r>
          </w:p>
        </w:tc>
      </w:tr>
      <w:tr>
        <w:trPr/>
        <w:tc>
          <w:tcPr>
            <w:tcW w:w="4611" w:type="dxa"/>
            <w:tcBorders/>
          </w:tcPr>
          <w:p>
            <w:pPr>
              <w:pStyle w:val="TableText"/>
              <w:spacing w:before="120" w:after="120"/>
              <w:rPr/>
            </w:pPr>
            <w:r>
              <w:rPr/>
              <w:t>Directives on Firewall Security</w:t>
            </w:r>
          </w:p>
        </w:tc>
        <w:tc>
          <w:tcPr>
            <w:tcW w:w="3240" w:type="dxa"/>
            <w:tcBorders/>
          </w:tcPr>
          <w:p>
            <w:pPr>
              <w:pStyle w:val="TableText"/>
              <w:spacing w:before="120" w:after="120"/>
              <w:rPr/>
            </w:pPr>
            <w:r>
              <w:rPr/>
              <w:object>
                <v:shapetype id="_x0000_tole_rId10" coordsize="21600,21600" o:spt="ole_rId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76.8pt;height:49.7pt" filled="f" o:ole="">
                  <v:imagedata r:id="rId11" o:title=""/>
                </v:shape>
                <o:OLEObject Type="Embed" ProgID="" ShapeID="ole_rId10" DrawAspect="Icon" ObjectID="_1012521216" r:id="rId10"/>
              </w:object>
            </w:r>
          </w:p>
        </w:tc>
      </w:tr>
      <w:tr>
        <w:trPr/>
        <w:tc>
          <w:tcPr>
            <w:tcW w:w="4611" w:type="dxa"/>
            <w:tcBorders/>
          </w:tcPr>
          <w:p>
            <w:pPr>
              <w:pStyle w:val="TableText"/>
              <w:spacing w:before="120" w:after="120"/>
              <w:rPr/>
            </w:pPr>
            <w:r>
              <w:rPr/>
              <w:t>Directive for Service Externalization and Service Off-Shoring</w:t>
            </w:r>
          </w:p>
        </w:tc>
        <w:tc>
          <w:tcPr>
            <w:tcW w:w="3240" w:type="dxa"/>
            <w:tcBorders/>
          </w:tcPr>
          <w:p>
            <w:pPr>
              <w:pStyle w:val="TableText"/>
              <w:spacing w:before="120" w:after="120"/>
              <w:rPr/>
            </w:pPr>
            <w:r>
              <w:rPr/>
              <w:object>
                <v:shapetype id="_x0000_tole_rId12" coordsize="21600,21600" o:spt="ole_rId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76.8pt;height:49.7pt" filled="f" o:ole="">
                  <v:imagedata r:id="rId13" o:title=""/>
                </v:shape>
                <o:OLEObject Type="Embed" ProgID="" ShapeID="ole_rId12" DrawAspect="Icon" ObjectID="_2143864947" r:id="rId12"/>
              </w:object>
            </w:r>
          </w:p>
        </w:tc>
      </w:tr>
    </w:tbl>
    <w:p>
      <w:pPr>
        <w:pStyle w:val="TableText"/>
        <w:numPr>
          <w:ilvl w:val="0"/>
          <w:numId w:val="12"/>
        </w:numPr>
        <w:rPr/>
      </w:pPr>
      <w:r>
        <w:rPr/>
        <w:t>Application Security Framework</w:t>
      </w:r>
    </w:p>
    <w:tbl>
      <w:tblPr>
        <w:tblW w:w="7851" w:type="dxa"/>
        <w:jc w:val="start"/>
        <w:tblInd w:w="1077" w:type="dxa"/>
        <w:tblLayout w:type="fixed"/>
        <w:tblCellMar>
          <w:top w:w="0" w:type="dxa"/>
          <w:start w:w="108" w:type="dxa"/>
          <w:bottom w:w="0" w:type="dxa"/>
          <w:end w:w="108" w:type="dxa"/>
        </w:tblCellMar>
      </w:tblPr>
      <w:tblGrid>
        <w:gridCol w:w="4611"/>
        <w:gridCol w:w="3240"/>
      </w:tblGrid>
      <w:tr>
        <w:trPr/>
        <w:tc>
          <w:tcPr>
            <w:tcW w:w="4611" w:type="dxa"/>
            <w:tcBorders/>
          </w:tcPr>
          <w:p>
            <w:pPr>
              <w:pStyle w:val="TableText"/>
              <w:spacing w:before="120" w:after="120"/>
              <w:rPr/>
            </w:pPr>
            <w:r>
              <w:rPr/>
              <w:t>Directive for Secure Application Development</w:t>
            </w:r>
          </w:p>
        </w:tc>
        <w:tc>
          <w:tcPr>
            <w:tcW w:w="3240" w:type="dxa"/>
            <w:tcBorders/>
          </w:tcPr>
          <w:p>
            <w:pPr>
              <w:pStyle w:val="TableText"/>
              <w:spacing w:before="120" w:after="120"/>
              <w:rPr/>
            </w:pPr>
            <w:r>
              <w:rPr/>
              <w:object>
                <v:shapetype id="_x0000_tole_rId14" coordsize="21600,21600" o:spt="ole_rId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width:77pt;height:49.65pt" filled="f" o:ole="">
                  <v:imagedata r:id="rId15" o:title=""/>
                </v:shape>
                <o:OLEObject Type="Embed" ProgID="" ShapeID="ole_rId14" DrawAspect="Icon" ObjectID="_207781848" r:id="rId14"/>
              </w:object>
            </w:r>
          </w:p>
        </w:tc>
      </w:tr>
      <w:tr>
        <w:trPr/>
        <w:tc>
          <w:tcPr>
            <w:tcW w:w="4611" w:type="dxa"/>
            <w:tcBorders/>
          </w:tcPr>
          <w:p>
            <w:pPr>
              <w:pStyle w:val="Normal"/>
              <w:widowControl/>
              <w:bidi w:val="0"/>
              <w:spacing w:before="120" w:after="120"/>
              <w:rPr/>
            </w:pPr>
            <w:r>
              <w:rPr/>
              <w:t>Secure Architecture &amp; Secure Services Checklist</w:t>
            </w:r>
          </w:p>
          <w:p>
            <w:pPr>
              <w:pStyle w:val="TableText"/>
              <w:spacing w:before="120" w:after="120"/>
              <w:rPr/>
            </w:pPr>
            <w:r>
              <w:rPr/>
            </w:r>
          </w:p>
        </w:tc>
        <w:tc>
          <w:tcPr>
            <w:tcW w:w="3240" w:type="dxa"/>
            <w:tcBorders/>
          </w:tcPr>
          <w:p>
            <w:pPr>
              <w:pStyle w:val="TableText"/>
              <w:spacing w:before="120" w:after="120"/>
              <w:rPr/>
            </w:pPr>
            <w:r>
              <w:rPr/>
              <w:object>
                <v:shapetype id="_x0000_tole_rId16" coordsize="21600,21600" o:spt="ole_rId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77pt;height:49.65pt" filled="f" o:ole="">
                  <v:imagedata r:id="rId17" o:title=""/>
                </v:shape>
                <o:OLEObject Type="Embed" ProgID="" ShapeID="ole_rId16" DrawAspect="Icon" ObjectID="_2074131286" r:id="rId16"/>
              </w:object>
            </w:r>
          </w:p>
        </w:tc>
      </w:tr>
      <w:tr>
        <w:trPr/>
        <w:tc>
          <w:tcPr>
            <w:tcW w:w="4611" w:type="dxa"/>
            <w:tcBorders/>
          </w:tcPr>
          <w:p>
            <w:pPr>
              <w:pStyle w:val="TableText"/>
              <w:spacing w:before="120" w:after="120"/>
              <w:rPr/>
            </w:pPr>
            <w:r>
              <w:rPr/>
              <w:t>Go-Live Application Security Checklist</w:t>
            </w:r>
          </w:p>
        </w:tc>
        <w:tc>
          <w:tcPr>
            <w:tcW w:w="3240" w:type="dxa"/>
            <w:tcBorders/>
          </w:tcPr>
          <w:p>
            <w:pPr>
              <w:pStyle w:val="TableText"/>
              <w:spacing w:before="120" w:after="120"/>
              <w:rPr/>
            </w:pPr>
            <w:r>
              <w:rPr/>
              <w:object>
                <v:shapetype id="_x0000_tole_rId18" coordsize="21600,21600" o:spt="ole_rId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77pt;height:49.65pt" filled="f" o:ole="">
                  <v:imagedata r:id="rId19" o:title=""/>
                </v:shape>
                <o:OLEObject Type="Embed" ProgID="" ShapeID="ole_rId18" DrawAspect="Icon" ObjectID="_277775375" r:id="rId18"/>
              </w:object>
            </w:r>
          </w:p>
        </w:tc>
      </w:tr>
    </w:tbl>
    <w:p>
      <w:pPr>
        <w:pStyle w:val="TableText"/>
        <w:ind w:start="1080" w:end="0"/>
        <w:rPr/>
      </w:pPr>
      <w:r>
        <w:rPr/>
      </w:r>
    </w:p>
    <w:p>
      <w:pPr>
        <w:pStyle w:val="Heading2Numbered"/>
        <w:numPr>
          <w:ilvl w:val="1"/>
          <w:numId w:val="13"/>
        </w:numPr>
        <w:ind w:hanging="0" w:start="0"/>
        <w:rPr/>
      </w:pPr>
      <w:bookmarkStart w:id="1" w:name="__RefHeading___Toc157568628"/>
      <w:bookmarkEnd w:id="1"/>
      <w:r>
        <w:rPr/>
        <w:t>Logical Security</w:t>
      </w:r>
    </w:p>
    <w:p>
      <w:pPr>
        <w:pStyle w:val="Heading3Numbered"/>
        <w:numPr>
          <w:ilvl w:val="2"/>
          <w:numId w:val="13"/>
        </w:numPr>
        <w:spacing w:before="240" w:after="120"/>
        <w:ind w:hanging="0" w:start="0"/>
        <w:rPr/>
      </w:pPr>
      <w:r>
        <w:rPr/>
        <w:t>The Service Provider</w:t>
      </w:r>
      <w:r>
        <w:rPr>
          <w:rFonts w:cs="Times New Roman" w:ascii="Times New Roman" w:hAnsi="Times New Roman"/>
        </w:rPr>
        <w:t>’</w:t>
      </w:r>
      <w:r>
        <w:rPr/>
        <w:t>s responsibilities include, but are not limited to:</w:t>
      </w:r>
    </w:p>
    <w:p>
      <w:pPr>
        <w:pStyle w:val="Heading3Numbered"/>
        <w:numPr>
          <w:ilvl w:val="2"/>
          <w:numId w:val="13"/>
        </w:numPr>
        <w:ind w:hanging="0" w:start="0"/>
        <w:rPr/>
      </w:pPr>
      <w:r>
        <w:rPr/>
        <w:t>Establish and maintain safeguards against the unauthorized access, destruction, loss or alteration of GlobalPharma data. Service Provider will implement its own safeguards that is inline with GlobalPharma requirements.</w:t>
      </w:r>
    </w:p>
    <w:p>
      <w:pPr>
        <w:pStyle w:val="Heading3Numbered"/>
        <w:numPr>
          <w:ilvl w:val="2"/>
          <w:numId w:val="13"/>
        </w:numPr>
        <w:ind w:hanging="0" w:start="0"/>
        <w:rPr/>
      </w:pPr>
      <w:r>
        <w:rPr/>
        <w:t>Manage and administer access to the Service Provider-operated systems, networks, software, and GlobalPharma data, to include the following:</w:t>
      </w:r>
    </w:p>
    <w:p>
      <w:pPr>
        <w:pStyle w:val="BodyTextBullet"/>
        <w:numPr>
          <w:ilvl w:val="0"/>
          <w:numId w:val="18"/>
        </w:numPr>
        <w:rPr/>
      </w:pPr>
      <w:r>
        <w:rPr/>
        <w:t>Recommend supplemental logical security for any Service Provider operated systems, networks, software, and GlobalPharma data based on regulatory and governmental provisions using the Change Control Procedure</w:t>
      </w:r>
    </w:p>
    <w:p>
      <w:pPr>
        <w:pStyle w:val="BodyTextBullet"/>
        <w:numPr>
          <w:ilvl w:val="0"/>
          <w:numId w:val="18"/>
        </w:numPr>
        <w:rPr/>
      </w:pPr>
      <w:r>
        <w:rPr/>
        <w:t>Provide data and system access in accordance with GlobalPharma policies and procedures</w:t>
      </w:r>
    </w:p>
    <w:p>
      <w:pPr>
        <w:pStyle w:val="BodyTextBullet"/>
        <w:numPr>
          <w:ilvl w:val="0"/>
          <w:numId w:val="18"/>
        </w:numPr>
        <w:rPr/>
      </w:pPr>
      <w:r>
        <w:rPr/>
        <w:t xml:space="preserve">Obtain GlobalPharma approval prior to engaging a third party in conjunction with the Services provided, if the third party will have access to GlobalPharma systems and data </w:t>
      </w:r>
    </w:p>
    <w:p>
      <w:pPr>
        <w:pStyle w:val="Heading3Numbered"/>
        <w:numPr>
          <w:ilvl w:val="2"/>
          <w:numId w:val="13"/>
        </w:numPr>
        <w:ind w:hanging="0" w:start="0"/>
        <w:rPr/>
      </w:pPr>
      <w:r>
        <w:rPr/>
        <w:t>Review documented information security procedures with GlobalPharma pertaining to the Service Provider-operated systems on an annual basis or on GlobalPharma request.</w:t>
      </w:r>
    </w:p>
    <w:p>
      <w:pPr>
        <w:pStyle w:val="Heading3Numbered"/>
        <w:numPr>
          <w:ilvl w:val="2"/>
          <w:numId w:val="13"/>
        </w:numPr>
        <w:ind w:hanging="0" w:start="0"/>
        <w:rPr/>
      </w:pPr>
      <w:r>
        <w:rPr/>
        <w:t>Develop, maintain, update and implement logical security procedures with GlobalPharma’s review and approval.</w:t>
      </w:r>
    </w:p>
    <w:p>
      <w:pPr>
        <w:pStyle w:val="Heading3Numbered"/>
        <w:numPr>
          <w:ilvl w:val="2"/>
          <w:numId w:val="13"/>
        </w:numPr>
        <w:ind w:hanging="0" w:start="0"/>
        <w:rPr/>
      </w:pPr>
      <w:r>
        <w:rPr/>
        <w:t>Assist in the development and utilization of a regular (to be mutually agreed) security threat monitoring and evaluation plan to assess potential and real security breaches, particularly pertaining to logical security.</w:t>
      </w:r>
    </w:p>
    <w:p>
      <w:pPr>
        <w:pStyle w:val="Heading3Numbered"/>
        <w:numPr>
          <w:ilvl w:val="2"/>
          <w:numId w:val="13"/>
        </w:numPr>
        <w:ind w:hanging="0" w:start="0"/>
        <w:rPr/>
      </w:pPr>
      <w:r>
        <w:rPr/>
        <w:t>Assist in the development and utilization of escalation procedures for potential or real security breaches, including defining the required reporting.</w:t>
      </w:r>
    </w:p>
    <w:p>
      <w:pPr>
        <w:pStyle w:val="Heading3Numbered"/>
        <w:numPr>
          <w:ilvl w:val="2"/>
          <w:numId w:val="13"/>
        </w:numPr>
        <w:ind w:hanging="0" w:start="0"/>
        <w:rPr/>
      </w:pPr>
      <w:r>
        <w:rPr/>
        <w:t>Notify GlobalPharma as soon as possible but not to exceed two hours from the occurrence in the event of a security violation or unauthorized attempt to access or alter GlobalPharma data.</w:t>
      </w:r>
      <w:r>
        <w:rPr/>
      </w:r>
      <w:r>
        <w:rPr/>
      </w:r>
    </w:p>
    <w:p>
      <w:pPr>
        <w:pStyle w:val="Heading3Numbered"/>
        <w:numPr>
          <w:ilvl w:val="2"/>
          <w:numId w:val="13"/>
        </w:numPr>
        <w:ind w:hanging="0" w:start="0"/>
        <w:rPr/>
      </w:pPr>
      <w:r>
        <w:rPr/>
        <w:t>Provide incident investigation support, report on any findings, and initiate corrective actions to minimize and prevent security breaches.</w:t>
      </w:r>
    </w:p>
    <w:p>
      <w:pPr>
        <w:pStyle w:val="Heading3Numbered"/>
        <w:numPr>
          <w:ilvl w:val="2"/>
          <w:numId w:val="13"/>
        </w:numPr>
        <w:ind w:hanging="0" w:start="0"/>
        <w:rPr/>
      </w:pPr>
      <w:r>
        <w:rPr/>
        <w:t>Provide reports to GlobalPharma on violation and access attempts, and retain investigation documentation.</w:t>
      </w:r>
    </w:p>
    <w:p>
      <w:pPr>
        <w:pStyle w:val="Heading3Numbered"/>
        <w:numPr>
          <w:ilvl w:val="2"/>
          <w:numId w:val="13"/>
        </w:numPr>
        <w:ind w:hanging="0" w:start="0"/>
        <w:rPr/>
      </w:pPr>
      <w:r>
        <w:rPr/>
        <w:t>Install, update and maintain software that will provide security monitoring, alarming, and access tracking for Service Provider-operated systems and software, based on GlobalPharma approval.</w:t>
      </w:r>
    </w:p>
    <w:p>
      <w:pPr>
        <w:pStyle w:val="Heading3Numbered"/>
        <w:numPr>
          <w:ilvl w:val="2"/>
          <w:numId w:val="13"/>
        </w:numPr>
        <w:ind w:hanging="0" w:start="0"/>
        <w:rPr/>
      </w:pPr>
      <w:r>
        <w:rPr/>
        <w:t>Develop, implement and maintain automated and manual processes to enforce GlobalPharma data access and security policies.</w:t>
      </w:r>
    </w:p>
    <w:p>
      <w:pPr>
        <w:pStyle w:val="Heading3Numbered"/>
        <w:numPr>
          <w:ilvl w:val="2"/>
          <w:numId w:val="13"/>
        </w:numPr>
        <w:ind w:hanging="0" w:start="0"/>
        <w:rPr/>
      </w:pPr>
      <w:r>
        <w:rPr/>
        <w:t>Establish and administer procedures to monitor and control remote data communication access to GlobalPharma systems, Software, Equipment, and other data.</w:t>
      </w:r>
    </w:p>
    <w:p>
      <w:pPr>
        <w:pStyle w:val="Heading3Numbered"/>
        <w:numPr>
          <w:ilvl w:val="2"/>
          <w:numId w:val="13"/>
        </w:numPr>
        <w:ind w:hanging="0" w:start="0"/>
        <w:rPr/>
      </w:pPr>
      <w:r>
        <w:rPr/>
        <w:t>Follow the GlobalPharma procedures for password resetting in GlobalPharma owned systems.</w:t>
      </w:r>
    </w:p>
    <w:p>
      <w:pPr>
        <w:pStyle w:val="Heading3Numbered"/>
        <w:numPr>
          <w:ilvl w:val="2"/>
          <w:numId w:val="13"/>
        </w:numPr>
        <w:ind w:hanging="0" w:start="0"/>
        <w:rPr/>
      </w:pPr>
      <w:r>
        <w:rPr/>
        <w:t>Communicate with GlobalPharma’s authorization support regarding requests for system or data access.</w:t>
      </w:r>
      <w:r>
        <w:rPr>
          <w:rFonts w:cs="Times New Roman" w:ascii="Times New Roman" w:hAnsi="Times New Roman"/>
        </w:rPr>
      </w:r>
      <w:r>
        <w:rPr/>
      </w:r>
    </w:p>
    <w:p>
      <w:pPr>
        <w:pStyle w:val="Heading3Numbered"/>
        <w:numPr>
          <w:ilvl w:val="2"/>
          <w:numId w:val="13"/>
        </w:numPr>
        <w:ind w:hanging="0" w:start="0"/>
        <w:rPr/>
      </w:pPr>
      <w:r>
        <w:rPr/>
        <w:t>Communicate with Service Provider</w:t>
      </w:r>
      <w:r>
        <w:rPr>
          <w:rFonts w:cs="Times New Roman" w:ascii="Times New Roman" w:hAnsi="Times New Roman"/>
        </w:rPr>
        <w:t>’</w:t>
      </w:r>
      <w:r>
        <w:rPr/>
        <w:t>s end users regarding password change and password expiration requirements.</w:t>
      </w:r>
    </w:p>
    <w:p>
      <w:pPr>
        <w:pStyle w:val="Heading3Numbered"/>
        <w:numPr>
          <w:ilvl w:val="2"/>
          <w:numId w:val="13"/>
        </w:numPr>
        <w:ind w:hanging="0" w:start="0"/>
        <w:rPr/>
      </w:pPr>
      <w:r>
        <w:rPr/>
        <w:t>Run monthly reports to identify Service Provider</w:t>
      </w:r>
      <w:r>
        <w:rPr>
          <w:rFonts w:cs="Times New Roman" w:ascii="Times New Roman" w:hAnsi="Times New Roman"/>
        </w:rPr>
        <w:t>’</w:t>
      </w:r>
      <w:r>
        <w:rPr/>
        <w:t>s end users and roles that should be removed for a particular authorized user group or user.</w:t>
      </w:r>
    </w:p>
    <w:p>
      <w:pPr>
        <w:pStyle w:val="Heading3Numbered"/>
        <w:numPr>
          <w:ilvl w:val="2"/>
          <w:numId w:val="13"/>
        </w:numPr>
        <w:ind w:hanging="0" w:start="0"/>
        <w:rPr/>
      </w:pPr>
      <w:r>
        <w:rPr/>
        <w:t>Coordinate system password changes subject to GlobalPharma approval.</w:t>
      </w:r>
    </w:p>
    <w:p>
      <w:pPr>
        <w:pStyle w:val="Heading3Numbered"/>
        <w:numPr>
          <w:ilvl w:val="2"/>
          <w:numId w:val="13"/>
        </w:numPr>
        <w:ind w:hanging="0" w:start="0"/>
        <w:rPr/>
      </w:pPr>
      <w:r>
        <w:rPr/>
        <w:t>Perform backup and recovery procedures in response to security violations that result in lost/damaged information for Service Provider run systems.</w:t>
      </w:r>
    </w:p>
    <w:p>
      <w:pPr>
        <w:pStyle w:val="Heading3Numbered"/>
        <w:numPr>
          <w:ilvl w:val="2"/>
          <w:numId w:val="13"/>
        </w:numPr>
        <w:ind w:hanging="0" w:start="0"/>
        <w:rPr/>
      </w:pPr>
      <w:r>
        <w:rPr/>
        <w:t>Respond to all security audit requests from GlobalPharma and/or regulatory authorities.</w:t>
      </w:r>
    </w:p>
    <w:p>
      <w:pPr>
        <w:pStyle w:val="Heading3Numbered"/>
        <w:numPr>
          <w:ilvl w:val="2"/>
          <w:numId w:val="13"/>
        </w:numPr>
        <w:ind w:hanging="0" w:start="0"/>
        <w:rPr/>
      </w:pPr>
      <w:r>
        <w:rPr/>
        <w:t>Cooperate and assist with efforts by GlobalPharma and/or representatives of GlobalPharma for security audits and testing.</w:t>
      </w:r>
    </w:p>
    <w:p>
      <w:pPr>
        <w:pStyle w:val="Heading3Numbered"/>
        <w:numPr>
          <w:ilvl w:val="2"/>
          <w:numId w:val="13"/>
        </w:numPr>
        <w:ind w:hanging="0" w:start="0"/>
        <w:rPr/>
      </w:pPr>
      <w:r>
        <w:rPr/>
        <w:t>Coordinate system password changes and, subject to GlobalPharma approval, change and test all passwords as required.</w:t>
      </w:r>
    </w:p>
    <w:p>
      <w:pPr>
        <w:pStyle w:val="Heading3Numbered"/>
        <w:numPr>
          <w:ilvl w:val="2"/>
          <w:numId w:val="13"/>
        </w:numPr>
        <w:ind w:hanging="0" w:start="0"/>
        <w:rPr/>
      </w:pPr>
      <w:r>
        <w:rPr/>
        <w:t>Perform backup and recovery procedures in response to security violations that result in lost/damaged information for GlobalPharma run systems.</w:t>
      </w:r>
    </w:p>
    <w:p>
      <w:pPr>
        <w:pStyle w:val="Heading2Numbered"/>
        <w:numPr>
          <w:ilvl w:val="1"/>
          <w:numId w:val="13"/>
        </w:numPr>
        <w:ind w:hanging="0" w:start="0"/>
        <w:rPr>
          <w:sz w:val="24"/>
        </w:rPr>
      </w:pPr>
      <w:bookmarkStart w:id="2" w:name="__RefHeading___Toc157568629"/>
      <w:bookmarkEnd w:id="2"/>
      <w:r>
        <w:rPr/>
        <w:t>Safeguarding of GlobalPharma Assets and Data</w:t>
      </w:r>
    </w:p>
    <w:p>
      <w:pPr>
        <w:pStyle w:val="Heading3Numbered"/>
        <w:numPr>
          <w:ilvl w:val="2"/>
          <w:numId w:val="13"/>
        </w:numPr>
        <w:ind w:hanging="0" w:start="0"/>
        <w:rPr/>
      </w:pPr>
      <w:r>
        <w:rPr/>
        <w:t>The service Provider</w:t>
      </w:r>
      <w:r>
        <w:rPr>
          <w:rFonts w:cs="Times New Roman" w:ascii="Times New Roman" w:hAnsi="Times New Roman"/>
        </w:rPr>
        <w:t>’</w:t>
      </w:r>
      <w:r>
        <w:rPr/>
        <w:t>s responsibilities include, but are not limited to:</w:t>
      </w:r>
    </w:p>
    <w:p>
      <w:pPr>
        <w:pStyle w:val="Heading3Numbered"/>
        <w:numPr>
          <w:ilvl w:val="2"/>
          <w:numId w:val="13"/>
        </w:numPr>
        <w:ind w:hanging="0" w:start="0"/>
        <w:rPr/>
      </w:pPr>
      <w:r>
        <w:rPr/>
        <w:t>Ensure agreed upon controls which are communicated by GlobalPharma are in place to safeguard GlobalPharma assets, which are within the scope of the Agreement, prevent fraud, and identify suspicious or irregular activity.</w:t>
      </w:r>
    </w:p>
    <w:p>
      <w:pPr>
        <w:pStyle w:val="Heading3Numbered"/>
        <w:numPr>
          <w:ilvl w:val="2"/>
          <w:numId w:val="13"/>
        </w:numPr>
        <w:ind w:hanging="0" w:start="0"/>
        <w:rPr/>
      </w:pPr>
      <w:r>
        <w:rPr/>
        <w:t>Recommend changes to controls as required.</w:t>
      </w:r>
    </w:p>
    <w:p>
      <w:pPr>
        <w:pStyle w:val="Heading3Numbered"/>
        <w:numPr>
          <w:ilvl w:val="2"/>
          <w:numId w:val="13"/>
        </w:numPr>
        <w:ind w:hanging="0" w:start="0"/>
        <w:rPr/>
      </w:pPr>
      <w:r>
        <w:rPr/>
        <w:t>Provide employee retention and background checks as agreed with by GlobalPharma and inline with the local regulations in the service delivery countries..</w:t>
      </w:r>
    </w:p>
    <w:p>
      <w:pPr>
        <w:pStyle w:val="Heading3Numbered"/>
        <w:numPr>
          <w:ilvl w:val="2"/>
          <w:numId w:val="13"/>
        </w:numPr>
        <w:ind w:hanging="0" w:start="0"/>
        <w:rPr/>
      </w:pPr>
      <w:r>
        <w:rPr/>
        <w:t>Encrypt GlobalPharma data transmitted to and from the GlobalPharma network in a manner consistent with GlobalPharma policy using the built-in possibilities of the tools used.</w:t>
      </w:r>
    </w:p>
    <w:p>
      <w:pPr>
        <w:pStyle w:val="Heading3Numbered"/>
        <w:numPr>
          <w:ilvl w:val="2"/>
          <w:numId w:val="13"/>
        </w:numPr>
        <w:ind w:hanging="0" w:start="0"/>
        <w:rPr/>
      </w:pPr>
      <w:r>
        <w:rPr/>
        <w:t>Encrypt all GlobalPharma data transmitted to the GlobalPharma network by Service Provider and their partners, Affiliates, and Subcontractors in a manner consistent with GlobalPharma policy using the built-in possibilities of the tools used.</w:t>
      </w:r>
    </w:p>
    <w:p>
      <w:pPr>
        <w:pStyle w:val="Heading3Numbered"/>
        <w:numPr>
          <w:ilvl w:val="2"/>
          <w:numId w:val="13"/>
        </w:numPr>
        <w:spacing w:before="240" w:after="240"/>
        <w:ind w:hanging="0" w:start="0"/>
        <w:rPr/>
      </w:pPr>
      <w:r>
        <w:rPr/>
        <w:t>Encrypt all email containing GlobalPharma information transmitted outside GlobalPharma’s facilities and data network in a manner consistent with GlobalPharma policy using the built-in possibilities of the tools used.</w:t>
      </w:r>
    </w:p>
    <w:sectPr>
      <w:headerReference w:type="default" r:id="rId20"/>
      <w:headerReference w:type="first" r:id="rId21"/>
      <w:footerReference w:type="default" r:id="rId22"/>
      <w:footerReference w:type="first" r:id="rId23"/>
      <w:type w:val="nextPage"/>
      <w:pgSz w:w="12240" w:h="15840"/>
      <w:pgMar w:left="1440" w:right="1440" w:gutter="0" w:header="720" w:top="1728" w:footer="720" w:bottom="172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tab/>
      <w:t xml:space="preserve">Attach 17-A –  </w:t>
    </w:r>
    <w:r>
      <w:rPr>
        <w:szCs w:val="18"/>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7</w:t>
    </w:r>
    <w:r>
      <w:rPr>
        <w:rStyle w:val="PageNumber"/>
      </w:rPr>
      <w:fldChar w:fldCharType="end"/>
    </w:r>
  </w:p>
  <w:p>
    <w:pPr>
      <w:pStyle w:val="Footer"/>
      <w:tabs>
        <w:tab w:val="clear" w:pos="4680"/>
        <w:tab w:val="clear" w:pos="7200"/>
        <w:tab w:val="right" w:pos="9360" w:leader="none"/>
        <w:tab w:val="right" w:pos="14400" w:leader="none"/>
      </w:tabs>
      <w:spacing w:before="120" w:after="120"/>
      <w:rPr/>
    </w:pPr>
    <w:r>
      <w:rPr/>
      <w:t xml:space="preserve">GlobalPharma </w:t>
      <w:tab/>
      <w:t>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tab/>
      <w:t xml:space="preserve">Attach 17-A –  </w:t>
    </w:r>
    <w:r>
      <w:rPr>
        <w:szCs w:val="18"/>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7</w:t>
    </w:r>
    <w:r>
      <w:rPr>
        <w:rStyle w:val="PageNumber"/>
      </w:rPr>
      <w:fldChar w:fldCharType="end"/>
    </w:r>
  </w:p>
  <w:p>
    <w:pPr>
      <w:pStyle w:val="Footer"/>
      <w:tabs>
        <w:tab w:val="clear" w:pos="4680"/>
        <w:tab w:val="clear" w:pos="7200"/>
        <w:tab w:val="right" w:pos="9360" w:leader="none"/>
        <w:tab w:val="right" w:pos="14400" w:leader="none"/>
      </w:tabs>
      <w:spacing w:before="120" w:after="120"/>
      <w:rPr/>
    </w:pPr>
    <w:r>
      <w:rPr/>
      <w:t xml:space="preserve">GlobalPharma </w:t>
      <w:tab/>
      <w:t>CONFIDENTIAL</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right" w:pos="9000" w:leader="none"/>
        <w:tab w:val="right" w:pos="14400" w:leader="none"/>
      </w:tabs>
      <w:spacing w:before="120" w:after="120"/>
      <w:rPr/>
    </w:pPr>
    <w:r>
      <w:drawing>
        <wp:anchor behindDoc="1" distT="0" distB="0" distL="114935" distR="114935" simplePos="0" locked="0" layoutInCell="1" allowOverlap="1" relativeHeight="11">
          <wp:simplePos x="0" y="0"/>
          <wp:positionH relativeFrom="column">
            <wp:posOffset>4724400</wp:posOffset>
          </wp:positionH>
          <wp:positionV relativeFrom="paragraph">
            <wp:posOffset>-36195</wp:posOffset>
          </wp:positionV>
          <wp:extent cx="1028700" cy="385445"/>
          <wp:effectExtent l="0" t="0" r="0" b="0"/>
          <wp:wrapNone/>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r>
    <w:r>
      <w:rPr/>
      <w:drawing>
        <wp:inline distT="0" distB="0" distL="0" distR="0">
          <wp:extent cx="1494155" cy="34544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r>
      <w:rPr/>
      <w:tab/>
      <w:t xml:space="preserve"> </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right" w:pos="9000" w:leader="none"/>
        <w:tab w:val="right" w:pos="14400" w:leader="none"/>
      </w:tabs>
      <w:spacing w:before="120" w:after="120"/>
      <w:rPr/>
    </w:pPr>
    <w:r>
      <w:drawing>
        <wp:anchor behindDoc="1" distT="0" distB="0" distL="114935" distR="114935" simplePos="0" locked="0" layoutInCell="1" allowOverlap="1" relativeHeight="23">
          <wp:simplePos x="0" y="0"/>
          <wp:positionH relativeFrom="column">
            <wp:posOffset>4724400</wp:posOffset>
          </wp:positionH>
          <wp:positionV relativeFrom="paragraph">
            <wp:posOffset>-36195</wp:posOffset>
          </wp:positionV>
          <wp:extent cx="1028700" cy="385445"/>
          <wp:effectExtent l="0" t="0" r="0" b="0"/>
          <wp:wrapNone/>
          <wp:docPr id="3"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r>
    <w:r>
      <w:rPr/>
      <w:drawing>
        <wp:inline distT="0" distB="0" distL="0" distR="0">
          <wp:extent cx="1494155" cy="345440"/>
          <wp:effectExtent l="0" t="0" r="0" b="0"/>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r>
      <w:rPr/>
      <w:tab/>
      <w:t xml:space="preserve"> </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1440"/>
        </w:tabs>
        <w:ind w:start="1440" w:hanging="360"/>
      </w:pPr>
    </w:lvl>
  </w:abstractNum>
  <w:abstractNum w:abstractNumId="3">
    <w:lvl w:ilvl="0">
      <w:start w:val="1"/>
      <w:numFmt w:val="decimal"/>
      <w:lvlText w:val="%1."/>
      <w:lvlJc w:val="start"/>
      <w:pPr>
        <w:tabs>
          <w:tab w:val="num" w:pos="1080"/>
        </w:tabs>
        <w:ind w:start="1080" w:hanging="360"/>
      </w:pPr>
    </w:lvl>
  </w:abstractNum>
  <w:abstractNum w:abstractNumId="4">
    <w:lvl w:ilvl="0">
      <w:start w:val="1"/>
      <w:numFmt w:val="decimal"/>
      <w:lvlText w:val="%1."/>
      <w:lvlJc w:val="start"/>
      <w:pPr>
        <w:tabs>
          <w:tab w:val="num" w:pos="720"/>
        </w:tabs>
        <w:ind w:start="720" w:hanging="360"/>
      </w:pPr>
    </w:lvl>
  </w:abstractNum>
  <w:abstractNum w:abstractNumId="5">
    <w:lvl w:ilvl="0">
      <w:start w:val="1"/>
      <w:numFmt w:val="bullet"/>
      <w:lvlText w:val=""/>
      <w:lvlJc w:val="start"/>
      <w:pPr>
        <w:tabs>
          <w:tab w:val="num" w:pos="1440"/>
        </w:tabs>
        <w:ind w:start="1440" w:hanging="360"/>
      </w:pPr>
      <w:rPr>
        <w:rFonts w:ascii="Symbol" w:hAnsi="Symbol" w:cs="Symbol" w:hint="default"/>
      </w:rPr>
    </w:lvl>
  </w:abstractNum>
  <w:abstractNum w:abstractNumId="6">
    <w:lvl w:ilvl="0">
      <w:start w:val="1"/>
      <w:numFmt w:val="bullet"/>
      <w:lvlText w:val=""/>
      <w:lvlJc w:val="start"/>
      <w:pPr>
        <w:tabs>
          <w:tab w:val="num" w:pos="1080"/>
        </w:tabs>
        <w:ind w:start="1080" w:hanging="360"/>
      </w:pPr>
      <w:rPr>
        <w:rFonts w:ascii="Symbol" w:hAnsi="Symbol" w:cs="Symbol" w:hint="default"/>
      </w:rPr>
    </w:lvl>
  </w:abstractNum>
  <w:abstractNum w:abstractNumId="7">
    <w:lvl w:ilvl="0">
      <w:start w:val="1"/>
      <w:numFmt w:val="decimal"/>
      <w:lvlText w:val="%1."/>
      <w:lvlJc w:val="start"/>
      <w:pPr>
        <w:tabs>
          <w:tab w:val="num" w:pos="360"/>
        </w:tabs>
        <w:ind w:start="360" w:hanging="360"/>
      </w:pPr>
    </w:lvl>
  </w:abstractNum>
  <w:abstractNum w:abstractNumId="8">
    <w:lvl w:ilvl="0">
      <w:start w:val="1"/>
      <w:numFmt w:val="decimal"/>
      <w:lvlText w:val="%1."/>
      <w:lvlJc w:val="start"/>
      <w:pPr>
        <w:tabs>
          <w:tab w:val="num" w:pos="720"/>
        </w:tabs>
        <w:ind w:start="720" w:hanging="504"/>
      </w:pPr>
      <w:rPr>
        <w:sz w:val="22"/>
        <w:i w:val="false"/>
        <w:b w:val="false"/>
        <w:rFonts w:ascii="Times New Roman" w:hAnsi="Times New Roman" w:cs="Times New Roman"/>
        <w:color w:val="000000"/>
      </w:rPr>
    </w:lvl>
    <w:lvl w:ilvl="1">
      <w:start w:val="1"/>
      <w:numFmt w:val="decimal"/>
      <w:lvlText w:val="%1.%2."/>
      <w:lvlJc w:val="start"/>
      <w:pPr>
        <w:tabs>
          <w:tab w:val="num" w:pos="720"/>
        </w:tabs>
        <w:ind w:start="720" w:hanging="504"/>
      </w:pPr>
      <w:rPr>
        <w:sz w:val="22"/>
        <w:i w:val="false"/>
        <w:b w:val="false"/>
        <w:rFonts w:ascii="Times New Roman" w:hAnsi="Times New Roman" w:cs="Times New Roman"/>
      </w:rPr>
    </w:lvl>
    <w:lvl w:ilvl="2">
      <w:start w:val="1"/>
      <w:numFmt w:val="decimal"/>
      <w:lvlText w:val="%1.%2.%3."/>
      <w:lvlJc w:val="start"/>
      <w:pPr>
        <w:tabs>
          <w:tab w:val="num" w:pos="1296"/>
        </w:tabs>
        <w:ind w:start="1296" w:hanging="1080"/>
      </w:pPr>
      <w:rPr>
        <w:sz w:val="22"/>
        <w:i w:val="false"/>
        <w:b w:val="false"/>
        <w:rFonts w:ascii="Times New Roman" w:hAnsi="Times New Roman" w:cs="Times New Roman"/>
      </w:rPr>
    </w:lvl>
    <w:lvl w:ilvl="3">
      <w:start w:val="1"/>
      <w:numFmt w:val="decimal"/>
      <w:lvlText w:val="%1.%2.%3.%4."/>
      <w:lvlJc w:val="start"/>
      <w:pPr>
        <w:tabs>
          <w:tab w:val="num" w:pos="1296"/>
        </w:tabs>
        <w:ind w:start="1296" w:hanging="1080"/>
      </w:pPr>
      <w:rPr>
        <w:sz w:val="22"/>
        <w:i w:val="false"/>
        <w:b w:val="false"/>
        <w:rFonts w:ascii="Times New Roman" w:hAnsi="Times New Roman" w:cs="Times New Roman"/>
      </w:rPr>
    </w:lvl>
    <w:lvl w:ilvl="4">
      <w:start w:val="1"/>
      <w:numFmt w:val="upperLetter"/>
      <w:lvlText w:val="%5."/>
      <w:lvlJc w:val="start"/>
      <w:pPr>
        <w:tabs>
          <w:tab w:val="num" w:pos="1296"/>
        </w:tabs>
        <w:ind w:start="1296" w:hanging="576"/>
      </w:pPr>
      <w:rPr/>
    </w:lvl>
    <w:lvl w:ilvl="5">
      <w:start w:val="1"/>
      <w:numFmt w:val="decimal"/>
      <w:lvlText w:val="%6."/>
      <w:lvlJc w:val="start"/>
      <w:pPr>
        <w:tabs>
          <w:tab w:val="num" w:pos="1296"/>
        </w:tabs>
        <w:ind w:start="1296" w:hanging="576"/>
      </w:pPr>
      <w:rPr/>
    </w:lvl>
    <w:lvl w:ilvl="6">
      <w:start w:val="1"/>
      <w:numFmt w:val="lowerLetter"/>
      <w:lvlText w:val="%7."/>
      <w:lvlJc w:val="start"/>
      <w:pPr>
        <w:tabs>
          <w:tab w:val="num" w:pos="1728"/>
        </w:tabs>
        <w:ind w:start="1728" w:hanging="432"/>
      </w:pPr>
      <w:rPr/>
    </w:lvl>
    <w:lvl w:ilvl="7">
      <w:start w:val="1"/>
      <w:numFmt w:val="lowerRoman"/>
      <w:lvlText w:val="%8.)"/>
      <w:lvlJc w:val="start"/>
      <w:pPr>
        <w:tabs>
          <w:tab w:val="num" w:pos="1728"/>
        </w:tabs>
        <w:ind w:start="1728" w:hanging="432"/>
      </w:pPr>
      <w:rPr/>
    </w:lvl>
    <w:lvl w:ilvl="8">
      <w:start w:val="1"/>
      <w:numFmt w:val="none"/>
      <w:suff w:val="nothing"/>
      <w:lvlText w:val=""/>
      <w:lvlJc w:val="start"/>
      <w:pPr>
        <w:tabs>
          <w:tab w:val="num" w:pos="360"/>
        </w:tabs>
        <w:ind w:start="0" w:hanging="0"/>
      </w:pPr>
      <w:rPr/>
    </w:lvl>
  </w:abstractNum>
  <w:abstractNum w:abstractNumId="9">
    <w:lvl w:ilvl="0">
      <w:start w:val="1"/>
      <w:numFmt w:val="bullet"/>
      <w:lvlText w:val=""/>
      <w:lvlJc w:val="start"/>
      <w:pPr>
        <w:tabs>
          <w:tab w:val="num" w:pos="1800"/>
        </w:tabs>
        <w:ind w:start="1800" w:hanging="360"/>
      </w:pPr>
      <w:rPr>
        <w:rFonts w:ascii="Symbol" w:hAnsi="Symbol" w:cs="Symbol" w:hint="default"/>
      </w:rPr>
    </w:lvl>
  </w:abstractNum>
  <w:abstractNum w:abstractNumId="10">
    <w:lvl w:ilvl="0">
      <w:start w:val="1"/>
      <w:numFmt w:val="decimal"/>
      <w:lvlText w:val="%1."/>
      <w:lvlJc w:val="start"/>
      <w:pPr>
        <w:tabs>
          <w:tab w:val="num" w:pos="1627"/>
        </w:tabs>
        <w:ind w:start="1627" w:hanging="547"/>
      </w:pPr>
      <w:rPr>
        <w:sz w:val="22"/>
        <w:i w:val="false"/>
        <w:b w:val="false"/>
        <w:rFonts w:ascii="Times New Roman" w:hAnsi="Times New Roman" w:cs="Times New Roman"/>
        <w:color w:val="000000"/>
      </w:rPr>
    </w:lvl>
    <w:lvl w:ilvl="1">
      <w:start w:val="1"/>
      <w:numFmt w:val="decimal"/>
      <w:lvlText w:val="%1.%2."/>
      <w:lvlJc w:val="start"/>
      <w:pPr>
        <w:tabs>
          <w:tab w:val="num" w:pos="2160"/>
        </w:tabs>
        <w:ind w:start="2160" w:hanging="893"/>
      </w:pPr>
      <w:rPr>
        <w:sz w:val="22"/>
        <w:i w:val="false"/>
        <w:b w:val="false"/>
        <w:rFonts w:ascii="Times New Roman" w:hAnsi="Times New Roman" w:cs="Times New Roman"/>
      </w:rPr>
    </w:lvl>
    <w:lvl w:ilvl="2">
      <w:start w:val="1"/>
      <w:numFmt w:val="decimal"/>
      <w:lvlText w:val="%1.%2.%3."/>
      <w:lvlJc w:val="start"/>
      <w:pPr>
        <w:tabs>
          <w:tab w:val="num" w:pos="2707"/>
        </w:tabs>
        <w:ind w:start="2707" w:hanging="1080"/>
      </w:pPr>
      <w:rPr>
        <w:sz w:val="22"/>
        <w:i w:val="false"/>
        <w:b w:val="false"/>
        <w:rFonts w:ascii="Times New Roman" w:hAnsi="Times New Roman" w:cs="Times New Roman"/>
      </w:rPr>
    </w:lvl>
    <w:lvl w:ilvl="3">
      <w:start w:val="1"/>
      <w:numFmt w:val="decimal"/>
      <w:lvlText w:val="%1.%2.%3.%4"/>
      <w:lvlJc w:val="start"/>
      <w:pPr>
        <w:tabs>
          <w:tab w:val="num" w:pos="3240"/>
        </w:tabs>
        <w:ind w:start="3240" w:hanging="1613"/>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1">
    <w:lvl w:ilvl="0">
      <w:start w:val="1"/>
      <w:numFmt w:val="bullet"/>
      <w:lvlText w:val=""/>
      <w:lvlJc w:val="start"/>
      <w:pPr>
        <w:tabs>
          <w:tab w:val="num" w:pos="1800"/>
        </w:tabs>
        <w:ind w:start="1800" w:hanging="360"/>
      </w:pPr>
      <w:rPr>
        <w:rFonts w:ascii="Symbol" w:hAnsi="Symbol" w:cs="Symbol" w:hint="default"/>
      </w:rPr>
    </w:lvl>
  </w:abstractNum>
  <w:abstractNum w:abstractNumId="12">
    <w:lvl w:ilvl="0">
      <w:start w:val="1"/>
      <w:numFmt w:val="bullet"/>
      <w:lvlText w:val=""/>
      <w:lvlJc w:val="start"/>
      <w:pPr>
        <w:tabs>
          <w:tab w:val="num" w:pos="1080"/>
        </w:tabs>
        <w:ind w:start="1080" w:hanging="360"/>
      </w:pPr>
      <w:rPr>
        <w:rFonts w:ascii="Symbol" w:hAnsi="Symbol" w:cs="Symbol" w:hint="default"/>
      </w:rPr>
    </w:lvl>
  </w:abstractNum>
  <w:abstractNum w:abstractNumId="13">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decimal"/>
      <w:lvlText w:val="%1.%2.%3.%4.%5"/>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4">
    <w:lvl w:ilvl="0">
      <w:start w:val="1"/>
      <w:numFmt w:val="bullet"/>
      <w:lvlText w:val=""/>
      <w:lvlJc w:val="start"/>
      <w:pPr>
        <w:tabs>
          <w:tab w:val="num" w:pos="2707"/>
        </w:tabs>
        <w:ind w:start="2707" w:hanging="547"/>
      </w:pPr>
      <w:rPr>
        <w:rFonts w:ascii="Symbol" w:hAnsi="Symbol" w:cs="Symbol" w:hint="default"/>
      </w:rPr>
    </w:lvl>
  </w:abstractNum>
  <w:abstractNum w:abstractNumId="15">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6">
    <w:lvl w:ilvl="0">
      <w:start w:val="1"/>
      <w:numFmt w:val="bullet"/>
      <w:lvlText w:val=""/>
      <w:lvlJc w:val="start"/>
      <w:pPr>
        <w:tabs>
          <w:tab w:val="num" w:pos="720"/>
        </w:tabs>
        <w:ind w:start="720" w:hanging="360"/>
      </w:pPr>
      <w:rPr>
        <w:rFonts w:ascii="Symbol" w:hAnsi="Symbol" w:cs="Symbol" w:hint="default"/>
      </w:rPr>
    </w:lvl>
  </w:abstractNum>
  <w:abstractNum w:abstractNumId="17">
    <w:lvl w:ilvl="0">
      <w:start w:val="1"/>
      <w:numFmt w:val="bullet"/>
      <w:lvlText w:val=""/>
      <w:lvlJc w:val="start"/>
      <w:pPr>
        <w:tabs>
          <w:tab w:val="num" w:pos="1440"/>
        </w:tabs>
        <w:ind w:start="1440" w:hanging="360"/>
      </w:pPr>
      <w:rPr>
        <w:rFonts w:ascii="Symbol" w:hAnsi="Symbol" w:cs="Symbol" w:hint="default"/>
      </w:rPr>
    </w:lvl>
  </w:abstractNum>
  <w:abstractNum w:abstractNumId="18">
    <w:lvl w:ilvl="0">
      <w:start w:val="1"/>
      <w:numFmt w:val="bullet"/>
      <w:lvlText w:val=""/>
      <w:lvlJc w:val="start"/>
      <w:pPr>
        <w:tabs>
          <w:tab w:val="num" w:pos="1627"/>
        </w:tabs>
        <w:ind w:start="1627" w:hanging="547"/>
      </w:pPr>
      <w:rPr>
        <w:rFonts w:ascii="Symbol" w:hAnsi="Symbol" w:cs="Symbol" w:hint="default"/>
      </w:rPr>
    </w:lvl>
  </w:abstractNum>
  <w:abstractNum w:abstractNumId="19">
    <w:lvl w:ilvl="0">
      <w:start w:val="1"/>
      <w:numFmt w:val="bullet"/>
      <w:lvlText w:val=""/>
      <w:lvlJc w:val="start"/>
      <w:pPr>
        <w:tabs>
          <w:tab w:val="num" w:pos="2160"/>
        </w:tabs>
        <w:ind w:start="2160" w:hanging="533"/>
      </w:pPr>
      <w:rPr>
        <w:rFonts w:ascii="Symbol" w:hAnsi="Symbol" w:cs="Symbol" w:hint="default"/>
      </w:rPr>
    </w:lvl>
  </w:abstractNum>
  <w:abstractNum w:abstractNumId="20">
    <w:lvl w:ilvl="0">
      <w:start w:val="1"/>
      <w:numFmt w:val="bullet"/>
      <w:lvlText w:val=""/>
      <w:lvlJc w:val="start"/>
      <w:pPr>
        <w:tabs>
          <w:tab w:val="num" w:pos="3240"/>
        </w:tabs>
        <w:ind w:start="3240" w:hanging="53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TableText"/>
    <w:qFormat/>
    <w:pPr>
      <w:keepNext w:val="true"/>
      <w:keepLines/>
      <w:numPr>
        <w:ilvl w:val="0"/>
        <w:numId w:val="1"/>
      </w:numPr>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TableText"/>
    <w:qFormat/>
    <w:pPr>
      <w:numPr>
        <w:ilvl w:val="1"/>
        <w:numId w:val="1"/>
      </w:numPr>
      <w:outlineLvl w:val="1"/>
    </w:pPr>
    <w:rPr>
      <w:bCs w:val="false"/>
      <w:iCs/>
      <w:caps w:val="false"/>
      <w:smallCaps w:val="false"/>
      <w:szCs w:val="28"/>
    </w:rPr>
  </w:style>
  <w:style w:type="paragraph" w:styleId="Heading3">
    <w:name w:val="heading 3"/>
    <w:basedOn w:val="Heading2"/>
    <w:next w:val="TableText"/>
    <w:qFormat/>
    <w:pPr>
      <w:numPr>
        <w:ilvl w:val="2"/>
        <w:numId w:val="1"/>
      </w:numPr>
      <w:outlineLvl w:val="2"/>
    </w:pPr>
    <w:rPr>
      <w:bCs/>
      <w:sz w:val="24"/>
      <w:szCs w:val="26"/>
    </w:rPr>
  </w:style>
  <w:style w:type="paragraph" w:styleId="Heading4">
    <w:name w:val="heading 4"/>
    <w:basedOn w:val="Heading3"/>
    <w:next w:val="TableText"/>
    <w:qFormat/>
    <w:pPr>
      <w:numPr>
        <w:ilvl w:val="3"/>
        <w:numId w:val="1"/>
      </w:numPr>
      <w:outlineLvl w:val="3"/>
    </w:pPr>
    <w:rPr>
      <w:bCs w:val="false"/>
      <w:i/>
      <w:szCs w:val="28"/>
    </w:rPr>
  </w:style>
  <w:style w:type="paragraph" w:styleId="Heading5">
    <w:name w:val="heading 5"/>
    <w:basedOn w:val="Normal"/>
    <w:next w:val="Normal"/>
    <w:qFormat/>
    <w:pPr>
      <w:keepNext w:val="true"/>
      <w:numPr>
        <w:ilvl w:val="4"/>
        <w:numId w:val="1"/>
      </w:numPr>
      <w:outlineLvl w:val="4"/>
    </w:pPr>
    <w:rPr>
      <w:b/>
      <w:bCs/>
      <w:sz w:val="20"/>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7z0">
    <w:name w:val="WW8Num7z0"/>
    <w:qFormat/>
    <w:rPr>
      <w:rFonts w:ascii="Times New Roman" w:hAnsi="Times New Roman" w:cs="Times New Roman"/>
      <w:b w:val="false"/>
      <w:i w:val="false"/>
      <w:color w:val="000000"/>
      <w:sz w:val="22"/>
    </w:rPr>
  </w:style>
  <w:style w:type="character" w:styleId="WW8Num7z1">
    <w:name w:val="WW8Num7z1"/>
    <w:qFormat/>
    <w:rPr>
      <w:rFonts w:ascii="Times New Roman" w:hAnsi="Times New Roman" w:cs="Times New Roman"/>
      <w:b w:val="false"/>
      <w:i w:val="false"/>
      <w:sz w:val="22"/>
    </w:rPr>
  </w:style>
  <w:style w:type="character" w:styleId="WW8Num7z4">
    <w:name w:val="WW8Num7z4"/>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Times New Roman" w:hAnsi="Times New Roman" w:cs="Times New Roman"/>
      <w:b w:val="false"/>
      <w:i w:val="false"/>
      <w:color w:val="000000"/>
      <w:sz w:val="22"/>
    </w:rPr>
  </w:style>
  <w:style w:type="character" w:styleId="WW8Num9z1">
    <w:name w:val="WW8Num9z1"/>
    <w:qFormat/>
    <w:rPr>
      <w:rFonts w:ascii="Times New Roman" w:hAnsi="Times New Roman" w:cs="Times New Roman"/>
      <w:b w:val="false"/>
      <w:i w:val="false"/>
      <w:sz w:val="22"/>
    </w:rPr>
  </w:style>
  <w:style w:type="character" w:styleId="WW8Num9z4">
    <w:name w:val="WW8Num9z4"/>
    <w:qFormat/>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Times New Roman Bold;Times New Roman" w:hAnsi="Times New Roman Bold;Times New Roman" w:cs="Times New Roman Bold;Times New Roman"/>
      <w:b/>
      <w:i w:val="false"/>
      <w:sz w:val="28"/>
    </w:rPr>
  </w:style>
  <w:style w:type="character" w:styleId="WW8Num12z2">
    <w:name w:val="WW8Num12z2"/>
    <w:qFormat/>
    <w:rPr>
      <w:rFonts w:ascii="Times New Roman" w:hAnsi="Times New Roman" w:cs="Times New Roman"/>
      <w:b/>
      <w:i w:val="false"/>
      <w:sz w:val="24"/>
    </w:rPr>
  </w:style>
  <w:style w:type="character" w:styleId="WW8Num12z4">
    <w:name w:val="WW8Num12z4"/>
    <w:qFormat/>
    <w:rPr>
      <w:rFonts w:ascii="Times New Roman Bold;Times New Roman" w:hAnsi="Times New Roman Bold;Times New Roman" w:cs="Times New Roman Bold;Times New Roman"/>
      <w:b/>
      <w:i w:val="false"/>
      <w:sz w:val="22"/>
      <w:szCs w:val="22"/>
    </w:rPr>
  </w:style>
  <w:style w:type="character" w:styleId="WW8Num12z5">
    <w:name w:val="WW8Num12z5"/>
    <w:qFormat/>
    <w:rPr>
      <w:rFonts w:ascii="Times New Roman" w:hAnsi="Times New Roman" w:cs="Times New Roman"/>
      <w:b w:val="false"/>
      <w:i w:val="false"/>
      <w:sz w:val="22"/>
    </w:rPr>
  </w:style>
  <w:style w:type="character" w:styleId="WW8Num12z8">
    <w:name w:val="WW8Num12z8"/>
    <w:qFormat/>
    <w:rPr/>
  </w:style>
  <w:style w:type="character" w:styleId="WW8Num13z0">
    <w:name w:val="WW8Num13z0"/>
    <w:qFormat/>
    <w:rPr>
      <w:rFonts w:ascii="Wingdings" w:hAnsi="Wingdings" w:cs="Wingdings"/>
    </w:rPr>
  </w:style>
  <w:style w:type="character" w:styleId="WW8Num13z1">
    <w:name w:val="WW8Num13z1"/>
    <w:qFormat/>
    <w:rPr>
      <w:rFonts w:ascii="Courier New" w:hAnsi="Courier New" w:cs="Courier New"/>
    </w:rPr>
  </w:style>
  <w:style w:type="character" w:styleId="WW8Num13z3">
    <w:name w:val="WW8Num13z3"/>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Times New Roman Bold;Times New Roman" w:hAnsi="Times New Roman Bold;Times New Roman" w:cs="Times New Roman Bold;Times New Roman"/>
      <w:b/>
      <w:i w:val="false"/>
      <w:sz w:val="28"/>
    </w:rPr>
  </w:style>
  <w:style w:type="character" w:styleId="WW8Num15z2">
    <w:name w:val="WW8Num15z2"/>
    <w:qFormat/>
    <w:rPr>
      <w:rFonts w:ascii="Times New Roman" w:hAnsi="Times New Roman" w:cs="Times New Roman"/>
      <w:b/>
      <w:i w:val="false"/>
      <w:sz w:val="24"/>
    </w:rPr>
  </w:style>
  <w:style w:type="character" w:styleId="WW8Num15z4">
    <w:name w:val="WW8Num15z4"/>
    <w:qFormat/>
    <w:rPr>
      <w:rFonts w:ascii="Times New Roman" w:hAnsi="Times New Roman" w:cs="Times New Roman"/>
      <w:b w:val="false"/>
      <w:i w:val="false"/>
      <w:sz w:val="22"/>
    </w:rPr>
  </w:style>
  <w:style w:type="character" w:styleId="WW8Num15z8">
    <w:name w:val="WW8Num15z8"/>
    <w:qFormat/>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Times New Roman Bold;Times New Roman" w:hAnsi="Times New Roman Bold;Times New Roman" w:cs="Times New Roman Bold;Times New Roman"/>
      <w:b/>
      <w:i w:val="false"/>
      <w:color w:val="000000"/>
      <w:sz w:val="28"/>
      <w:szCs w:val="28"/>
    </w:rPr>
  </w:style>
  <w:style w:type="character" w:styleId="WW8Num22z1">
    <w:name w:val="WW8Num22z1"/>
    <w:qFormat/>
    <w:rPr>
      <w:rFonts w:ascii="Times New Roman" w:hAnsi="Times New Roman" w:cs="Times New Roman"/>
      <w:b w:val="false"/>
      <w:i w:val="false"/>
      <w:sz w:val="22"/>
    </w:rPr>
  </w:style>
  <w:style w:type="character" w:styleId="WW8Num22z4">
    <w:name w:val="WW8Num22z4"/>
    <w:qFormat/>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Absatz-Standardschriftart">
    <w:name w:val="Absatz-Standardschriftart"/>
    <w:qFormat/>
    <w:rPr/>
  </w:style>
  <w:style w:type="character" w:styleId="PageNumber">
    <w:name w:val="page number"/>
    <w:basedOn w:val="Absatz-Standardschriftart"/>
    <w:rPr/>
  </w:style>
  <w:style w:type="character" w:styleId="Hyperlink">
    <w:name w:val="Hyperlink"/>
    <w:basedOn w:val="Absatz-Standardschriftart"/>
    <w:rPr>
      <w:color w:val="0000FF"/>
      <w:u w:val="single"/>
    </w:rPr>
  </w:style>
  <w:style w:type="character" w:styleId="strikeout">
    <w:name w:val="strikeout"/>
    <w:basedOn w:val="Absatz-Standardschriftart"/>
    <w:qFormat/>
    <w:rPr>
      <w:strike w:val="false"/>
      <w:dstrike w:val="false"/>
      <w:color w:val="FF0000"/>
    </w:rPr>
  </w:style>
  <w:style w:type="character" w:styleId="Revised-NewChar">
    <w:name w:val="Revised - New Char"/>
    <w:basedOn w:val="Absatz-Standardschriftart"/>
    <w:qFormat/>
    <w:rPr>
      <w:rFonts w:ascii="Arial" w:hAnsi="Arial" w:cs="Arial"/>
      <w:b/>
      <w:color w:val="333399"/>
      <w:sz w:val="22"/>
      <w:szCs w:val="22"/>
      <w:lang w:val="en-US" w:bidi="ar-SA"/>
    </w:rPr>
  </w:style>
  <w:style w:type="character" w:styleId="Heading3NumberedChar">
    <w:name w:val="Heading 3 Numbered Char"/>
    <w:basedOn w:val="Absatz-Standardschriftart"/>
    <w:qFormat/>
    <w:rPr>
      <w:rFonts w:ascii="Times New Roman Bold;Times New Roman" w:hAnsi="Times New Roman Bold;Times New Roman" w:cs="Times New Roman Bold;Times New Roman"/>
      <w:b/>
      <w:sz w:val="28"/>
      <w:szCs w:val="24"/>
      <w:lang w:val="en-US" w:bidi="ar-SA"/>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180" w:after="18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80" w:leader="none"/>
        <w:tab w:val="center" w:pos="7200" w:leader="none"/>
        <w:tab w:val="right" w:pos="14400" w:leader="none"/>
      </w:tabs>
    </w:pPr>
    <w:rPr>
      <w:i/>
      <w:sz w:val="18"/>
    </w:rPr>
  </w:style>
  <w:style w:type="paragraph" w:styleId="Header">
    <w:name w:val="header"/>
    <w:basedOn w:val="Normal"/>
    <w:pPr>
      <w:tabs>
        <w:tab w:val="clear" w:pos="720"/>
        <w:tab w:val="right" w:pos="9360" w:leader="none"/>
        <w:tab w:val="right" w:pos="14400" w:leader="none"/>
      </w:tabs>
    </w:pPr>
    <w:rPr>
      <w:i/>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el">
    <w:name w:val="Titel"/>
    <w:basedOn w:val="Normal"/>
    <w:next w:val="Normal"/>
    <w:qFormat/>
    <w:pPr>
      <w:spacing w:before="240" w:after="240"/>
      <w:jc w:val="center"/>
      <w:outlineLvl w:val="0"/>
    </w:pPr>
    <w:rPr>
      <w:rFonts w:cs="Arial"/>
      <w:b/>
      <w:bCs/>
      <w:caps/>
      <w:kern w:val="2"/>
      <w:sz w:val="32"/>
      <w:szCs w:val="32"/>
    </w:rPr>
  </w:style>
  <w:style w:type="paragraph" w:styleId="TOC1">
    <w:name w:val="toc 1"/>
    <w:basedOn w:val="Normal"/>
    <w:next w:val="Normal"/>
    <w:pPr/>
    <w:rPr>
      <w:b/>
      <w:bCs/>
      <w:caps/>
      <w:sz w:val="20"/>
      <w:szCs w:val="20"/>
    </w:rPr>
  </w:style>
  <w:style w:type="paragraph" w:styleId="TOC2">
    <w:name w:val="toc 2"/>
    <w:basedOn w:val="Normal"/>
    <w:next w:val="Normal"/>
    <w:pPr>
      <w:spacing w:before="0" w:after="0"/>
      <w:ind w:hanging="0" w:start="220" w:end="0"/>
    </w:pPr>
    <w:rPr>
      <w:smallCaps/>
      <w:sz w:val="20"/>
      <w:szCs w:val="20"/>
    </w:rPr>
  </w:style>
  <w:style w:type="paragraph" w:styleId="TOC3">
    <w:name w:val="toc 3"/>
    <w:basedOn w:val="Normal"/>
    <w:next w:val="Normal"/>
    <w:pPr>
      <w:spacing w:before="0" w:after="0"/>
      <w:ind w:hanging="0" w:start="440" w:end="0"/>
    </w:pPr>
    <w:rPr>
      <w:i/>
      <w:iCs/>
      <w:sz w:val="20"/>
      <w:szCs w:val="20"/>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4">
    <w:name w:val="toc 4"/>
    <w:basedOn w:val="Normal"/>
    <w:next w:val="Normal"/>
    <w:pPr>
      <w:spacing w:before="0" w:after="0"/>
      <w:ind w:hanging="0" w:start="660" w:end="0"/>
    </w:pPr>
    <w:rPr>
      <w:sz w:val="18"/>
      <w:szCs w:val="18"/>
    </w:rPr>
  </w:style>
  <w:style w:type="paragraph" w:styleId="TOC5">
    <w:name w:val="toc 5"/>
    <w:basedOn w:val="Normal"/>
    <w:next w:val="Normal"/>
    <w:pPr>
      <w:spacing w:before="0" w:after="0"/>
      <w:ind w:hanging="0" w:start="880" w:end="0"/>
    </w:pPr>
    <w:rPr>
      <w:sz w:val="18"/>
      <w:szCs w:val="18"/>
    </w:rPr>
  </w:style>
  <w:style w:type="paragraph" w:styleId="TOC6">
    <w:name w:val="toc 6"/>
    <w:basedOn w:val="Normal"/>
    <w:next w:val="Normal"/>
    <w:pPr>
      <w:spacing w:before="0" w:after="0"/>
      <w:ind w:hanging="0" w:start="1100" w:end="0"/>
    </w:pPr>
    <w:rPr>
      <w:sz w:val="18"/>
      <w:szCs w:val="18"/>
    </w:rPr>
  </w:style>
  <w:style w:type="paragraph" w:styleId="TOC7">
    <w:name w:val="toc 7"/>
    <w:basedOn w:val="Normal"/>
    <w:next w:val="Normal"/>
    <w:pPr>
      <w:spacing w:before="0" w:after="0"/>
      <w:ind w:hanging="0" w:start="1320" w:end="0"/>
    </w:pPr>
    <w:rPr>
      <w:sz w:val="18"/>
      <w:szCs w:val="18"/>
    </w:rPr>
  </w:style>
  <w:style w:type="paragraph" w:styleId="TOC8">
    <w:name w:val="toc 8"/>
    <w:basedOn w:val="Normal"/>
    <w:next w:val="Normal"/>
    <w:pPr>
      <w:spacing w:before="0" w:after="0"/>
      <w:ind w:hanging="0" w:start="1540" w:end="0"/>
    </w:pPr>
    <w:rPr>
      <w:sz w:val="18"/>
      <w:szCs w:val="18"/>
    </w:rPr>
  </w:style>
  <w:style w:type="paragraph" w:styleId="TOC9">
    <w:name w:val="toc 9"/>
    <w:basedOn w:val="Normal"/>
    <w:next w:val="Normal"/>
    <w:pPr>
      <w:spacing w:before="0" w:after="0"/>
      <w:ind w:hanging="0" w:start="1760" w:end="0"/>
    </w:pPr>
    <w:rPr>
      <w:sz w:val="18"/>
      <w:szCs w:val="18"/>
    </w:rPr>
  </w:style>
  <w:style w:type="paragraph" w:styleId="Bullet1BodyText">
    <w:name w:val="Bullet 1 Body Text"/>
    <w:basedOn w:val="Normal"/>
    <w:qFormat/>
    <w:pPr>
      <w:numPr>
        <w:ilvl w:val="0"/>
        <w:numId w:val="9"/>
      </w:numPr>
      <w:spacing w:before="240" w:after="240"/>
    </w:pPr>
    <w:rPr/>
  </w:style>
  <w:style w:type="paragraph" w:styleId="TableTextBullet">
    <w:name w:val="Table Text Bullet"/>
    <w:basedOn w:val="Normal"/>
    <w:qFormat/>
    <w:pPr>
      <w:numPr>
        <w:ilvl w:val="0"/>
        <w:numId w:val="16"/>
      </w:numPr>
    </w:pPr>
    <w:rPr/>
  </w:style>
  <w:style w:type="paragraph" w:styleId="Bullet1Table">
    <w:name w:val="Bullet 1 Table"/>
    <w:basedOn w:val="TableTextBullet"/>
    <w:next w:val="TableTextBullet"/>
    <w:qFormat/>
    <w:pPr>
      <w:numPr>
        <w:ilvl w:val="0"/>
        <w:numId w:val="16"/>
      </w:numPr>
    </w:pPr>
    <w:rPr/>
  </w:style>
  <w:style w:type="paragraph" w:styleId="Heading1Numbered">
    <w:name w:val="Heading 1 Numbered"/>
    <w:basedOn w:val="Normal"/>
    <w:next w:val="TableText"/>
    <w:qFormat/>
    <w:pPr>
      <w:keepNext w:val="true"/>
      <w:keepLines/>
      <w:numPr>
        <w:ilvl w:val="0"/>
        <w:numId w:val="13"/>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next w:val="TableText"/>
    <w:qFormat/>
    <w:pPr>
      <w:keepNext w:val="true"/>
      <w:keepLines/>
      <w:numPr>
        <w:ilvl w:val="0"/>
        <w:numId w:val="13"/>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Heading2Numbered"/>
    <w:next w:val="TableText"/>
    <w:qFormat/>
    <w:pPr>
      <w:numPr>
        <w:ilvl w:val="0"/>
        <w:numId w:val="13"/>
      </w:numPr>
    </w:pPr>
    <w:rPr/>
  </w:style>
  <w:style w:type="paragraph" w:styleId="Heading4Numbered">
    <w:name w:val="Heading 4 Numbered"/>
    <w:basedOn w:val="Normal"/>
    <w:next w:val="TableText"/>
    <w:qFormat/>
    <w:pPr>
      <w:keepNext w:val="true"/>
      <w:keepLines/>
      <w:numPr>
        <w:ilvl w:val="0"/>
        <w:numId w:val="13"/>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1Numbered">
    <w:name w:val="Table Level 1 Numbered"/>
    <w:basedOn w:val="Normal"/>
    <w:qFormat/>
    <w:pPr>
      <w:numPr>
        <w:ilvl w:val="0"/>
        <w:numId w:val="8"/>
      </w:numPr>
    </w:pPr>
    <w:rPr/>
  </w:style>
  <w:style w:type="paragraph" w:styleId="TableLevel2Numbered">
    <w:name w:val="Table Level 2 Numbered"/>
    <w:basedOn w:val="Normal"/>
    <w:qFormat/>
    <w:pPr>
      <w:numPr>
        <w:ilvl w:val="0"/>
        <w:numId w:val="8"/>
      </w:numPr>
    </w:pPr>
    <w:rPr/>
  </w:style>
  <w:style w:type="paragraph" w:styleId="TableLevel3Numbered">
    <w:name w:val="Table Level 3 Numbered"/>
    <w:basedOn w:val="Normal"/>
    <w:qFormat/>
    <w:pPr>
      <w:numPr>
        <w:ilvl w:val="0"/>
        <w:numId w:val="8"/>
      </w:numPr>
    </w:pPr>
    <w:rPr/>
  </w:style>
  <w:style w:type="paragraph" w:styleId="TableLevel4Numbered">
    <w:name w:val="Table Level 4 Numbered"/>
    <w:basedOn w:val="Normal"/>
    <w:qFormat/>
    <w:pPr>
      <w:numPr>
        <w:ilvl w:val="0"/>
        <w:numId w:val="8"/>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10"/>
      </w:numPr>
      <w:spacing w:before="180" w:after="180"/>
    </w:pPr>
    <w:rPr/>
  </w:style>
  <w:style w:type="paragraph" w:styleId="BodyLevel2Numbered">
    <w:name w:val="Body Level 2 Numbered"/>
    <w:basedOn w:val="Normal"/>
    <w:qFormat/>
    <w:pPr>
      <w:numPr>
        <w:ilvl w:val="0"/>
        <w:numId w:val="10"/>
      </w:numPr>
      <w:spacing w:before="180" w:after="180"/>
    </w:pPr>
    <w:rPr/>
  </w:style>
  <w:style w:type="paragraph" w:styleId="BodyLevel3Numbered">
    <w:name w:val="Body Level 3 Numbered"/>
    <w:basedOn w:val="Normal"/>
    <w:qFormat/>
    <w:pPr>
      <w:numPr>
        <w:ilvl w:val="0"/>
        <w:numId w:val="10"/>
      </w:numPr>
      <w:spacing w:before="180" w:after="180"/>
    </w:pPr>
    <w:rPr/>
  </w:style>
  <w:style w:type="paragraph" w:styleId="BodyLevel4Numbered">
    <w:name w:val="Body Level 4 Numbered"/>
    <w:basedOn w:val="Normal"/>
    <w:qFormat/>
    <w:pPr>
      <w:numPr>
        <w:ilvl w:val="0"/>
        <w:numId w:val="10"/>
      </w:numPr>
      <w:spacing w:before="180" w:after="180"/>
    </w:pPr>
    <w:rPr/>
  </w:style>
  <w:style w:type="paragraph" w:styleId="BodyLevel1Text">
    <w:name w:val="Body Level 1 Text"/>
    <w:basedOn w:val="BodyText"/>
    <w:qFormat/>
    <w:pPr>
      <w:ind w:hanging="0" w:start="1620" w:end="0"/>
    </w:pPr>
    <w:rPr/>
  </w:style>
  <w:style w:type="paragraph" w:styleId="BodyLevel2Text">
    <w:name w:val="Body Level 2 Text"/>
    <w:basedOn w:val="BodyText"/>
    <w:qFormat/>
    <w:pPr>
      <w:ind w:hanging="0" w:start="2160" w:end="0"/>
    </w:pPr>
    <w:rPr/>
  </w:style>
  <w:style w:type="paragraph" w:styleId="BodyLevel3Text">
    <w:name w:val="Body Level 3 Text"/>
    <w:basedOn w:val="BodyText"/>
    <w:qFormat/>
    <w:pPr>
      <w:ind w:hanging="0" w:start="2700" w:end="0"/>
    </w:pPr>
    <w:rPr/>
  </w:style>
  <w:style w:type="paragraph" w:styleId="BodyLevel4Text">
    <w:name w:val="Body Level 4 Text"/>
    <w:basedOn w:val="BodyText"/>
    <w:qFormat/>
    <w:pPr>
      <w:ind w:hanging="0" w:start="3240" w:end="0"/>
    </w:pPr>
    <w:rPr/>
  </w:style>
  <w:style w:type="paragraph" w:styleId="Sprechblasentext">
    <w:name w:val="Sprechblasentext"/>
    <w:basedOn w:val="Normal"/>
    <w:qFormat/>
    <w:pPr/>
    <w:rPr>
      <w:rFonts w:ascii="Tahoma" w:hAnsi="Tahoma" w:cs="Tahoma"/>
      <w:sz w:val="16"/>
      <w:szCs w:val="16"/>
    </w:rPr>
  </w:style>
  <w:style w:type="paragraph" w:styleId="BodyTextBullet">
    <w:name w:val="Body Text Bullet"/>
    <w:basedOn w:val="Normal"/>
    <w:qFormat/>
    <w:pPr>
      <w:numPr>
        <w:ilvl w:val="0"/>
        <w:numId w:val="18"/>
      </w:numPr>
      <w:tabs>
        <w:tab w:val="clear" w:pos="720"/>
        <w:tab w:val="left" w:pos="1440" w:leader="none"/>
      </w:tabs>
      <w:ind w:hanging="360" w:start="1440" w:end="0"/>
    </w:pPr>
    <w:rPr/>
  </w:style>
  <w:style w:type="paragraph" w:styleId="BodyTextBulletL1">
    <w:name w:val="Body Text Bullet L1"/>
    <w:basedOn w:val="Normal"/>
    <w:qFormat/>
    <w:pPr>
      <w:numPr>
        <w:ilvl w:val="0"/>
        <w:numId w:val="19"/>
      </w:numPr>
      <w:ind w:hanging="360" w:start="0" w:end="0"/>
    </w:pPr>
    <w:rPr/>
  </w:style>
  <w:style w:type="paragraph" w:styleId="BodyTextBulletL2">
    <w:name w:val="Body Text Bullet L2"/>
    <w:basedOn w:val="Normal"/>
    <w:qFormat/>
    <w:pPr>
      <w:numPr>
        <w:ilvl w:val="0"/>
        <w:numId w:val="14"/>
      </w:numPr>
      <w:ind w:hanging="367" w:start="0" w:end="0"/>
    </w:pPr>
    <w:rPr/>
  </w:style>
  <w:style w:type="paragraph" w:styleId="BodyTextBulletL3">
    <w:name w:val="Body Text Bullet L3"/>
    <w:basedOn w:val="Normal"/>
    <w:qFormat/>
    <w:pPr>
      <w:numPr>
        <w:ilvl w:val="0"/>
        <w:numId w:val="20"/>
      </w:numPr>
      <w:ind w:hanging="360" w:start="0" w:end="0"/>
    </w:pPr>
    <w:rPr/>
  </w:style>
  <w:style w:type="paragraph" w:styleId="Datum">
    <w:name w:val="Datum"/>
    <w:basedOn w:val="Normal"/>
    <w:next w:val="Normal"/>
    <w:qFormat/>
    <w:pPr/>
    <w:rPr/>
  </w:style>
  <w:style w:type="paragraph" w:styleId="Head1-NoTOCor">
    <w:name w:val="Head 1 - No TOC or #"/>
    <w:basedOn w:val="Normal"/>
    <w:next w:val="TableText"/>
    <w:qFormat/>
    <w:pPr>
      <w:keepNext w:val="true"/>
      <w:keepLines/>
      <w:spacing w:before="240" w:after="240"/>
    </w:pPr>
    <w:rPr>
      <w:rFonts w:ascii="Times New Roman Bold;Times New Roman" w:hAnsi="Times New Roman Bold;Times New Roman" w:cs="Times New Roman Bold;Times New Roman"/>
      <w:b/>
      <w:caps/>
      <w:sz w:val="28"/>
      <w:szCs w:val="28"/>
    </w:rPr>
  </w:style>
  <w:style w:type="paragraph" w:styleId="Head1-NoTOC">
    <w:name w:val="Head 1 # - No TOC"/>
    <w:basedOn w:val="Heading1Numbered"/>
    <w:next w:val="BodyText"/>
    <w:qFormat/>
    <w:pPr>
      <w:numPr>
        <w:ilvl w:val="0"/>
        <w:numId w:val="15"/>
      </w:numPr>
    </w:pPr>
    <w:rPr/>
  </w:style>
  <w:style w:type="paragraph" w:styleId="Head2-NoTOCor">
    <w:name w:val="Head 2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8"/>
      <w:szCs w:val="28"/>
    </w:rPr>
  </w:style>
  <w:style w:type="paragraph" w:styleId="Head2-NoTOC">
    <w:name w:val="Head 2 # - No TOC"/>
    <w:basedOn w:val="Heading2Numbered"/>
    <w:next w:val="BodyText"/>
    <w:qFormat/>
    <w:pPr>
      <w:numPr>
        <w:ilvl w:val="0"/>
        <w:numId w:val="15"/>
      </w:numPr>
    </w:pPr>
    <w:rPr/>
  </w:style>
  <w:style w:type="paragraph" w:styleId="Head3-NoTOCor">
    <w:name w:val="Head 3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4"/>
    </w:rPr>
  </w:style>
  <w:style w:type="paragraph" w:styleId="Head3-NoTOC">
    <w:name w:val="Head 3 # - No TOC"/>
    <w:basedOn w:val="Heading3Numbered"/>
    <w:next w:val="BodyText"/>
    <w:qFormat/>
    <w:pPr>
      <w:numPr>
        <w:ilvl w:val="0"/>
        <w:numId w:val="15"/>
      </w:numPr>
    </w:pPr>
    <w:rPr/>
  </w:style>
  <w:style w:type="paragraph" w:styleId="Head4-NoTOCor">
    <w:name w:val="Head 4 - No TOC or #"/>
    <w:basedOn w:val="Heading4"/>
    <w:next w:val="TableText"/>
    <w:qFormat/>
    <w:pPr>
      <w:numPr>
        <w:ilvl w:val="0"/>
        <w:numId w:val="0"/>
      </w:numPr>
      <w:outlineLvl w:val="9"/>
    </w:pPr>
    <w:rPr/>
  </w:style>
  <w:style w:type="paragraph" w:styleId="Head4-NoTOC">
    <w:name w:val="Head 4 # - No TOC"/>
    <w:basedOn w:val="Heading4Numbered"/>
    <w:next w:val="BodyText"/>
    <w:qFormat/>
    <w:pPr>
      <w:numPr>
        <w:ilvl w:val="0"/>
        <w:numId w:val="15"/>
      </w:numPr>
    </w:pPr>
    <w:rPr/>
  </w:style>
  <w:style w:type="paragraph" w:styleId="Aufzhlungszeichen">
    <w:name w:val="Aufzählungszeichen"/>
    <w:basedOn w:val="BodyTextBullet"/>
    <w:qFormat/>
    <w:pPr/>
    <w:rPr/>
  </w:style>
  <w:style w:type="paragraph" w:styleId="Aufzhlungszeichen2">
    <w:name w:val="Aufzählungszeichen 2"/>
    <w:basedOn w:val="BodyTextBulletL1"/>
    <w:qFormat/>
    <w:pPr/>
    <w:rPr/>
  </w:style>
  <w:style w:type="paragraph" w:styleId="TableLevel1-2Bullet">
    <w:name w:val="Table Level 1-2 Bullet"/>
    <w:basedOn w:val="Normal"/>
    <w:qFormat/>
    <w:pPr>
      <w:numPr>
        <w:ilvl w:val="0"/>
        <w:numId w:val="17"/>
      </w:numPr>
    </w:pPr>
    <w:rPr/>
  </w:style>
  <w:style w:type="paragraph" w:styleId="TableLevel1-2Indent">
    <w:name w:val="Table Level 1-2 Indent"/>
    <w:basedOn w:val="Normal"/>
    <w:qFormat/>
    <w:pPr>
      <w:ind w:hanging="0" w:start="720" w:end="0"/>
    </w:pPr>
    <w:rPr/>
  </w:style>
  <w:style w:type="paragraph" w:styleId="TableLevel5Numbered">
    <w:name w:val="Table Level 5 Numbered"/>
    <w:basedOn w:val="Normal"/>
    <w:qFormat/>
    <w:pPr>
      <w:numPr>
        <w:ilvl w:val="0"/>
        <w:numId w:val="8"/>
      </w:numPr>
    </w:pPr>
    <w:rPr/>
  </w:style>
  <w:style w:type="paragraph" w:styleId="TableLevel3-4Bullet">
    <w:name w:val="Table Level 3-4 Bullet"/>
    <w:basedOn w:val="Normal"/>
    <w:qFormat/>
    <w:pPr>
      <w:numPr>
        <w:ilvl w:val="0"/>
        <w:numId w:val="11"/>
      </w:numPr>
    </w:pPr>
    <w:rPr/>
  </w:style>
  <w:style w:type="paragraph" w:styleId="TableLevel3-4Indent">
    <w:name w:val="Table Level 3-4 Indent"/>
    <w:basedOn w:val="Normal"/>
    <w:qFormat/>
    <w:pPr>
      <w:ind w:hanging="0" w:start="1296" w:end="0"/>
    </w:pPr>
    <w:rPr/>
  </w:style>
  <w:style w:type="paragraph" w:styleId="Bullet1Body">
    <w:name w:val="Bullet 1 Body"/>
    <w:basedOn w:val="BodyTextBullet"/>
    <w:next w:val="BodyTextBullet"/>
    <w:qFormat/>
    <w:pPr/>
    <w:rPr/>
  </w:style>
  <w:style w:type="paragraph" w:styleId="TableLevel6Numbered">
    <w:name w:val="Table Level 6 Numbered"/>
    <w:basedOn w:val="Normal"/>
    <w:qFormat/>
    <w:pPr>
      <w:numPr>
        <w:ilvl w:val="0"/>
        <w:numId w:val="8"/>
      </w:numPr>
    </w:pPr>
    <w:rPr/>
  </w:style>
  <w:style w:type="paragraph" w:styleId="TableLevel7Numbered">
    <w:name w:val="Table Level 7 Numbered"/>
    <w:basedOn w:val="Normal"/>
    <w:qFormat/>
    <w:pPr>
      <w:numPr>
        <w:ilvl w:val="0"/>
        <w:numId w:val="8"/>
      </w:numPr>
    </w:pPr>
    <w:rPr/>
  </w:style>
  <w:style w:type="paragraph" w:styleId="TableLevel8Numbered">
    <w:name w:val="Table Level 8 Numbered"/>
    <w:basedOn w:val="Normal"/>
    <w:qFormat/>
    <w:pPr>
      <w:numPr>
        <w:ilvl w:val="0"/>
        <w:numId w:val="8"/>
      </w:numPr>
    </w:pPr>
    <w:rPr/>
  </w:style>
  <w:style w:type="paragraph" w:styleId="Listennummer">
    <w:name w:val="Listennummer"/>
    <w:basedOn w:val="Normal"/>
    <w:qFormat/>
    <w:pPr>
      <w:numPr>
        <w:ilvl w:val="0"/>
        <w:numId w:val="7"/>
      </w:numPr>
    </w:pPr>
    <w:rPr/>
  </w:style>
  <w:style w:type="paragraph" w:styleId="Listennummer2">
    <w:name w:val="Listennummer 2"/>
    <w:basedOn w:val="Normal"/>
    <w:qFormat/>
    <w:pPr>
      <w:numPr>
        <w:ilvl w:val="0"/>
        <w:numId w:val="4"/>
      </w:numPr>
    </w:pPr>
    <w:rPr/>
  </w:style>
  <w:style w:type="paragraph" w:styleId="Listennummer3">
    <w:name w:val="Listennummer 3"/>
    <w:basedOn w:val="Normal"/>
    <w:qFormat/>
    <w:pPr>
      <w:numPr>
        <w:ilvl w:val="0"/>
        <w:numId w:val="3"/>
      </w:numPr>
    </w:pPr>
    <w:rPr/>
  </w:style>
  <w:style w:type="paragraph" w:styleId="Listennummer4">
    <w:name w:val="Listennummer 4"/>
    <w:basedOn w:val="Normal"/>
    <w:qFormat/>
    <w:pPr>
      <w:numPr>
        <w:ilvl w:val="0"/>
        <w:numId w:val="2"/>
      </w:numPr>
    </w:pPr>
    <w:rPr/>
  </w:style>
  <w:style w:type="paragraph" w:styleId="Aufzhlungszeichen3">
    <w:name w:val="Aufzählungszeichen 3"/>
    <w:basedOn w:val="Normal"/>
    <w:qFormat/>
    <w:pPr>
      <w:numPr>
        <w:ilvl w:val="0"/>
        <w:numId w:val="6"/>
      </w:numPr>
    </w:pPr>
    <w:rPr/>
  </w:style>
  <w:style w:type="paragraph" w:styleId="Aufzhlungszeichen4">
    <w:name w:val="Aufzählungszeichen 4"/>
    <w:basedOn w:val="Normal"/>
    <w:qFormat/>
    <w:pPr>
      <w:numPr>
        <w:ilvl w:val="0"/>
        <w:numId w:val="5"/>
      </w:numPr>
    </w:pPr>
    <w:rPr/>
  </w:style>
  <w:style w:type="paragraph" w:styleId="Listenfortsetzung">
    <w:name w:val="Listenfortsetzung"/>
    <w:basedOn w:val="Normal"/>
    <w:qFormat/>
    <w:pPr>
      <w:ind w:hanging="0" w:start="360" w:end="0"/>
    </w:pPr>
    <w:rPr/>
  </w:style>
  <w:style w:type="paragraph" w:styleId="Listenfortsetzung2">
    <w:name w:val="Listenfortsetzung 2"/>
    <w:basedOn w:val="Normal"/>
    <w:qFormat/>
    <w:pPr>
      <w:ind w:hanging="0" w:start="720" w:end="0"/>
    </w:pPr>
    <w:rPr/>
  </w:style>
  <w:style w:type="paragraph" w:styleId="Listenfortsetzung3">
    <w:name w:val="Listenfortsetzung 3"/>
    <w:basedOn w:val="Normal"/>
    <w:qFormat/>
    <w:pPr>
      <w:ind w:hanging="0" w:start="1080" w:end="0"/>
    </w:pPr>
    <w:rPr/>
  </w:style>
  <w:style w:type="paragraph" w:styleId="Listenfortsetzung4">
    <w:name w:val="Listenfortsetzung 4"/>
    <w:basedOn w:val="Normal"/>
    <w:qFormat/>
    <w:pPr>
      <w:ind w:hanging="0" w:start="1440" w:end="0"/>
    </w:pPr>
    <w:rPr/>
  </w:style>
  <w:style w:type="paragraph" w:styleId="Revised-New">
    <w:name w:val="Revised - New"/>
    <w:basedOn w:val="Normal"/>
    <w:qFormat/>
    <w:pPr/>
    <w:rPr>
      <w:rFonts w:ascii="Arial" w:hAnsi="Arial" w:cs="Arial"/>
      <w:b/>
      <w:color w:val="333399"/>
      <w:szCs w:val="22"/>
    </w:rPr>
  </w:style>
  <w:style w:type="paragraph" w:styleId="Heading5Numbered">
    <w:name w:val="Heading 5 Numbered"/>
    <w:basedOn w:val="Normal"/>
    <w:qFormat/>
    <w:pPr>
      <w:numPr>
        <w:ilvl w:val="0"/>
        <w:numId w:val="13"/>
      </w:numPr>
    </w:pPr>
    <w:rPr>
      <w:b/>
    </w:rPr>
  </w:style>
  <w:style w:type="paragraph" w:styleId="TableRef">
    <w:name w:val="Table Ref #"/>
    <w:qFormat/>
    <w:pPr>
      <w:widowControl/>
      <w:bidi w:val="0"/>
      <w:spacing w:before="120" w:after="120"/>
    </w:pPr>
    <w:rPr>
      <w:rFonts w:ascii="Times New Roman" w:hAnsi="Times New Roman" w:eastAsia="Times New Roman" w:cs="Times New Roman"/>
      <w:color w:val="auto"/>
      <w:sz w:val="16"/>
      <w:szCs w:val="24"/>
      <w:lang w:val="en-US" w:bidi="ar-SA" w:eastAsia="zh-CN"/>
    </w:rPr>
  </w:style>
  <w:style w:type="paragraph" w:styleId="TableComplyColYN">
    <w:name w:val="Table Comply Col (Y/N)"/>
    <w:qFormat/>
    <w:pPr>
      <w:widowControl/>
      <w:bidi w:val="0"/>
      <w:spacing w:before="120" w:after="120"/>
      <w:jc w:val="center"/>
    </w:pPr>
    <w:rPr>
      <w:rFonts w:ascii="Times New Roman" w:hAnsi="Times New Roman" w:eastAsia="Times New Roman" w:cs="Times New Roman"/>
      <w:color w:val="auto"/>
      <w:sz w:val="22"/>
      <w:szCs w:val="24"/>
      <w:lang w:val="en-US" w:bidi="ar-SA" w:eastAsia="zh-CN"/>
    </w:rPr>
  </w:style>
  <w:style w:type="paragraph" w:styleId="TableTextItalic">
    <w:name w:val="Table Text Italic"/>
    <w:basedOn w:val="TableText"/>
    <w:qFormat/>
    <w:pPr/>
    <w:rPr>
      <w:i/>
    </w:rPr>
  </w:style>
  <w:style w:type="paragraph" w:styleId="ReverseIndent">
    <w:name w:val="Reverse Indent"/>
    <w:qFormat/>
    <w:pPr>
      <w:widowControl/>
      <w:bidi w:val="0"/>
      <w:spacing w:before="120" w:after="120"/>
      <w:ind w:hanging="504" w:start="720" w:end="0"/>
    </w:pPr>
    <w:rPr>
      <w:rFonts w:ascii="Times New Roman" w:hAnsi="Times New Roman" w:eastAsia="Times New Roman" w:cs="Times New Roman"/>
      <w:color w:val="auto"/>
      <w:sz w:val="22"/>
      <w:szCs w:val="24"/>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oleObject" Target="embeddings/oleObject1.bin"/><Relationship Id="rId5" Type="http://schemas.openxmlformats.org/officeDocument/2006/relationships/image" Target="media/image3.wmf"/><Relationship Id="rId6" Type="http://schemas.openxmlformats.org/officeDocument/2006/relationships/oleObject" Target="embeddings/oleObject2.bin"/><Relationship Id="rId7" Type="http://schemas.openxmlformats.org/officeDocument/2006/relationships/image" Target="media/image4.wmf"/><Relationship Id="rId8" Type="http://schemas.openxmlformats.org/officeDocument/2006/relationships/oleObject" Target="embeddings/oleObject3.bin"/><Relationship Id="rId9" Type="http://schemas.openxmlformats.org/officeDocument/2006/relationships/image" Target="media/image5.wmf"/><Relationship Id="rId10" Type="http://schemas.openxmlformats.org/officeDocument/2006/relationships/oleObject" Target="embeddings/oleObject4.bin"/><Relationship Id="rId11" Type="http://schemas.openxmlformats.org/officeDocument/2006/relationships/image" Target="media/image6.wmf"/><Relationship Id="rId12" Type="http://schemas.openxmlformats.org/officeDocument/2006/relationships/oleObject" Target="embeddings/oleObject5.bin"/><Relationship Id="rId13" Type="http://schemas.openxmlformats.org/officeDocument/2006/relationships/image" Target="media/image7.wmf"/><Relationship Id="rId14" Type="http://schemas.openxmlformats.org/officeDocument/2006/relationships/oleObject" Target="embeddings/oleObject6.bin"/><Relationship Id="rId15" Type="http://schemas.openxmlformats.org/officeDocument/2006/relationships/image" Target="media/image8.wmf"/><Relationship Id="rId16" Type="http://schemas.openxmlformats.org/officeDocument/2006/relationships/oleObject" Target="embeddings/oleObject7.bin"/><Relationship Id="rId17" Type="http://schemas.openxmlformats.org/officeDocument/2006/relationships/image" Target="media/image9.wmf"/><Relationship Id="rId18" Type="http://schemas.openxmlformats.org/officeDocument/2006/relationships/oleObject" Target="embeddings/oleObject8.bin"/><Relationship Id="rId19" Type="http://schemas.openxmlformats.org/officeDocument/2006/relationships/image" Target="media/image10.wmf"/><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footer" Target="footer2.xml"/><Relationship Id="rId23" Type="http://schemas.openxmlformats.org/officeDocument/2006/relationships/footer" Target="footer3.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TPIRFP_v2A</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2007-01-29T19:05:00Z</dcterms:created>
  <dc:creator>TPI</dc:creator>
  <dc:description>RFP8 Attachment 17-A to Exhibit 17 (Safety and Security Procedures). Contains sample format and content for documenting data security procedures.
Version 1A (072905)</dc:description>
  <dc:language>en-US</dc:language>
  <cp:lastModifiedBy>Wenger Plattner</cp:lastModifiedBy>
  <cp:lastPrinted>2006-09-08T11:36:00Z</cp:lastPrinted>
  <dcterms:modified xsi:type="dcterms:W3CDTF">2007-01-29T19:16:00Z</dcterms:modified>
  <cp:revision>3</cp:revision>
  <dc:subject/>
  <dc:title>RFP8 Attachment 17-A Data Security</dc:title>
</cp:coreProperties>
</file>