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numPr>
          <w:ilvl w:val="0"/>
          <w:numId w:val="0"/>
        </w:numPr>
        <w:outlineLvl w:val="3"/>
        <w:rPr/>
      </w:pPr>
      <w:r>
        <w:rPr/>
        <w:t>GlobalPharma</w:t>
      </w:r>
    </w:p>
    <w:p>
      <w:pPr>
        <w:pStyle w:val="Titel"/>
        <w:numPr>
          <w:ilvl w:val="0"/>
          <w:numId w:val="0"/>
        </w:numPr>
        <w:outlineLvl w:val="3"/>
        <w:rPr/>
      </w:pPr>
      <w:r>
        <w:rPr/>
      </w:r>
    </w:p>
    <w:p>
      <w:pPr>
        <w:pStyle w:val="Titel"/>
        <w:numPr>
          <w:ilvl w:val="0"/>
          <w:numId w:val="0"/>
        </w:numPr>
        <w:outlineLvl w:val="3"/>
        <w:rPr/>
      </w:pPr>
      <w:r>
        <w:rPr/>
        <w:t>Attachment 17-B</w:t>
      </w:r>
    </w:p>
    <w:p>
      <w:pPr>
        <w:pStyle w:val="Titel"/>
        <w:numPr>
          <w:ilvl w:val="0"/>
          <w:numId w:val="0"/>
        </w:numPr>
        <w:outlineLvl w:val="3"/>
        <w:rPr/>
      </w:pPr>
      <w:r>
        <w:rPr/>
      </w:r>
    </w:p>
    <w:p>
      <w:pPr>
        <w:pStyle w:val="Titel"/>
        <w:numPr>
          <w:ilvl w:val="0"/>
          <w:numId w:val="0"/>
        </w:numPr>
        <w:outlineLvl w:val="3"/>
        <w:rPr>
          <w:highlight w:val="yellow"/>
        </w:rPr>
      </w:pPr>
      <w:r>
        <w:rPr/>
        <w:t>PHysical Security</w:t>
      </w:r>
    </w:p>
    <w:p>
      <w:pPr>
        <w:pStyle w:val="Titel"/>
        <w:numPr>
          <w:ilvl w:val="0"/>
          <w:numId w:val="0"/>
        </w:numPr>
        <w:outlineLvl w:val="3"/>
        <w:rPr>
          <w:rFonts w:cs="Times New Roman"/>
          <w:caps w:val="false"/>
          <w:smallCaps w:val="false"/>
          <w:kern w:val="0"/>
          <w:szCs w:val="24"/>
        </w:rPr>
      </w:pPr>
      <w:r>
        <w:rPr>
          <w:rFonts w:cs="Times New Roman"/>
          <w:caps w:val="false"/>
          <w:smallCaps w:val="false"/>
          <w:kern w:val="0"/>
          <w:szCs w:val="24"/>
        </w:rPr>
        <w:t>Attachment to Exhibit 17 (Safety and Security Procedures)</w:t>
      </w:r>
    </w:p>
    <w:p>
      <w:pPr>
        <w:pStyle w:val="Titel"/>
        <w:numPr>
          <w:ilvl w:val="0"/>
          <w:numId w:val="0"/>
        </w:numPr>
        <w:outlineLvl w:val="3"/>
        <w:rPr/>
      </w:pPr>
      <w:r>
        <w:rPr/>
      </w:r>
    </w:p>
    <w:p>
      <w:pPr>
        <w:pStyle w:val="Titel"/>
        <w:numPr>
          <w:ilvl w:val="0"/>
          <w:numId w:val="0"/>
        </w:numPr>
        <w:outlineLvl w:val="3"/>
        <w:rPr/>
      </w:pPr>
      <w:r>
        <w:rPr/>
      </w:r>
    </w:p>
    <w:p>
      <w:pPr>
        <w:pStyle w:val="Titel"/>
        <w:numPr>
          <w:ilvl w:val="0"/>
          <w:numId w:val="0"/>
        </w:numPr>
        <w:outlineLvl w:val="3"/>
        <w:rPr/>
      </w:pPr>
      <w:r>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pStyle w:val="Normal"/>
        <w:rPr/>
      </w:pPr>
      <w:r>
        <w:rPr/>
      </w:r>
    </w:p>
    <w:p>
      <w:pPr>
        <w:sectPr>
          <w:headerReference w:type="default" r:id="rId2"/>
          <w:footerReference w:type="default" r:id="rId3"/>
          <w:type w:val="nextPage"/>
          <w:pgSz w:w="11906" w:h="16838"/>
          <w:pgMar w:left="1440" w:right="1440" w:gutter="0" w:header="708" w:top="1728" w:footer="708" w:bottom="1728"/>
          <w:pgNumType w:fmt="decimal"/>
          <w:formProt w:val="false"/>
          <w:textDirection w:val="lrTb"/>
          <w:docGrid w:type="default" w:linePitch="360" w:charSpace="0"/>
        </w:sectPr>
        <w:pStyle w:val="Normal"/>
        <w:rPr/>
      </w:pPr>
      <w:r>
        <w:rPr/>
      </w:r>
    </w:p>
    <w:p>
      <w:pPr>
        <w:pStyle w:val="Heading3Numbered"/>
        <w:numPr>
          <w:ilvl w:val="2"/>
          <w:numId w:val="12"/>
        </w:numPr>
        <w:ind w:hanging="0" w:start="0"/>
        <w:rPr/>
      </w:pPr>
      <w:r>
        <w:rPr/>
        <w:t>The Service Provider’s responsibilities include, but are not limited to:</w:t>
      </w:r>
    </w:p>
    <w:p>
      <w:pPr>
        <w:pStyle w:val="Heading3Numbered"/>
        <w:numPr>
          <w:ilvl w:val="2"/>
          <w:numId w:val="12"/>
        </w:numPr>
        <w:ind w:hanging="0" w:start="0"/>
        <w:rPr/>
      </w:pPr>
      <w:r>
        <w:rPr/>
        <w:t>Provide security processes, facilities, equipment, and software that is inline with GlobalPharma’s physical security policies, standards and procedures.</w:t>
      </w:r>
    </w:p>
    <w:p>
      <w:pPr>
        <w:pStyle w:val="Heading3Numbered"/>
        <w:numPr>
          <w:ilvl w:val="2"/>
          <w:numId w:val="12"/>
        </w:numPr>
        <w:ind w:hanging="0" w:start="0"/>
        <w:rPr/>
      </w:pPr>
      <w:r>
        <w:rPr/>
        <w:t>Upon request provide to GlobalPharma, its representatives, and/or regulatory agencies access to all facilities and assets used in providing the services for audits, investigations, and compliance reviews.</w:t>
      </w:r>
    </w:p>
    <w:p>
      <w:pPr>
        <w:pStyle w:val="Heading3Numbered"/>
        <w:numPr>
          <w:ilvl w:val="2"/>
          <w:numId w:val="12"/>
        </w:numPr>
        <w:ind w:hanging="0" w:start="0"/>
        <w:rPr/>
      </w:pPr>
      <w:r>
        <w:rPr/>
        <w:t>Perform all physical security functions (e.g. identification badge controls, alarm responses) at facilities under the Service Provider’s control.</w:t>
      </w:r>
    </w:p>
    <w:p>
      <w:pPr>
        <w:pStyle w:val="Heading3Numbered"/>
        <w:numPr>
          <w:ilvl w:val="2"/>
          <w:numId w:val="12"/>
        </w:numPr>
        <w:ind w:hanging="0" w:start="0"/>
        <w:rPr/>
      </w:pPr>
      <w:r>
        <w:rPr/>
        <w:t>Fulfill the detailed requirements as indicated by the Service Provider in the response column of the following table:</w:t>
      </w:r>
    </w:p>
    <w:tbl>
      <w:tblPr>
        <w:tblW w:w="8820" w:type="dxa"/>
        <w:jc w:val="start"/>
        <w:tblInd w:w="108" w:type="dxa"/>
        <w:tblLayout w:type="fixed"/>
        <w:tblCellMar>
          <w:top w:w="0" w:type="dxa"/>
          <w:start w:w="108" w:type="dxa"/>
          <w:bottom w:w="0" w:type="dxa"/>
          <w:end w:w="108" w:type="dxa"/>
        </w:tblCellMar>
      </w:tblPr>
      <w:tblGrid>
        <w:gridCol w:w="5580"/>
        <w:gridCol w:w="3240"/>
      </w:tblGrid>
      <w:tr>
        <w:trPr/>
        <w:tc>
          <w:tcPr>
            <w:tcW w:w="55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Detailed requirements and responses</w:t>
            </w:r>
          </w:p>
        </w:tc>
        <w:tc>
          <w:tcPr>
            <w:tcW w:w="3240" w:type="dxa"/>
            <w:tcBorders>
              <w:top w:val="single" w:sz="4" w:space="0" w:color="000000"/>
              <w:start w:val="single" w:sz="4" w:space="0" w:color="000000"/>
              <w:bottom w:val="single" w:sz="4" w:space="0" w:color="000000"/>
              <w:end w:val="single" w:sz="4" w:space="0" w:color="000000"/>
            </w:tcBorders>
          </w:tcPr>
          <w:p>
            <w:pPr>
              <w:pStyle w:val="BodyText"/>
              <w:spacing w:before="180" w:after="180"/>
              <w:ind w:hanging="0" w:start="720" w:end="0"/>
              <w:rPr/>
            </w:pPr>
            <w:bookmarkStart w:id="0" w:name="_1231586344"/>
            <w:bookmarkStart w:id="1" w:name="_1231167132"/>
            <w:bookmarkStart w:id="2" w:name="_1230550949"/>
            <w:bookmarkStart w:id="3" w:name="_1231058076"/>
            <w:bookmarkStart w:id="4" w:name="_1231057937"/>
            <w:bookmarkStart w:id="5" w:name="_1230097826"/>
            <w:bookmarkStart w:id="6" w:name="_1230097659"/>
            <w:bookmarkStart w:id="7" w:name="_1230097084"/>
            <w:bookmarkStart w:id="8" w:name="_1230065057"/>
            <w:bookmarkStart w:id="9" w:name="_1230032473"/>
            <w:bookmarkStart w:id="10" w:name="_1227548564"/>
            <w:bookmarkEnd w:id="0"/>
            <w:bookmarkEnd w:id="1"/>
            <w:bookmarkEnd w:id="2"/>
            <w:bookmarkEnd w:id="3"/>
            <w:bookmarkEnd w:id="4"/>
            <w:bookmarkEnd w:id="5"/>
            <w:bookmarkEnd w:id="6"/>
            <w:bookmarkEnd w:id="7"/>
            <w:bookmarkEnd w:id="8"/>
            <w:bookmarkEnd w:id="9"/>
            <w:bookmarkEnd w:id="10"/>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6.8pt;height:49.7pt" filled="f" o:ole="">
                  <v:imagedata r:id="rId5" o:title=""/>
                </v:shape>
                <o:OLEObject Type="Embed" ProgID="Excel.Sheet.12" ShapeID="ole_rId4" DrawAspect="Icon" ObjectID="_355981921" r:id="rId4"/>
              </w:object>
            </w:r>
          </w:p>
        </w:tc>
      </w:tr>
    </w:tbl>
    <w:p>
      <w:pPr>
        <w:pStyle w:val="BodyText"/>
        <w:spacing w:before="180" w:after="180"/>
        <w:ind w:start="0" w:end="0"/>
        <w:rPr/>
      </w:pPr>
      <w:r>
        <w:rPr/>
      </w:r>
    </w:p>
    <w:sectPr>
      <w:headerReference w:type="default" r:id="rId6"/>
      <w:headerReference w:type="first" r:id="rId7"/>
      <w:footerReference w:type="default" r:id="rId8"/>
      <w:footerReference w:type="first" r:id="rId9"/>
      <w:type w:val="nextPage"/>
      <w:pgSz w:w="12240" w:h="15840"/>
      <w:pgMar w:left="1440" w:right="1440" w:gutter="0" w:header="708" w:top="1728" w:footer="708"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Attach 17-B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Attach 17-B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000" w:leader="none"/>
        <w:tab w:val="right" w:pos="14400" w:leader="none"/>
      </w:tabs>
      <w:spacing w:before="120" w:after="120"/>
      <w:rPr/>
    </w:pPr>
    <w:r>
      <w:drawing>
        <wp:anchor behindDoc="1" distT="0" distB="0" distL="114935" distR="114935" simplePos="0" locked="0" layoutInCell="1" allowOverlap="1" relativeHeight="4">
          <wp:simplePos x="0" y="0"/>
          <wp:positionH relativeFrom="column">
            <wp:posOffset>4724400</wp:posOffset>
          </wp:positionH>
          <wp:positionV relativeFrom="paragraph">
            <wp:posOffset>-28575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000" w:leader="none"/>
        <w:tab w:val="right" w:pos="14400" w:leader="none"/>
      </w:tabs>
      <w:spacing w:before="120" w:after="120"/>
      <w:rPr/>
    </w:pPr>
    <w:r>
      <w:drawing>
        <wp:anchor behindDoc="1" distT="0" distB="0" distL="114935" distR="114935" simplePos="0" locked="0" layoutInCell="1" allowOverlap="1" relativeHeight="6">
          <wp:simplePos x="0" y="0"/>
          <wp:positionH relativeFrom="column">
            <wp:posOffset>4724400</wp:posOffset>
          </wp:positionH>
          <wp:positionV relativeFrom="paragraph">
            <wp:posOffset>-28575</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keepNext w:val="true"/>
      <w:numPr>
        <w:ilvl w:val="4"/>
        <w:numId w:val="1"/>
      </w:numPr>
      <w:outlineLvl w:val="4"/>
    </w:pPr>
    <w:rPr>
      <w:b/>
      <w:bCs/>
      <w:sz w:val="20"/>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sz w:val="28"/>
    </w:rPr>
  </w:style>
  <w:style w:type="character" w:styleId="WW8Num11z2">
    <w:name w:val="WW8Num11z2"/>
    <w:qFormat/>
    <w:rPr>
      <w:rFonts w:ascii="Times New Roman" w:hAnsi="Times New Roman" w:cs="Times New Roman"/>
      <w:b/>
      <w:i w:val="false"/>
      <w:sz w:val="24"/>
    </w:rPr>
  </w:style>
  <w:style w:type="character" w:styleId="WW8Num11z4">
    <w:name w:val="WW8Num11z4"/>
    <w:qFormat/>
    <w:rPr>
      <w:rFonts w:ascii="Times New Roman Bold;Times New Roman" w:hAnsi="Times New Roman Bold;Times New Roman" w:cs="Times New Roman Bold;Times New Roman"/>
      <w:b/>
      <w:i w:val="false"/>
      <w:sz w:val="22"/>
      <w:szCs w:val="22"/>
    </w:rPr>
  </w:style>
  <w:style w:type="character" w:styleId="WW8Num11z5">
    <w:name w:val="WW8Num11z5"/>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Bold;Times New Roman" w:hAnsi="Times New Roman Bold;Times New Roman" w:cs="Times New Roman Bold;Times New Roman"/>
      <w:b/>
      <w:i w:val="false"/>
      <w:color w:val="000000"/>
      <w:sz w:val="28"/>
      <w:szCs w:val="28"/>
    </w:rPr>
  </w:style>
  <w:style w:type="character" w:styleId="WW8Num19z1">
    <w:name w:val="WW8Num19z1"/>
    <w:qFormat/>
    <w:rPr>
      <w:rFonts w:ascii="Times New Roman" w:hAnsi="Times New Roman" w:cs="Times New Roman"/>
      <w:b w:val="false"/>
      <w:i w:val="false"/>
      <w:sz w:val="22"/>
    </w:rPr>
  </w:style>
  <w:style w:type="character" w:styleId="WW8Num19z4">
    <w:name w:val="WW8Num19z4"/>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TOC1">
    <w:name w:val="toc 1"/>
    <w:basedOn w:val="Heading1Numbered"/>
    <w:next w:val="Heading2Numbered"/>
    <w:pPr>
      <w:keepNext w:val="false"/>
      <w:keepLines w:val="false"/>
      <w:numPr>
        <w:ilvl w:val="0"/>
        <w:numId w:val="0"/>
      </w:numPr>
      <w:spacing w:before="360" w:after="0"/>
      <w:ind w:hanging="0" w:start="0" w:end="0"/>
    </w:pPr>
    <w:rPr>
      <w:rFonts w:ascii="Arial" w:hAnsi="Arial" w:cs="Arial"/>
      <w:bCs/>
      <w:sz w:val="24"/>
    </w:rPr>
  </w:style>
  <w:style w:type="paragraph" w:styleId="TOC2">
    <w:name w:val="toc 2"/>
    <w:basedOn w:val="Normal"/>
    <w:next w:val="Normal"/>
    <w:pPr>
      <w:spacing w:before="240" w:after="0"/>
    </w:pPr>
    <w:rPr>
      <w:b/>
      <w:bCs/>
      <w:sz w:val="20"/>
      <w:szCs w:val="20"/>
    </w:rPr>
  </w:style>
  <w:style w:type="paragraph" w:styleId="TOC3">
    <w:name w:val="toc 3"/>
    <w:basedOn w:val="Normal"/>
    <w:next w:val="Normal"/>
    <w:pPr>
      <w:spacing w:before="0" w:after="0"/>
      <w:ind w:hanging="0" w:start="220" w:end="0"/>
    </w:pPr>
    <w:rPr>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440" w:end="0"/>
    </w:pPr>
    <w:rPr>
      <w:sz w:val="20"/>
      <w:szCs w:val="20"/>
    </w:rPr>
  </w:style>
  <w:style w:type="paragraph" w:styleId="TOC5">
    <w:name w:val="toc 5"/>
    <w:basedOn w:val="Normal"/>
    <w:next w:val="Normal"/>
    <w:pPr>
      <w:spacing w:before="0" w:after="0"/>
      <w:ind w:hanging="0" w:start="660" w:end="0"/>
    </w:pPr>
    <w:rPr>
      <w:sz w:val="20"/>
      <w:szCs w:val="20"/>
    </w:rPr>
  </w:style>
  <w:style w:type="paragraph" w:styleId="TOC6">
    <w:name w:val="toc 6"/>
    <w:basedOn w:val="Normal"/>
    <w:next w:val="Normal"/>
    <w:pPr>
      <w:spacing w:before="0" w:after="0"/>
      <w:ind w:hanging="0" w:start="880" w:end="0"/>
    </w:pPr>
    <w:rPr>
      <w:sz w:val="20"/>
      <w:szCs w:val="20"/>
    </w:rPr>
  </w:style>
  <w:style w:type="paragraph" w:styleId="TOC7">
    <w:name w:val="toc 7"/>
    <w:basedOn w:val="Normal"/>
    <w:next w:val="Normal"/>
    <w:pPr>
      <w:spacing w:before="0" w:after="0"/>
      <w:ind w:hanging="0" w:start="1100" w:end="0"/>
    </w:pPr>
    <w:rPr>
      <w:sz w:val="20"/>
      <w:szCs w:val="20"/>
    </w:rPr>
  </w:style>
  <w:style w:type="paragraph" w:styleId="TOC8">
    <w:name w:val="toc 8"/>
    <w:basedOn w:val="Normal"/>
    <w:next w:val="Normal"/>
    <w:pPr>
      <w:spacing w:before="0" w:after="0"/>
      <w:ind w:hanging="0" w:start="1320" w:end="0"/>
    </w:pPr>
    <w:rPr>
      <w:sz w:val="20"/>
      <w:szCs w:val="20"/>
    </w:rPr>
  </w:style>
  <w:style w:type="paragraph" w:styleId="TOC9">
    <w:name w:val="toc 9"/>
    <w:basedOn w:val="Normal"/>
    <w:next w:val="Normal"/>
    <w:pPr>
      <w:spacing w:before="0" w:after="0"/>
      <w:ind w:hanging="0" w:start="1540" w:end="0"/>
    </w:pPr>
    <w:rPr>
      <w:sz w:val="20"/>
      <w:szCs w:val="20"/>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numPr>
        <w:ilvl w:val="0"/>
        <w:numId w:val="15"/>
      </w:numPr>
    </w:pPr>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2"/>
      </w:numPr>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19"/>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4"/>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package" Target="embeddings/oleObject1.xlsx"/><Relationship Id="rId5" Type="http://schemas.openxmlformats.org/officeDocument/2006/relationships/image" Target="media/image3.wmf"/><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2007-01-29T19:02:00Z</dcterms:created>
  <dc:creator>TPI</dc:creator>
  <dc:description>RFP8 Attachment 17-B to Exhibit 17 (Safety and Security Procedures). Contains sample format and content for documenting physical security procedures.
Version 1A - 072905</dc:description>
  <dc:language>en-US</dc:language>
  <cp:lastModifiedBy>Wenger Plattner</cp:lastModifiedBy>
  <cp:lastPrinted>2007-01-29T14:32:00Z</cp:lastPrinted>
  <dcterms:modified xsi:type="dcterms:W3CDTF">2007-01-29T19:04:00Z</dcterms:modified>
  <cp:revision>3</cp:revision>
  <dc:subject/>
  <dc:title>RFP8 Attachment 17-B Physical Security</dc:title>
</cp:coreProperties>
</file>