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Attachment 3-C</w:t>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t>Detailed Description of</w:t>
        <w:br/>
        <w:t>One Time Critical deliverables</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Titel"/>
        <w:rPr>
          <w:lang w:val="en-GB"/>
        </w:rPr>
      </w:pPr>
      <w:r>
        <w:rPr>
          <w:lang w:val="en-GB"/>
        </w:rPr>
      </w:r>
    </w:p>
    <w:p>
      <w:pPr>
        <w:pStyle w:val="Titel"/>
        <w:rPr>
          <w:sz w:val="22"/>
          <w:szCs w:val="20"/>
        </w:rPr>
      </w:pPr>
      <w:r>
        <w:rPr>
          <w:sz w:val="22"/>
          <w:szCs w:val="20"/>
        </w:rPr>
        <w:t>Table of Contents</w:t>
      </w:r>
    </w:p>
    <w:sdt>
      <w:sdtPr>
        <w:docPartObj>
          <w:docPartGallery w:val="Table of Contents"/>
          <w:docPartUnique w:val="true"/>
        </w:docPartObj>
      </w:sdtPr>
      <w:sdtContent>
        <w:p>
          <w:pPr>
            <w:pStyle w:val="TOC1"/>
            <w:tabs>
              <w:tab w:val="clear" w:pos="720"/>
              <w:tab w:val="left" w:pos="440" w:leader="none"/>
              <w:tab w:val="right" w:pos="10506" w:leader="dot"/>
            </w:tabs>
            <w:rPr>
              <w:b w:val="false"/>
              <w:bCs w:val="false"/>
              <w:caps w:val="false"/>
              <w:smallCaps w:val="false"/>
              <w:sz w:val="24"/>
              <w:szCs w:val="24"/>
              <w:lang w:val="de-CH" w:eastAsia="en-US"/>
            </w:rPr>
          </w:pPr>
          <w:r>
            <w:fldChar w:fldCharType="begin"/>
          </w:r>
          <w:r>
            <w:rPr>
              <w:rStyle w:val="IndexLink"/>
              <w:lang w:val="en-US" w:eastAsia="en-US"/>
            </w:rPr>
            <w:instrText xml:space="preserve"> TOC \h \z \t "Überschrift 1;1;Überschrift 2;2" </w:instrText>
          </w:r>
          <w:r>
            <w:rPr>
              <w:rStyle w:val="IndexLink"/>
              <w:lang w:val="en-US" w:eastAsia="en-US"/>
            </w:rPr>
            <w:fldChar w:fldCharType="separate"/>
          </w:r>
          <w:hyperlink w:anchor="__RefHeading___Toc157774681">
            <w:r>
              <w:rPr>
                <w:rStyle w:val="IndexLink"/>
                <w:lang w:val="en-US" w:eastAsia="en-US"/>
              </w:rPr>
              <w:t>1.</w:t>
            </w:r>
            <w:r>
              <w:rPr>
                <w:rStyle w:val="IndexLink"/>
                <w:b w:val="false"/>
                <w:bCs w:val="false"/>
                <w:caps w:val="false"/>
                <w:smallCaps w:val="false"/>
                <w:sz w:val="24"/>
                <w:szCs w:val="24"/>
                <w:lang w:val="de-CH" w:eastAsia="en-US"/>
              </w:rPr>
              <w:tab/>
            </w:r>
            <w:r>
              <w:rPr>
                <w:rStyle w:val="IndexLink"/>
                <w:lang w:val="en-US" w:eastAsia="en-US"/>
              </w:rPr>
              <w:t>Introduction</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682">
            <w:r>
              <w:rPr>
                <w:rStyle w:val="IndexLink"/>
                <w:lang w:val="en-US" w:eastAsia="en-US"/>
              </w:rPr>
              <w:t>1.1.</w:t>
            </w:r>
            <w:r>
              <w:rPr>
                <w:rStyle w:val="IndexLink"/>
                <w:caps w:val="false"/>
                <w:smallCaps w:val="false"/>
                <w:sz w:val="24"/>
                <w:szCs w:val="24"/>
                <w:lang w:val="de-CH" w:eastAsia="en-US"/>
              </w:rPr>
              <w:tab/>
            </w:r>
            <w:r>
              <w:rPr>
                <w:rStyle w:val="IndexLink"/>
                <w:lang w:val="en-US" w:eastAsia="en-US"/>
              </w:rPr>
              <w:t>General</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4683">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Critical service levels</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684">
            <w:r>
              <w:rPr>
                <w:rStyle w:val="IndexLink"/>
                <w:lang w:val="en-US" w:eastAsia="en-US"/>
              </w:rPr>
              <w:t>2.1.</w:t>
            </w:r>
            <w:r>
              <w:rPr>
                <w:rStyle w:val="IndexLink"/>
                <w:caps w:val="false"/>
                <w:smallCaps w:val="false"/>
                <w:sz w:val="24"/>
                <w:szCs w:val="24"/>
                <w:lang w:val="de-CH" w:eastAsia="en-US"/>
              </w:rPr>
              <w:tab/>
            </w:r>
            <w:r>
              <w:rPr>
                <w:rStyle w:val="IndexLink"/>
                <w:lang w:val="en-US" w:eastAsia="en-US"/>
              </w:rPr>
              <w:t>Initial Monthly Service Level Reports</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685">
            <w:r>
              <w:rPr>
                <w:rStyle w:val="IndexLink"/>
                <w:lang w:val="en-US" w:eastAsia="en-US"/>
              </w:rPr>
              <w:t>2.2.</w:t>
            </w:r>
            <w:r>
              <w:rPr>
                <w:rStyle w:val="IndexLink"/>
                <w:caps w:val="false"/>
                <w:smallCaps w:val="false"/>
                <w:sz w:val="24"/>
                <w:szCs w:val="24"/>
                <w:lang w:val="de-CH" w:eastAsia="en-US"/>
              </w:rPr>
              <w:tab/>
            </w:r>
            <w:r>
              <w:rPr>
                <w:rStyle w:val="IndexLink"/>
                <w:lang w:val="en-US" w:eastAsia="en-US"/>
              </w:rPr>
              <w:t>Implementation of Service Level Measurement Tools and Service Level Dashboard</w:t>
              <w:tab/>
              <w:t>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686">
            <w:r>
              <w:rPr>
                <w:rStyle w:val="IndexLink"/>
                <w:lang w:val="en-US" w:eastAsia="en-US"/>
              </w:rPr>
              <w:t>2.3.</w:t>
            </w:r>
            <w:r>
              <w:rPr>
                <w:rStyle w:val="IndexLink"/>
                <w:caps w:val="false"/>
                <w:smallCaps w:val="false"/>
                <w:sz w:val="24"/>
                <w:szCs w:val="24"/>
                <w:lang w:val="de-CH" w:eastAsia="en-US"/>
              </w:rPr>
              <w:tab/>
            </w:r>
            <w:r>
              <w:rPr>
                <w:rStyle w:val="IndexLink"/>
                <w:lang w:val="en-US" w:eastAsia="en-US"/>
              </w:rPr>
              <w:t>Internal Controls Matrix</w:t>
              <w:tab/>
              <w:t>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4687">
            <w:r>
              <w:rPr>
                <w:rStyle w:val="IndexLink"/>
                <w:lang w:val="en-US" w:eastAsia="en-US"/>
              </w:rPr>
              <w:t>2.4.</w:t>
            </w:r>
            <w:r>
              <w:rPr>
                <w:rStyle w:val="IndexLink"/>
                <w:caps w:val="false"/>
                <w:smallCaps w:val="false"/>
                <w:sz w:val="24"/>
                <w:szCs w:val="24"/>
                <w:lang w:val="de-CH" w:eastAsia="en-US"/>
              </w:rPr>
              <w:tab/>
            </w:r>
            <w:r>
              <w:rPr>
                <w:rStyle w:val="IndexLink"/>
                <w:lang w:val="en-US" w:eastAsia="en-US"/>
              </w:rPr>
              <w:t>Transition Plan and Key Transition Milestones</w:t>
              <w:tab/>
              <w:t>4</w:t>
            </w:r>
          </w:hyperlink>
        </w:p>
        <w:p>
          <w:pPr>
            <w:pStyle w:val="TOC2"/>
            <w:tabs>
              <w:tab w:val="clear" w:pos="720"/>
              <w:tab w:val="left" w:pos="880" w:leader="none"/>
              <w:tab w:val="right" w:pos="10506" w:leader="dot"/>
            </w:tabs>
            <w:rPr>
              <w:sz w:val="24"/>
              <w:szCs w:val="24"/>
              <w:lang w:val="de-CH" w:eastAsia="en-US"/>
            </w:rPr>
          </w:pPr>
          <w:hyperlink w:anchor="__RefHeading___Toc157774688">
            <w:r>
              <w:rPr>
                <w:rStyle w:val="IndexLink"/>
                <w:caps w:val="false"/>
                <w:smallCaps w:val="false"/>
                <w:lang w:val="en-US" w:eastAsia="en-US"/>
              </w:rPr>
              <w:t>2.5.</w:t>
            </w:r>
            <w:r>
              <w:rPr>
                <w:rStyle w:val="IndexLink"/>
                <w:caps w:val="false"/>
                <w:smallCaps w:val="false"/>
                <w:sz w:val="24"/>
                <w:szCs w:val="24"/>
                <w:lang w:val="de-CH" w:eastAsia="en-US"/>
              </w:rPr>
              <w:tab/>
            </w:r>
            <w:r>
              <w:rPr>
                <w:rStyle w:val="IndexLink"/>
                <w:caps w:val="false"/>
                <w:smallCaps w:val="false"/>
                <w:lang w:val="en-US" w:eastAsia="en-US"/>
              </w:rPr>
              <w:t>Completion of the 1st Disaster Recovery and Business Continuity Test</w:t>
              <w:tab/>
              <w:t>5</w:t>
            </w:r>
          </w:hyperlink>
          <w:r>
            <w:rPr>
              <w:rStyle w:val="IndexLink"/>
              <w:smallCaps w:val="false"/>
              <w:caps w:val="false"/>
              <w:lang w:val="en-US" w:eastAsia="en-US"/>
            </w:rPr>
            <w:fldChar w:fldCharType="end"/>
          </w:r>
        </w:p>
      </w:sdtContent>
    </w:sdt>
    <w:p>
      <w:pPr>
        <w:pStyle w:val="Normal"/>
        <w:tabs>
          <w:tab w:val="clear" w:pos="720"/>
          <w:tab w:val="left" w:pos="360" w:leader="none"/>
          <w:tab w:val="left" w:pos="425" w:leader="none"/>
        </w:tabs>
        <w:jc w:val="both"/>
        <w:rPr>
          <w:smallCaps/>
          <w:sz w:val="20"/>
          <w:szCs w:val="20"/>
          <w:lang w:val="de-CH" w:eastAsia="en-US"/>
        </w:rPr>
      </w:pPr>
      <w:r>
        <w:rPr>
          <w:smallCaps/>
          <w:sz w:val="20"/>
          <w:szCs w:val="20"/>
          <w:lang w:val="de-CH" w:eastAsia="en-US"/>
        </w:rPr>
      </w:r>
      <w:r>
        <w:br w:type="page"/>
      </w:r>
    </w:p>
    <w:p>
      <w:pPr>
        <w:pStyle w:val="Heading1"/>
        <w:numPr>
          <w:ilvl w:val="0"/>
          <w:numId w:val="17"/>
        </w:numPr>
        <w:ind w:hanging="0" w:start="0"/>
        <w:rPr/>
      </w:pPr>
      <w:bookmarkStart w:id="0" w:name="__RefHeading___Toc157774681"/>
      <w:bookmarkEnd w:id="0"/>
      <w:r>
        <w:rPr/>
        <w:t>Introduction</w:t>
      </w:r>
    </w:p>
    <w:p>
      <w:pPr>
        <w:pStyle w:val="Heading2"/>
        <w:numPr>
          <w:ilvl w:val="1"/>
          <w:numId w:val="17"/>
        </w:numPr>
        <w:rPr/>
      </w:pPr>
      <w:bookmarkStart w:id="1" w:name="__RefHeading___Toc157774682"/>
      <w:bookmarkEnd w:id="1"/>
      <w:r>
        <w:rPr/>
        <w:t>General</w:t>
      </w:r>
    </w:p>
    <w:p>
      <w:pPr>
        <w:pStyle w:val="Normal"/>
        <w:rPr/>
      </w:pPr>
      <w:r>
        <w:rPr/>
        <w:t xml:space="preserve">This Exhibit sets forth qualitative descriptions of the Critical Service Levels (CSL). The numerical Minimum Service Levels, Expected Service Levels and commencement of obligations associated with such Critical Service Levels are set forth in </w:t>
      </w:r>
      <w:r>
        <w:rPr>
          <w:b/>
        </w:rPr>
        <w:t>Attachment 3-A</w:t>
      </w:r>
      <w:r>
        <w:rPr/>
        <w:t xml:space="preserve"> (Service Level Matrix) to </w:t>
      </w:r>
      <w:r>
        <w:rPr>
          <w:b/>
        </w:rPr>
        <w:t>Exhibit 3</w:t>
      </w:r>
      <w:r>
        <w:rPr/>
        <w:t xml:space="preserve"> (Service Levels).</w:t>
      </w:r>
    </w:p>
    <w:p>
      <w:pPr>
        <w:pStyle w:val="Normal"/>
        <w:rPr/>
      </w:pPr>
      <w:r>
        <w:rPr/>
        <w:t xml:space="preserve">The definitions and formulas to calculate Service Level as described in this Attachment override the ones laid down in </w:t>
      </w:r>
      <w:r>
        <w:rPr>
          <w:b/>
        </w:rPr>
        <w:t>Attachment 3A</w:t>
      </w:r>
      <w:r>
        <w:rPr/>
        <w:t>.</w:t>
      </w:r>
    </w:p>
    <w:p>
      <w:pPr>
        <w:pStyle w:val="Normal"/>
        <w:rPr/>
      </w:pPr>
      <w:r>
        <w:rPr/>
        <w:t>The examples given in this document are examples only and do not reflect actuals.</w:t>
      </w:r>
    </w:p>
    <w:p>
      <w:pPr>
        <w:pStyle w:val="Heading1"/>
        <w:numPr>
          <w:ilvl w:val="0"/>
          <w:numId w:val="17"/>
        </w:numPr>
        <w:spacing w:before="720" w:after="240"/>
        <w:ind w:hanging="505" w:start="505" w:end="0"/>
        <w:rPr/>
      </w:pPr>
      <w:bookmarkStart w:id="2" w:name="__RefHeading___Toc157774683"/>
      <w:bookmarkEnd w:id="2"/>
      <w:r>
        <w:rPr/>
        <w:t>Critical service levels</w:t>
      </w:r>
    </w:p>
    <w:p>
      <w:pPr>
        <w:pStyle w:val="Normal"/>
        <w:spacing w:before="120" w:after="0"/>
        <w:rPr/>
      </w:pPr>
      <w:r>
        <w:rPr/>
        <w:t>As defined in Exhibit 3 the Service Provider will further refine and complete this Attachment both for all Critical Service Levels agreed in Attachment 3-A in the time period before Tollgate 3 and obtain sign off by GlobalPharma.</w:t>
      </w:r>
      <w:r>
        <w:rPr>
          <w:b/>
        </w:rPr>
      </w:r>
      <w:r>
        <w:rPr/>
      </w:r>
      <w:r>
        <w:rPr>
          <w:b/>
        </w:rPr>
      </w:r>
      <w:r>
        <w:rPr/>
      </w:r>
    </w:p>
    <w:p>
      <w:pPr>
        <w:pStyle w:val="Heading2"/>
        <w:numPr>
          <w:ilvl w:val="1"/>
          <w:numId w:val="17"/>
        </w:numPr>
        <w:spacing w:before="480" w:after="120"/>
        <w:rPr/>
      </w:pPr>
      <w:bookmarkStart w:id="3" w:name="__RefHeading___Toc157774684"/>
      <w:bookmarkEnd w:id="3"/>
      <w:r>
        <w:rPr/>
        <w:t>Initial Monthly Service Level Reports</w:t>
      </w:r>
    </w:p>
    <w:p>
      <w:pPr>
        <w:pStyle w:val="Heading3"/>
        <w:numPr>
          <w:ilvl w:val="2"/>
          <w:numId w:val="17"/>
        </w:numPr>
        <w:rPr/>
      </w:pPr>
      <w:r>
        <w:rPr/>
        <w:t>Definition of the metric</w:t>
      </w:r>
    </w:p>
    <w:p>
      <w:pPr>
        <w:pStyle w:val="Normal"/>
        <w:rPr/>
      </w:pPr>
      <w:r>
        <w:rPr/>
        <w:t xml:space="preserve">The Service Provider will provide the first Service Level report 1 month after  each process go live date in accordance with this Service Level Attachment, which will indicate the Service Provider’s performance with respect to the Service Levels (Critical Service Levels, Critical Deliverables, and Key Measurements) for which the Service Provider is responsible as described in </w:t>
      </w:r>
      <w:r>
        <w:rPr>
          <w:b/>
        </w:rPr>
        <w:t>Attachment 3-A</w:t>
      </w:r>
      <w:r>
        <w:rPr/>
        <w:t>.</w:t>
      </w:r>
    </w:p>
    <w:p>
      <w:pPr>
        <w:pStyle w:val="Normal"/>
        <w:rPr/>
      </w:pPr>
      <w:r>
        <w:rPr/>
        <w:t xml:space="preserve">The measurement results of Key Measures will follow later as described in </w:t>
      </w:r>
      <w:r>
        <w:rPr>
          <w:b/>
        </w:rPr>
        <w:t>Exhibit 3</w:t>
      </w:r>
      <w:r>
        <w:rPr/>
        <w:t>.</w:t>
      </w:r>
    </w:p>
    <w:p>
      <w:pPr>
        <w:pStyle w:val="Normal"/>
        <w:rPr/>
      </w:pPr>
      <w:r>
        <w:rPr/>
        <w:t>Once the Service Provider has implemented their service level reporting tool Cognos, 3 month after Commencement Date, the Service Provider will be responsible for uploading service level data for all live processes into service level reporting tool Cognos for all systems controlled by service provider and the systems controlled by GlobalPharma where source from GlobalPharma data is available in agreed format. .</w:t>
      </w:r>
    </w:p>
    <w:p>
      <w:pPr>
        <w:pStyle w:val="Heading3"/>
        <w:numPr>
          <w:ilvl w:val="2"/>
          <w:numId w:val="17"/>
        </w:numPr>
        <w:rPr/>
      </w:pPr>
      <w:r>
        <w:rPr/>
        <w:t>Measurement Methodology</w:t>
      </w:r>
    </w:p>
    <w:p>
      <w:pPr>
        <w:pStyle w:val="TableText"/>
        <w:rPr/>
      </w:pPr>
      <w:r>
        <w:rPr/>
        <w:t>Submission of initial report containing</w:t>
      </w:r>
    </w:p>
    <w:p>
      <w:pPr>
        <w:pStyle w:val="TableText"/>
        <w:numPr>
          <w:ilvl w:val="0"/>
          <w:numId w:val="26"/>
        </w:numPr>
        <w:rPr/>
      </w:pPr>
      <w:r>
        <w:rPr/>
        <w:t>a comprehensive structure of all Critical Service Level by processes in scope and of all Critical Deliverables</w:t>
      </w:r>
    </w:p>
    <w:p>
      <w:pPr>
        <w:pStyle w:val="TableText"/>
        <w:numPr>
          <w:ilvl w:val="0"/>
          <w:numId w:val="26"/>
        </w:numPr>
        <w:rPr/>
      </w:pPr>
      <w:r>
        <w:rPr/>
        <w:t>A structure that allows for country metrics comparison</w:t>
      </w:r>
    </w:p>
    <w:p>
      <w:pPr>
        <w:pStyle w:val="TableText"/>
        <w:numPr>
          <w:ilvl w:val="0"/>
          <w:numId w:val="26"/>
        </w:numPr>
        <w:rPr/>
      </w:pPr>
      <w:r>
        <w:rPr/>
        <w:t>Monthly measurement results of the first month of Critical Service Level and Critical Deliverables</w:t>
      </w:r>
    </w:p>
    <w:p>
      <w:pPr>
        <w:pStyle w:val="TableText"/>
        <w:numPr>
          <w:ilvl w:val="0"/>
          <w:numId w:val="26"/>
        </w:numPr>
        <w:rPr/>
      </w:pPr>
      <w:r>
        <w:rPr/>
        <w:t xml:space="preserve">A format which presents the results of the Critical Service Levels in table form as well as in diagrams by month </w:t>
      </w:r>
    </w:p>
    <w:p>
      <w:pPr>
        <w:pStyle w:val="TableText"/>
        <w:numPr>
          <w:ilvl w:val="0"/>
          <w:numId w:val="26"/>
        </w:numPr>
        <w:rPr/>
      </w:pPr>
      <w:r>
        <w:rPr/>
        <w:t>A qualitative description of results at least for any significant deviations</w:t>
      </w:r>
    </w:p>
    <w:p>
      <w:pPr>
        <w:pStyle w:val="TableText"/>
        <w:numPr>
          <w:ilvl w:val="0"/>
          <w:numId w:val="26"/>
        </w:numPr>
        <w:rPr/>
      </w:pPr>
      <w:r>
        <w:rPr/>
        <w:t>Short description of required remediation activities of Service Provider or GlobalPharma.</w:t>
      </w:r>
    </w:p>
    <w:p>
      <w:pPr>
        <w:pStyle w:val="Heading2"/>
        <w:numPr>
          <w:ilvl w:val="1"/>
          <w:numId w:val="17"/>
        </w:numPr>
        <w:spacing w:before="480" w:after="120"/>
        <w:rPr/>
      </w:pPr>
      <w:bookmarkStart w:id="4" w:name="__RefHeading___Toc157774685"/>
      <w:bookmarkEnd w:id="4"/>
      <w:r>
        <w:rPr/>
        <w:t>Implementation of Service Level Measurement Tools and Service Level Dashboard</w:t>
      </w:r>
    </w:p>
    <w:p>
      <w:pPr>
        <w:pStyle w:val="Heading3"/>
        <w:numPr>
          <w:ilvl w:val="2"/>
          <w:numId w:val="17"/>
        </w:numPr>
        <w:rPr/>
      </w:pPr>
      <w:r>
        <w:rPr/>
        <w:t>Definition of the metric</w:t>
      </w:r>
    </w:p>
    <w:p>
      <w:pPr>
        <w:pStyle w:val="Normal"/>
        <w:rPr/>
      </w:pPr>
      <w:r>
        <w:rPr/>
        <w:t>Service Provider will provide and implement the GlobalPharma approved Service Level Measurement Tools in accordance with this Service Level Attachment, which will deliver the information required to indicate Service Levels (Critical Service Levels, Critical Deliverables, and Key Measurements)</w:t>
      </w:r>
    </w:p>
    <w:p>
      <w:pPr>
        <w:pStyle w:val="Heading3"/>
        <w:numPr>
          <w:ilvl w:val="2"/>
          <w:numId w:val="17"/>
        </w:numPr>
        <w:rPr/>
      </w:pPr>
      <w:r>
        <w:rPr/>
        <w:t>Measurement Methodology</w:t>
      </w:r>
    </w:p>
    <w:p>
      <w:pPr>
        <w:pStyle w:val="Normal"/>
        <w:rPr/>
      </w:pPr>
      <w:r>
        <w:rPr/>
        <w:t>Implementation of Cognos with full functionality to display monthly Service Level Reports in the structure and format agreed with GlobalPharma (as indicated in 2.1 Initial Monthly Service Level Reports) for all Critical Service Levels and Key Measures through a web portal.</w:t>
      </w:r>
    </w:p>
    <w:p>
      <w:pPr>
        <w:pStyle w:val="Heading2"/>
        <w:numPr>
          <w:ilvl w:val="1"/>
          <w:numId w:val="17"/>
        </w:numPr>
        <w:spacing w:before="480" w:after="120"/>
        <w:rPr/>
      </w:pPr>
      <w:bookmarkStart w:id="5" w:name="__RefHeading___Toc157774686"/>
      <w:bookmarkEnd w:id="5"/>
      <w:r>
        <w:rPr/>
        <w:t>Internal Controls Matrix</w:t>
      </w:r>
    </w:p>
    <w:p>
      <w:pPr>
        <w:pStyle w:val="Heading3"/>
        <w:numPr>
          <w:ilvl w:val="2"/>
          <w:numId w:val="17"/>
        </w:numPr>
        <w:rPr/>
      </w:pPr>
      <w:r>
        <w:rPr/>
        <w:t>Definition of the metric</w:t>
      </w:r>
    </w:p>
    <w:p>
      <w:pPr>
        <w:pStyle w:val="Normal"/>
        <w:rPr/>
      </w:pPr>
      <w:r>
        <w:rPr/>
        <w:t>Service Provider will provide an internal control matrix in accordance with GlobalPharma requirements.</w:t>
      </w:r>
    </w:p>
    <w:p>
      <w:pPr>
        <w:pStyle w:val="Heading3"/>
        <w:numPr>
          <w:ilvl w:val="2"/>
          <w:numId w:val="17"/>
        </w:numPr>
        <w:rPr/>
      </w:pPr>
      <w:r>
        <w:rPr/>
        <w:t>Measurement Methodology</w:t>
      </w:r>
    </w:p>
    <w:p>
      <w:pPr>
        <w:pStyle w:val="Normal"/>
        <w:rPr/>
      </w:pPr>
      <w:r>
        <w:rPr/>
        <w:t>After the explanation of GlobalPharma on required deliverable the Service Provider would take all the necessary steps to provide an internal control matrix as defined by GlobalPharma. The plans will be agreed and completed on time and signed off by GlobalPharma - not later than 1 month before year end close.</w:t>
      </w:r>
    </w:p>
    <w:p>
      <w:pPr>
        <w:pStyle w:val="Heading2"/>
        <w:numPr>
          <w:ilvl w:val="1"/>
          <w:numId w:val="17"/>
        </w:numPr>
        <w:spacing w:before="480" w:after="120"/>
        <w:rPr/>
      </w:pPr>
      <w:bookmarkStart w:id="6" w:name="__RefHeading___Toc157774687"/>
      <w:bookmarkEnd w:id="6"/>
      <w:r>
        <w:rPr/>
        <w:t>Transition Plan and Key Transition Milestones</w:t>
      </w:r>
    </w:p>
    <w:p>
      <w:pPr>
        <w:pStyle w:val="Heading3"/>
        <w:numPr>
          <w:ilvl w:val="2"/>
          <w:numId w:val="17"/>
        </w:numPr>
        <w:rPr/>
      </w:pPr>
      <w:r>
        <w:rPr/>
        <w:t>Definition of the metric</w:t>
      </w:r>
    </w:p>
    <w:p>
      <w:pPr>
        <w:pStyle w:val="Normal"/>
        <w:rPr/>
      </w:pPr>
      <w:r>
        <w:rPr/>
        <w:t xml:space="preserve">Service Provider will provide a Transition Plan for the Services, including Key Milestones, as agreed to by GlobalPharma.  </w:t>
      </w:r>
    </w:p>
    <w:p>
      <w:pPr>
        <w:pStyle w:val="Heading3"/>
        <w:numPr>
          <w:ilvl w:val="2"/>
          <w:numId w:val="17"/>
        </w:numPr>
        <w:rPr/>
      </w:pPr>
      <w:r>
        <w:rPr/>
        <w:t>Measurement Methodology</w:t>
      </w:r>
    </w:p>
    <w:p>
      <w:pPr>
        <w:pStyle w:val="Normal"/>
        <w:rPr/>
      </w:pPr>
      <w:r>
        <w:rPr/>
        <w:t>Transition planning will happen at 2 levels.</w:t>
      </w:r>
    </w:p>
    <w:p>
      <w:pPr>
        <w:pStyle w:val="Normal"/>
        <w:rPr/>
      </w:pPr>
      <w:r>
        <w:rPr/>
        <w:t>The high level transition plan will be mapped at SOL ID stage which defines clearly key Tollgate deliverables for the transition. This transition plan with all transition activities and deliverables required will be described in a self explanatory way and indicate which personnel on GlobalPharma side will be involved.</w:t>
      </w:r>
    </w:p>
    <w:p>
      <w:pPr>
        <w:pStyle w:val="Normal"/>
        <w:rPr/>
      </w:pPr>
      <w:r>
        <w:rPr/>
        <w:t>The high level plan will be done within 30 days of contract signature.</w:t>
      </w:r>
    </w:p>
    <w:p>
      <w:pPr>
        <w:pStyle w:val="Normal"/>
        <w:rPr/>
      </w:pPr>
      <w:r>
        <w:rPr/>
        <w:t>The detailed transition plan will be designed and agreed upon, after SOL ID during the transition setup phase. This plan will define the transition deliverables at a transactional level with all parallel activities defined clearly with timelines.</w:t>
      </w:r>
    </w:p>
    <w:p>
      <w:pPr>
        <w:pStyle w:val="Heading2"/>
        <w:numPr>
          <w:ilvl w:val="1"/>
          <w:numId w:val="17"/>
        </w:numPr>
        <w:spacing w:before="480" w:after="120"/>
        <w:rPr/>
      </w:pPr>
      <w:bookmarkStart w:id="7" w:name="__RefHeading___Toc157774688"/>
      <w:bookmarkEnd w:id="7"/>
      <w:r>
        <w:rPr/>
        <w:t>Completion of the 1st Disaster Recovery and Business Continuity Test</w:t>
      </w:r>
    </w:p>
    <w:p>
      <w:pPr>
        <w:pStyle w:val="Heading3"/>
        <w:numPr>
          <w:ilvl w:val="2"/>
          <w:numId w:val="17"/>
        </w:numPr>
        <w:rPr/>
      </w:pPr>
      <w:r>
        <w:rPr/>
        <w:t>Definition of the metric</w:t>
      </w:r>
    </w:p>
    <w:p>
      <w:pPr>
        <w:pStyle w:val="Normal"/>
        <w:rPr/>
      </w:pPr>
      <w:r>
        <w:rPr/>
        <w:t xml:space="preserve">Service Provider will complete a successful Disaster Recovery/ Business Continuity test for each delivery location 6 months after all processes are transitioned to the delivery location. . The test will be completed on time, and signed off by GlobalPharma as such. </w:t>
      </w:r>
    </w:p>
    <w:p>
      <w:pPr>
        <w:pStyle w:val="Heading3"/>
        <w:numPr>
          <w:ilvl w:val="2"/>
          <w:numId w:val="17"/>
        </w:numPr>
        <w:rPr/>
      </w:pPr>
      <w:r>
        <w:rPr/>
        <w:t>Measurement Methodology</w:t>
      </w:r>
    </w:p>
    <w:p>
      <w:pPr>
        <w:pStyle w:val="Normal"/>
        <w:rPr/>
      </w:pPr>
      <w:r>
        <w:rPr/>
        <w:t>The Service Provider will have a “cold test” and a “hot test” for Business Continuity. Completion of both will be signed off by GlobalPharma if all testing gaps are closed within 48 hours of completion of the tests.</w:t>
      </w:r>
    </w:p>
    <w:p>
      <w:pPr>
        <w:pStyle w:val="Normal"/>
        <w:rPr/>
      </w:pPr>
      <w:r>
        <w:rPr/>
        <w:t xml:space="preserve">Cold Test: </w:t>
      </w:r>
    </w:p>
    <w:p>
      <w:pPr>
        <w:pStyle w:val="Normal"/>
        <w:rPr/>
      </w:pPr>
      <w:r>
        <w:rPr/>
        <w:t xml:space="preserve">The objective of cold test is to conduct an end-to-end IT readiness check of each process configured under Business Continuity Plan (BCP). The cold test is a non-intrusive test and no production business is transacted from the BCP site. (This test is conducted once every six months.) This test is owned by the Service Provider’s process owners and all test results are documented. The testing gaps, if any, are documented and closed within 48 hours of completion of the cold test. </w:t>
      </w:r>
    </w:p>
    <w:p>
      <w:pPr>
        <w:pStyle w:val="Normal"/>
        <w:rPr/>
      </w:pPr>
      <w:r>
        <w:rPr/>
        <w:t xml:space="preserve">Hot Test: </w:t>
      </w:r>
    </w:p>
    <w:p>
      <w:pPr>
        <w:pStyle w:val="Normal"/>
        <w:spacing w:before="120" w:after="120"/>
        <w:rPr/>
      </w:pPr>
      <w:r>
        <w:rPr/>
        <w:t>The objective of hot test is to perform real business transactions for each process configured under BCP. The business transactions are performed from the BCP site. (This test is conducted once every year).  All test results are documented and the testing gaps, if any, are closed within 48 hours of completion of the test.</w:t>
      </w:r>
    </w:p>
    <w:sectPr>
      <w:headerReference w:type="default" r:id="rId2"/>
      <w:footerReference w:type="default" r:id="rId3"/>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5</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11">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16">
          <wp:simplePos x="0" y="0"/>
          <wp:positionH relativeFrom="column">
            <wp:posOffset>5676900</wp:posOffset>
          </wp:positionH>
          <wp:positionV relativeFrom="paragraph">
            <wp:posOffset>-40640</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lang w:val="en-US"/>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lang w:val="en-US"/>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8">
    <w:lvl w:ilvl="0">
      <w:start w:val="1"/>
      <w:numFmt w:val="bullet"/>
      <w:lvlText w:val=""/>
      <w:lvlJc w:val="start"/>
      <w:pPr>
        <w:tabs>
          <w:tab w:val="num" w:pos="1440"/>
        </w:tabs>
        <w:ind w:start="1440" w:hanging="360"/>
      </w:pPr>
      <w:rPr>
        <w:rFonts w:ascii="Symbol" w:hAnsi="Symbol" w:cs="Symbol" w:hint="default"/>
      </w:rPr>
    </w:lvl>
  </w:abstractNum>
  <w:abstractNum w:abstractNumId="19">
    <w:lvl w:ilvl="0">
      <w:start w:val="1"/>
      <w:numFmt w:val="decimal"/>
      <w:lvlText w:val="%1.0"/>
      <w:lvlJc w:val="start"/>
      <w:pPr>
        <w:tabs>
          <w:tab w:val="num" w:pos="720"/>
        </w:tabs>
        <w:ind w:start="720" w:hanging="720"/>
      </w:pPr>
    </w:lvl>
    <w:lvl w:ilvl="1">
      <w:start w:val="1"/>
      <w:numFmt w:val="decimal"/>
      <w:lvlText w:val="%1.%2"/>
      <w:lvlJc w:val="start"/>
      <w:pPr>
        <w:tabs>
          <w:tab w:val="num" w:pos="720"/>
        </w:tabs>
        <w:ind w:start="720" w:hanging="720"/>
      </w:pPr>
      <w:rPr>
        <w:smallCaps w:val="false"/>
        <w:caps w:val="false"/>
        <w:sz w:val="24"/>
        <w:i w:val="false"/>
        <w:u w:val="none"/>
        <w:b/>
        <w:szCs w:val="24"/>
        <w:rFonts w:cs="Times New Roman"/>
      </w:rPr>
    </w:lvl>
    <w:lvl w:ilvl="2">
      <w:start w:val="1"/>
      <w:numFmt w:val="lowerLetter"/>
      <w:lvlText w:val="(%3)"/>
      <w:lvlJc w:val="start"/>
      <w:pPr>
        <w:tabs>
          <w:tab w:val="num" w:pos="1440"/>
        </w:tabs>
        <w:ind w:start="1440" w:hanging="720"/>
      </w:pPr>
      <w:rPr>
        <w:smallCaps w:val="false"/>
        <w:caps w:val="false"/>
        <w:i w:val="false"/>
        <w:u w:val="none"/>
        <w:b w:val="false"/>
      </w:rPr>
    </w:lvl>
    <w:lvl w:ilvl="3">
      <w:start w:val="1"/>
      <w:numFmt w:val="lowerRoman"/>
      <w:lvlText w:val="%4"/>
      <w:lvlJc w:val="start"/>
      <w:pPr>
        <w:tabs>
          <w:tab w:val="num" w:pos="2160"/>
        </w:tabs>
        <w:ind w:start="2160" w:hanging="720"/>
      </w:pPr>
      <w:rPr>
        <w:smallCaps w:val="false"/>
        <w:caps w:val="false"/>
        <w:i w:val="false"/>
        <w:u w:val="none"/>
        <w:b w:val="false"/>
      </w:rPr>
    </w:lvl>
    <w:lvl w:ilvl="4">
      <w:start w:val="1"/>
      <w:numFmt w:val="decimal"/>
      <w:lvlText w:val="(%5)"/>
      <w:lvlJc w:val="start"/>
      <w:pPr>
        <w:tabs>
          <w:tab w:val="num" w:pos="2880"/>
        </w:tabs>
        <w:ind w:start="2880" w:hanging="720"/>
      </w:pPr>
      <w:rPr>
        <w:smallCaps w:val="false"/>
        <w:caps w:val="false"/>
        <w:i w:val="false"/>
        <w:u w:val="none"/>
        <w:b w:val="false"/>
      </w:rPr>
    </w:lvl>
    <w:lvl w:ilvl="5">
      <w:start w:val="1"/>
      <w:numFmt w:val="lowerLetter"/>
      <w:lvlText w:val="(%6)"/>
      <w:lvlJc w:val="start"/>
      <w:pPr>
        <w:tabs>
          <w:tab w:val="num" w:pos="720"/>
        </w:tabs>
        <w:ind w:start="720" w:hanging="720"/>
      </w:pPr>
      <w:rPr>
        <w:smallCaps w:val="false"/>
        <w:caps w:val="false"/>
        <w:i w:val="false"/>
        <w:u w:val="none"/>
        <w:b w:val="false"/>
        <w:rFonts w:cs="Times New Roman"/>
      </w:rPr>
    </w:lvl>
    <w:lvl w:ilvl="6">
      <w:start w:val="1"/>
      <w:numFmt w:val="lowerRoman"/>
      <w:lvlText w:val="(%7)"/>
      <w:lvlJc w:val="start"/>
      <w:pPr>
        <w:tabs>
          <w:tab w:val="num" w:pos="2880"/>
        </w:tabs>
        <w:ind w:start="2880" w:hanging="720"/>
      </w:pPr>
      <w:rPr>
        <w:sz w:val="24"/>
        <w:szCs w:val="24"/>
      </w:rPr>
    </w:lvl>
    <w:lvl w:ilvl="7">
      <w:start w:val="1"/>
      <w:numFmt w:val="decimal"/>
      <w:lvlText w:val="(%8)"/>
      <w:lvlJc w:val="start"/>
      <w:pPr>
        <w:tabs>
          <w:tab w:val="num" w:pos="2880"/>
        </w:tabs>
        <w:ind w:start="2880" w:hanging="720"/>
      </w:pPr>
      <w:rPr/>
    </w:lvl>
    <w:lvl w:ilvl="8">
      <w:start w:val="1"/>
      <w:numFmt w:val="none"/>
      <w:suff w:val="nothing"/>
      <w:lvlText w:val=""/>
      <w:lvlJc w:val="start"/>
      <w:pPr>
        <w:tabs>
          <w:tab w:val="num" w:pos="0"/>
        </w:tabs>
        <w:ind w:start="0" w:hanging="0"/>
      </w:pPr>
      <w:rPr>
        <w:smallCaps w:val="false"/>
        <w:caps w:val="false"/>
        <w:i w:val="false"/>
        <w:u w:val="none"/>
        <w:b w:val="false"/>
      </w:rPr>
    </w:lvl>
  </w:abstractNum>
  <w:abstractNum w:abstractNumId="20">
    <w:lvl w:ilvl="0">
      <w:start w:val="1"/>
      <w:numFmt w:val="bullet"/>
      <w:lvlText w:val=""/>
      <w:lvlJc w:val="start"/>
      <w:pPr>
        <w:tabs>
          <w:tab w:val="num" w:pos="1627"/>
        </w:tabs>
        <w:ind w:start="1627" w:hanging="547"/>
      </w:pPr>
      <w:rPr>
        <w:rFonts w:ascii="Symbol" w:hAnsi="Symbol" w:cs="Symbol" w:hint="default"/>
      </w:rPr>
    </w:lvl>
  </w:abstractNum>
  <w:abstractNum w:abstractNumId="21">
    <w:lvl w:ilvl="0">
      <w:start w:val="1"/>
      <w:numFmt w:val="decimal"/>
      <w:lvlText w:val="%1."/>
      <w:lvlJc w:val="start"/>
      <w:pPr>
        <w:tabs>
          <w:tab w:val="num" w:pos="720"/>
        </w:tabs>
        <w:ind w:start="720" w:hanging="720"/>
      </w:pPr>
      <w:rPr>
        <w:caps/>
        <w:outline w:val="false"/>
        <w:dstrike w:val="false"/>
        <w:strike w:val="false"/>
        <w:vertAlign w:val="baseline"/>
        <w:position w:val="0"/>
        <w:sz w:val="22"/>
        <w:sz w:val="22"/>
        <w:i w:val="false"/>
        <w:shadow w:val="false"/>
        <w:u w:val="none"/>
        <w:b w:val="false"/>
        <w:vanish w:val="false"/>
        <w:color w:val="auto"/>
      </w:rPr>
    </w:lvl>
    <w:lvl w:ilvl="1">
      <w:start w:val="1"/>
      <w:numFmt w:val="decimal"/>
      <w:lvlText w:val="%1.%2"/>
      <w:lvlJc w:val="start"/>
      <w:pPr>
        <w:tabs>
          <w:tab w:val="num" w:pos="720"/>
        </w:tabs>
        <w:ind w:start="720" w:hanging="720"/>
      </w:pPr>
      <w:rPr>
        <w:smallCaps w:val="false"/>
        <w:caps w:val="false"/>
        <w:outline w:val="false"/>
        <w:dstrike w:val="false"/>
        <w:strike w:val="false"/>
        <w:vertAlign w:val="baseline"/>
        <w:position w:val="0"/>
        <w:sz w:val="22"/>
        <w:sz w:val="22"/>
        <w:i w:val="false"/>
        <w:shadow w:val="false"/>
        <w:u w:val="none"/>
        <w:b w:val="false"/>
        <w:vanish w:val="false"/>
        <w:color w:val="auto"/>
      </w:rPr>
    </w:lvl>
    <w:lvl w:ilvl="2">
      <w:start w:val="1"/>
      <w:numFmt w:val="decimal"/>
      <w:lvlText w:val="%1.%2.%3"/>
      <w:lvlJc w:val="start"/>
      <w:pPr>
        <w:tabs>
          <w:tab w:val="num" w:pos="7380"/>
        </w:tabs>
        <w:ind w:start="7380" w:hanging="720"/>
      </w:pPr>
      <w:rPr>
        <w:smallCaps w:val="false"/>
        <w:caps w:val="false"/>
        <w:outline w:val="false"/>
        <w:dstrike w:val="false"/>
        <w:strike w:val="false"/>
        <w:vertAlign w:val="baseline"/>
        <w:position w:val="0"/>
        <w:sz w:val="22"/>
        <w:sz w:val="22"/>
        <w:i w:val="false"/>
        <w:shadow w:val="false"/>
        <w:u w:val="none"/>
        <w:b w:val="false"/>
        <w:vanish w:val="false"/>
        <w:color w:val="auto"/>
      </w:rPr>
    </w:lvl>
    <w:lvl w:ilvl="3">
      <w:start w:val="1"/>
      <w:numFmt w:val="lowerLetter"/>
      <w:lvlText w:val="(%4)"/>
      <w:lvlJc w:val="start"/>
      <w:pPr>
        <w:tabs>
          <w:tab w:val="num" w:pos="1980"/>
        </w:tabs>
        <w:ind w:start="1980" w:hanging="720"/>
      </w:pPr>
      <w:rPr>
        <w:smallCaps w:val="false"/>
        <w:caps w:val="false"/>
        <w:outline w:val="false"/>
        <w:dstrike w:val="false"/>
        <w:strike w:val="false"/>
        <w:vertAlign w:val="baseline"/>
        <w:position w:val="0"/>
        <w:sz w:val="22"/>
        <w:sz w:val="22"/>
        <w:i w:val="false"/>
        <w:shadow w:val="false"/>
        <w:u w:val="none"/>
        <w:b w:val="false"/>
        <w:vanish w:val="false"/>
        <w:color w:val="auto"/>
      </w:rPr>
    </w:lvl>
    <w:lvl w:ilvl="4">
      <w:start w:val="1"/>
      <w:numFmt w:val="lowerRoman"/>
      <w:lvlText w:val="(%5)"/>
      <w:lvlJc w:val="start"/>
      <w:pPr>
        <w:tabs>
          <w:tab w:val="num" w:pos="2880"/>
        </w:tabs>
        <w:ind w:start="2880" w:hanging="720"/>
      </w:pPr>
      <w:rPr>
        <w:smallCaps w:val="false"/>
        <w:caps w:val="false"/>
        <w:outline w:val="false"/>
        <w:dstrike w:val="false"/>
        <w:strike w:val="false"/>
        <w:vertAlign w:val="baseline"/>
        <w:position w:val="0"/>
        <w:sz w:val="22"/>
        <w:sz w:val="22"/>
        <w:i w:val="false"/>
        <w:shadow w:val="false"/>
        <w:u w:val="none"/>
        <w:b w:val="false"/>
        <w:vanish w:val="false"/>
        <w:color w:val="auto"/>
      </w:rPr>
    </w:lvl>
    <w:lvl w:ilvl="5">
      <w:start w:val="1"/>
      <w:numFmt w:val="lowerLetter"/>
      <w:lvlText w:val="(%6)"/>
      <w:lvlJc w:val="start"/>
      <w:pPr>
        <w:tabs>
          <w:tab w:val="num" w:pos="3960"/>
        </w:tabs>
        <w:ind w:start="0" w:firstLine="3600"/>
      </w:pPr>
      <w:rPr>
        <w:smallCaps w:val="false"/>
        <w:caps w:val="false"/>
        <w:outline w:val="false"/>
        <w:dstrike w:val="false"/>
        <w:strike w:val="false"/>
        <w:vertAlign w:val="baseline"/>
        <w:position w:val="0"/>
        <w:sz w:val="22"/>
        <w:sz w:val="22"/>
        <w:i w:val="false"/>
        <w:shadow w:val="false"/>
        <w:u w:val="none"/>
        <w:b w:val="false"/>
        <w:vanish w:val="false"/>
        <w:color w:val="auto"/>
      </w:rPr>
    </w:lvl>
    <w:lvl w:ilvl="6">
      <w:start w:val="1"/>
      <w:numFmt w:val="decimal"/>
      <w:lvlText w:val="(%7)"/>
      <w:lvlJc w:val="start"/>
      <w:pPr>
        <w:tabs>
          <w:tab w:val="num" w:pos="4680"/>
        </w:tabs>
        <w:ind w:start="0" w:firstLine="4320"/>
      </w:pPr>
      <w:rPr>
        <w:smallCaps w:val="false"/>
        <w:caps w:val="false"/>
        <w:outline w:val="false"/>
        <w:dstrike w:val="false"/>
        <w:strike w:val="false"/>
        <w:vertAlign w:val="baseline"/>
        <w:position w:val="0"/>
        <w:sz w:val="22"/>
        <w:sz w:val="22"/>
        <w:i w:val="false"/>
        <w:shadow w:val="false"/>
        <w:u w:val="none"/>
        <w:b w:val="false"/>
        <w:vanish w:val="false"/>
        <w:color w:val="auto"/>
      </w:rPr>
    </w:lvl>
    <w:lvl w:ilvl="7">
      <w:start w:val="1"/>
      <w:numFmt w:val="lowerRoman"/>
      <w:lvlText w:val="%8)"/>
      <w:lvlJc w:val="start"/>
      <w:pPr>
        <w:tabs>
          <w:tab w:val="num" w:pos="5760"/>
        </w:tabs>
        <w:ind w:start="0" w:firstLine="5040"/>
      </w:pPr>
      <w:rPr>
        <w:smallCaps w:val="false"/>
        <w:caps w:val="false"/>
        <w:outline w:val="false"/>
        <w:dstrike w:val="false"/>
        <w:strike w:val="false"/>
        <w:vertAlign w:val="baseline"/>
        <w:position w:val="0"/>
        <w:sz w:val="22"/>
        <w:sz w:val="22"/>
        <w:i w:val="false"/>
        <w:shadow w:val="false"/>
        <w:u w:val="none"/>
        <w:b w:val="false"/>
        <w:vanish w:val="false"/>
        <w:color w:val="auto"/>
      </w:rPr>
    </w:lvl>
    <w:lvl w:ilvl="8">
      <w:start w:val="1"/>
      <w:numFmt w:val="lowerLetter"/>
      <w:lvlText w:val="%9)"/>
      <w:lvlJc w:val="start"/>
      <w:pPr>
        <w:tabs>
          <w:tab w:val="num" w:pos="6120"/>
        </w:tabs>
        <w:ind w:start="0" w:firstLine="5760"/>
      </w:pPr>
      <w:rPr>
        <w:smallCaps w:val="false"/>
        <w:caps w:val="false"/>
        <w:outline w:val="false"/>
        <w:dstrike w:val="false"/>
        <w:strike w:val="false"/>
        <w:vertAlign w:val="baseline"/>
        <w:position w:val="0"/>
        <w:sz w:val="22"/>
        <w:sz w:val="22"/>
        <w:i w:val="false"/>
        <w:shadow w:val="false"/>
        <w:u w:val="none"/>
        <w:b w:val="false"/>
        <w:vanish w:val="false"/>
        <w:color w:val="auto"/>
      </w:rPr>
    </w:lvl>
  </w:abstractNum>
  <w:abstractNum w:abstractNumId="22">
    <w:lvl w:ilvl="0">
      <w:start w:val="1"/>
      <w:numFmt w:val="bullet"/>
      <w:lvlText w:val=""/>
      <w:lvlJc w:val="start"/>
      <w:pPr>
        <w:tabs>
          <w:tab w:val="num" w:pos="2160"/>
        </w:tabs>
        <w:ind w:start="2160" w:hanging="533"/>
      </w:pPr>
      <w:rPr>
        <w:rFonts w:ascii="Symbol" w:hAnsi="Symbol" w:cs="Symbol" w:hint="default"/>
      </w:rPr>
    </w:lvl>
  </w:abstractNum>
  <w:abstractNum w:abstractNumId="23">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4">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5">
    <w:lvl w:ilvl="0">
      <w:start w:val="1"/>
      <w:numFmt w:val="bullet"/>
      <w:lvlText w:val=""/>
      <w:lvlJc w:val="start"/>
      <w:pPr>
        <w:tabs>
          <w:tab w:val="num" w:pos="3240"/>
        </w:tabs>
        <w:ind w:start="3240" w:hanging="533"/>
      </w:pPr>
      <w:rPr>
        <w:rFonts w:ascii="Symbol" w:hAnsi="Symbol" w:cs="Symbol" w:hint="default"/>
      </w:rPr>
    </w:lvl>
  </w:abstractNum>
  <w:abstractNum w:abstractNumId="26">
    <w:lvl w:ilvl="0">
      <w:numFmt w:val="bullet"/>
      <w:lvlText w:val="-"/>
      <w:lvlJc w:val="start"/>
      <w:pPr>
        <w:tabs>
          <w:tab w:val="num" w:pos="720"/>
        </w:tabs>
        <w:ind w:start="720"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7"/>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keepNext w:val="false"/>
      <w:numPr>
        <w:ilvl w:val="0"/>
        <w:numId w:val="17"/>
      </w:numPr>
      <w:tabs>
        <w:tab w:val="clear" w:pos="720"/>
        <w:tab w:val="left" w:pos="1134" w:leader="none"/>
      </w:tabs>
      <w:spacing w:before="720" w:after="120"/>
      <w:ind w:hanging="1134" w:start="1134" w:end="0"/>
      <w:outlineLvl w:val="1"/>
    </w:pPr>
    <w:rPr>
      <w:bCs w:val="false"/>
      <w:iCs/>
      <w:caps w:val="false"/>
      <w:smallCaps w:val="false"/>
      <w:szCs w:val="28"/>
    </w:rPr>
  </w:style>
  <w:style w:type="paragraph" w:styleId="Heading3">
    <w:name w:val="heading 3"/>
    <w:basedOn w:val="Heading2"/>
    <w:next w:val="TableText"/>
    <w:qFormat/>
    <w:pPr>
      <w:keepLines w:val="false"/>
      <w:numPr>
        <w:ilvl w:val="0"/>
        <w:numId w:val="17"/>
      </w:numPr>
      <w:spacing w:before="480" w:after="120"/>
      <w:ind w:hanging="1134" w:start="1134" w:end="0"/>
      <w:outlineLvl w:val="2"/>
    </w:pPr>
    <w:rPr>
      <w:bCs/>
      <w:sz w:val="24"/>
      <w:szCs w:val="26"/>
    </w:rPr>
  </w:style>
  <w:style w:type="paragraph" w:styleId="Heading4">
    <w:name w:val="heading 4"/>
    <w:basedOn w:val="Heading3"/>
    <w:next w:val="TableText"/>
    <w:qFormat/>
    <w:pPr>
      <w:numPr>
        <w:ilvl w:val="0"/>
        <w:numId w:val="17"/>
      </w:numPr>
      <w:spacing w:before="240" w:after="120"/>
      <w:ind w:hanging="1134" w:start="1134" w:end="0"/>
      <w:outlineLvl w:val="3"/>
    </w:pPr>
    <w:rPr>
      <w:rFonts w:ascii="Times New Roman" w:hAnsi="Times New Roman" w:cs="Times New Roman"/>
      <w:b w:val="false"/>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1z1">
    <w:name w:val="WW8Num11z1"/>
    <w:qFormat/>
    <w:rPr>
      <w:sz w:val="18"/>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Bold;Times New Roman" w:hAnsi="Times New Roman Bold;Times New Roman" w:cs="Times New Roman Bold;Times New Roman"/>
      <w:b/>
      <w:i w:val="false"/>
      <w:sz w:val="28"/>
    </w:rPr>
  </w:style>
  <w:style w:type="character" w:styleId="WW8Num13z1">
    <w:name w:val="WW8Num13z1"/>
    <w:qFormat/>
    <w:rPr>
      <w:rFonts w:ascii="Times New Roman Bold;Times New Roman" w:hAnsi="Times New Roman Bold;Times New Roman" w:cs="Times New Roman Bold;Times New Roman"/>
      <w:b/>
      <w:i w:val="false"/>
      <w:sz w:val="24"/>
      <w:lang w:val="en-US"/>
    </w:rPr>
  </w:style>
  <w:style w:type="character" w:styleId="WW8Num13z2">
    <w:name w:val="WW8Num13z2"/>
    <w:qFormat/>
    <w:rPr>
      <w:rFonts w:ascii="Times New Roman" w:hAnsi="Times New Roman" w:cs="Times New Roman"/>
      <w:b/>
      <w:i w:val="false"/>
      <w:sz w:val="24"/>
    </w:rPr>
  </w:style>
  <w:style w:type="character" w:styleId="WW8Num13z4">
    <w:name w:val="WW8Num13z4"/>
    <w:qFormat/>
    <w:rPr>
      <w:rFonts w:ascii="Times New Roman Bold;Times New Roman" w:hAnsi="Times New Roman Bold;Times New Roman" w:cs="Times New Roman Bold;Times New Roman"/>
      <w:b/>
      <w:i w:val="false"/>
      <w:sz w:val="22"/>
      <w:szCs w:val="22"/>
    </w:rPr>
  </w:style>
  <w:style w:type="character" w:styleId="WW8Num13z5">
    <w:name w:val="WW8Num13z5"/>
    <w:qFormat/>
    <w:rPr>
      <w:rFonts w:ascii="Times New Roman" w:hAnsi="Times New Roman" w:cs="Times New Roman"/>
      <w:b w:val="false"/>
      <w:i w:val="false"/>
      <w:sz w:val="22"/>
    </w:rPr>
  </w:style>
  <w:style w:type="character" w:styleId="WW8Num13z8">
    <w:name w:val="WW8Num13z8"/>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Bold;Times New Roman" w:hAnsi="Times New Roman Bold;Times New Roman" w:cs="Times New Roman Bold;Times New Roman"/>
      <w:b/>
      <w:i w:val="false"/>
      <w:sz w:val="28"/>
    </w:rPr>
  </w:style>
  <w:style w:type="character" w:styleId="WW8Num16z2">
    <w:name w:val="WW8Num16z2"/>
    <w:qFormat/>
    <w:rPr>
      <w:rFonts w:ascii="Times New Roman" w:hAnsi="Times New Roman" w:cs="Times New Roman"/>
      <w:b/>
      <w:i w:val="false"/>
      <w:sz w:val="24"/>
    </w:rPr>
  </w:style>
  <w:style w:type="character" w:styleId="WW8Num16z4">
    <w:name w:val="WW8Num16z4"/>
    <w:qFormat/>
    <w:rPr>
      <w:rFonts w:ascii="Times New Roman" w:hAnsi="Times New Roman" w:cs="Times New Roman"/>
      <w:b w:val="false"/>
      <w:i w:val="false"/>
      <w:sz w:val="22"/>
    </w:rPr>
  </w:style>
  <w:style w:type="character" w:styleId="WW8Num16z8">
    <w:name w:val="WW8Num16z8"/>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Bold;Times New Roman" w:hAnsi="Times New Roman Bold;Times New Roman" w:cs="Times New Roman"/>
      <w:b/>
      <w:i w:val="false"/>
      <w:color w:val="000000"/>
      <w:sz w:val="24"/>
    </w:rPr>
  </w:style>
  <w:style w:type="character" w:styleId="WW8Num18z1">
    <w:name w:val="WW8Num18z1"/>
    <w:qFormat/>
    <w:rPr>
      <w:rFonts w:ascii="Times New Roman Bold;Times New Roman" w:hAnsi="Times New Roman Bold;Times New Roman" w:cs="Times New Roman"/>
      <w:b/>
      <w:i w:val="false"/>
      <w:sz w:val="24"/>
    </w:rPr>
  </w:style>
  <w:style w:type="character" w:styleId="WW8Num18z2">
    <w:name w:val="WW8Num18z2"/>
    <w:qFormat/>
    <w:rPr>
      <w:rFonts w:ascii="Times New Roman" w:hAnsi="Times New Roman" w:cs="Times New Roman"/>
      <w:b w:val="false"/>
      <w:i w:val="false"/>
      <w:sz w:val="22"/>
      <w:lang w:val="en-US"/>
    </w:rPr>
  </w:style>
  <w:style w:type="character" w:styleId="WW8Num18z3">
    <w:name w:val="WW8Num18z3"/>
    <w:qFormat/>
    <w:rPr>
      <w:rFonts w:ascii="Times New Roman" w:hAnsi="Times New Roman" w:cs="Times New Roman"/>
      <w:b w:val="false"/>
      <w:i/>
      <w:sz w:val="22"/>
    </w:rPr>
  </w:style>
  <w:style w:type="character" w:styleId="WW8Num18z4">
    <w:name w:val="WW8Num18z4"/>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z w:val="18"/>
    </w:rPr>
  </w:style>
  <w:style w:type="character" w:styleId="WW8Num21z1">
    <w:name w:val="WW8Num21z1"/>
    <w:qFormat/>
    <w:rPr>
      <w:rFonts w:cs="Times New Roman"/>
      <w:b/>
      <w:i w:val="false"/>
      <w:caps w:val="false"/>
      <w:smallCaps w:val="false"/>
      <w:sz w:val="24"/>
      <w:szCs w:val="24"/>
      <w:u w:val="none"/>
    </w:rPr>
  </w:style>
  <w:style w:type="character" w:styleId="WW8Num21z2">
    <w:name w:val="WW8Num21z2"/>
    <w:qFormat/>
    <w:rPr>
      <w:b w:val="false"/>
      <w:i w:val="false"/>
      <w:caps w:val="false"/>
      <w:smallCaps w:val="false"/>
      <w:u w:val="none"/>
    </w:rPr>
  </w:style>
  <w:style w:type="character" w:styleId="WW8Num21z5">
    <w:name w:val="WW8Num21z5"/>
    <w:qFormat/>
    <w:rPr>
      <w:rFonts w:cs="Times New Roman"/>
      <w:b w:val="false"/>
      <w:i w:val="false"/>
      <w:caps w:val="false"/>
      <w:smallCaps w:val="false"/>
      <w:u w:val="none"/>
    </w:rPr>
  </w:style>
  <w:style w:type="character" w:styleId="WW8Num21z6">
    <w:name w:val="WW8Num21z6"/>
    <w:qFormat/>
    <w:rPr>
      <w:sz w:val="24"/>
      <w:szCs w:val="24"/>
    </w:rPr>
  </w:style>
  <w:style w:type="character" w:styleId="WW8Num21z7">
    <w:name w:val="WW8Num21z7"/>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b w:val="false"/>
      <w:i w:val="false"/>
      <w:caps/>
      <w:strike w:val="false"/>
      <w:dstrike w:val="false"/>
      <w:outline w:val="false"/>
      <w:shadow w:val="false"/>
      <w:vanish w:val="false"/>
      <w:color w:val="auto"/>
      <w:position w:val="0"/>
      <w:sz w:val="22"/>
      <w:sz w:val="22"/>
      <w:u w:val="none"/>
      <w:vertAlign w:val="baseline"/>
    </w:rPr>
  </w:style>
  <w:style w:type="character" w:styleId="WW8Num23z1">
    <w:name w:val="WW8Num23z1"/>
    <w:qFormat/>
    <w:rPr>
      <w:b w:val="false"/>
      <w:i w:val="false"/>
      <w:caps w:val="false"/>
      <w:smallCaps w:val="false"/>
      <w:strike w:val="false"/>
      <w:dstrike w:val="false"/>
      <w:outline w:val="false"/>
      <w:shadow w:val="false"/>
      <w:vanish w:val="false"/>
      <w:color w:val="auto"/>
      <w:position w:val="0"/>
      <w:sz w:val="22"/>
      <w:sz w:val="22"/>
      <w:u w:val="none"/>
      <w:vertAlign w:val="baseline"/>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Bold;Times New Roman" w:hAnsi="Times New Roman Bold;Times New Roman" w:cs="Times New Roman Bold;Times New Roman"/>
      <w:b/>
      <w:i w:val="false"/>
      <w:color w:val="000000"/>
      <w:sz w:val="28"/>
      <w:szCs w:val="28"/>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style>
  <w:style w:type="character" w:styleId="WW8Num26z1">
    <w:name w:val="WW8Num26z1"/>
    <w:qFormat/>
    <w:rPr>
      <w:sz w:val="18"/>
    </w:rPr>
  </w:style>
  <w:style w:type="character" w:styleId="WW8Num28z0">
    <w:name w:val="WW8Num28z0"/>
    <w:qFormat/>
    <w:rPr>
      <w:rFonts w:ascii="Times New Roman" w:hAnsi="Times New Roman" w:cs="Times New Roman"/>
      <w:b w:val="false"/>
      <w:i w:val="false"/>
      <w:color w:val="000000"/>
      <w:sz w:val="22"/>
    </w:rPr>
  </w:style>
  <w:style w:type="character" w:styleId="WW8Num28z1">
    <w:name w:val="WW8Num28z1"/>
    <w:qFormat/>
    <w:rPr>
      <w:rFonts w:ascii="Times New Roman Bold;Times New Roman" w:hAnsi="Times New Roman Bold;Times New Roman" w:cs="Times New Roman Bold;Times New Roman"/>
      <w:b/>
      <w:i w:val="false"/>
      <w:sz w:val="28"/>
      <w:szCs w:val="28"/>
    </w:rPr>
  </w:style>
  <w:style w:type="character" w:styleId="WW8Num28z2">
    <w:name w:val="WW8Num28z2"/>
    <w:qFormat/>
    <w:rPr>
      <w:rFonts w:ascii="Times New Roman" w:hAnsi="Times New Roman" w:cs="Times New Roman"/>
      <w:b w:val="false"/>
      <w:i w:val="false"/>
      <w:sz w:val="22"/>
    </w:rPr>
  </w:style>
  <w:style w:type="character" w:styleId="WW8Num28z4">
    <w:name w:val="WW8Num28z4"/>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Wingdings" w:hAnsi="Wingdings" w:cs="Wingdings"/>
      <w:sz w:val="22"/>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3">
    <w:name w:val=" Char3"/>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3"/>
    <w:qFormat/>
    <w:rPr>
      <w:iCs/>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bCs/>
      <w:sz w:val="24"/>
      <w:szCs w:val="26"/>
    </w:rPr>
  </w:style>
  <w:style w:type="character" w:styleId="Heading2Char">
    <w:name w:val="Heading 2 Char"/>
    <w:basedOn w:val="Absatz-Standardschriftart"/>
    <w:qFormat/>
    <w:rPr>
      <w:rFonts w:ascii="Times New Roman Bold;Times New Roman" w:hAnsi="Times New Roman Bold;Times New Roman" w:cs="Arial"/>
      <w:b/>
      <w:bCs/>
      <w:iCs/>
      <w:caps/>
      <w:kern w:val="2"/>
      <w:sz w:val="28"/>
      <w:szCs w:val="28"/>
      <w:lang w:val="en-US" w:bidi="ar-SA"/>
    </w:rPr>
  </w:style>
  <w:style w:type="character" w:styleId="CharChar1">
    <w:name w:val=" Char Char1"/>
    <w:basedOn w:val="Absatz-Standardschriftart"/>
    <w:qFormat/>
    <w:rPr>
      <w:rFonts w:ascii="Times New Roman Bold;Times New Roman" w:hAnsi="Times New Roman Bold;Times New Roman" w:cs="Arial"/>
      <w:b/>
      <w:bCs/>
      <w:caps/>
      <w:kern w:val="2"/>
      <w:sz w:val="28"/>
      <w:szCs w:val="32"/>
      <w:lang w:val="en-US" w:bidi="ar-SA"/>
    </w:rPr>
  </w:style>
  <w:style w:type="character" w:styleId="CharChar">
    <w:name w:val=" Char Char"/>
    <w:basedOn w:val="CharChar1"/>
    <w:qFormat/>
    <w:rPr>
      <w:iCs/>
      <w:szCs w:val="28"/>
    </w:rPr>
  </w:style>
  <w:style w:type="character" w:styleId="Kommentarzeichen">
    <w:name w:val="Kommentarzeichen"/>
    <w:basedOn w:val="Absatz-Standardschriftar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2"/>
      </w:numPr>
    </w:pPr>
    <w:rPr/>
  </w:style>
  <w:style w:type="paragraph" w:styleId="Level1Numbered">
    <w:name w:val="Level 1 Numbered"/>
    <w:basedOn w:val="Normal"/>
    <w:qFormat/>
    <w:pPr>
      <w:numPr>
        <w:ilvl w:val="0"/>
        <w:numId w:val="24"/>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20"/>
      </w:numPr>
      <w:tabs>
        <w:tab w:val="clear" w:pos="720"/>
        <w:tab w:val="left" w:pos="1440" w:leader="none"/>
      </w:tabs>
      <w:ind w:hanging="360" w:start="1440" w:end="0"/>
    </w:pPr>
    <w:rPr/>
  </w:style>
  <w:style w:type="paragraph" w:styleId="BodyTextBulletL1">
    <w:name w:val="Body Text Bullet L1"/>
    <w:basedOn w:val="Normal"/>
    <w:qFormat/>
    <w:pPr>
      <w:numPr>
        <w:ilvl w:val="0"/>
        <w:numId w:val="22"/>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5"/>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17"/>
      </w:numPr>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8"/>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TableRef11">
    <w:name w:val="Table Ref #+1"/>
    <w:basedOn w:val="TableRef"/>
    <w:qFormat/>
    <w:pPr/>
    <w:rPr>
      <w:lang w:val="en-GB"/>
    </w:rPr>
  </w:style>
  <w:style w:type="paragraph" w:styleId="StyleTableLevel1NumberedLeft102cm">
    <w:name w:val="Style Table Level 1 Numbered + Left:  102 cm"/>
    <w:basedOn w:val="TableLevel1Numbered"/>
    <w:qFormat/>
    <w:pPr>
      <w:numPr>
        <w:ilvl w:val="0"/>
        <w:numId w:val="23"/>
      </w:numPr>
    </w:pPr>
    <w:rPr>
      <w:szCs w:val="20"/>
    </w:rPr>
  </w:style>
  <w:style w:type="paragraph" w:styleId="Kommentartext">
    <w:name w:val="Kommentartext"/>
    <w:basedOn w:val="Normal"/>
    <w:qFormat/>
    <w:pPr/>
    <w:rPr>
      <w:sz w:val="20"/>
      <w:szCs w:val="20"/>
    </w:rPr>
  </w:style>
  <w:style w:type="paragraph" w:styleId="Kommentarthema">
    <w:name w:val="Kommentarthema"/>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Char1CharCharChar">
    <w:name w:val=" Char1 Char Char Char"/>
    <w:basedOn w:val="Normal"/>
    <w:qFormat/>
    <w:pPr>
      <w:spacing w:lineRule="exact" w:line="240" w:before="0" w:after="160"/>
      <w:jc w:val="both"/>
    </w:pPr>
    <w:rPr>
      <w:rFonts w:ascii="Arial" w:hAnsi="Arial" w:cs="Arial"/>
      <w:sz w:val="20"/>
      <w:szCs w:val="20"/>
    </w:rPr>
  </w:style>
  <w:style w:type="paragraph" w:styleId="Legal3L1">
    <w:name w:val="Legal3_L1"/>
    <w:basedOn w:val="Normal"/>
    <w:next w:val="Normal"/>
    <w:qFormat/>
    <w:pPr>
      <w:keepNext w:val="true"/>
      <w:numPr>
        <w:ilvl w:val="0"/>
        <w:numId w:val="21"/>
      </w:numPr>
      <w:spacing w:before="0" w:after="240"/>
      <w:outlineLvl w:val="0"/>
    </w:pPr>
    <w:rPr>
      <w:szCs w:val="20"/>
    </w:rPr>
  </w:style>
  <w:style w:type="paragraph" w:styleId="Legal3L2">
    <w:name w:val="Legal3_L2"/>
    <w:basedOn w:val="Legal3L1"/>
    <w:next w:val="Normal"/>
    <w:qFormat/>
    <w:pPr>
      <w:numPr>
        <w:ilvl w:val="0"/>
        <w:numId w:val="21"/>
      </w:numPr>
      <w:jc w:val="both"/>
      <w:outlineLvl w:val="1"/>
    </w:pPr>
    <w:rPr/>
  </w:style>
  <w:style w:type="paragraph" w:styleId="Legal3L3">
    <w:name w:val="Legal3_L3"/>
    <w:basedOn w:val="Legal3L2"/>
    <w:next w:val="Normal"/>
    <w:qFormat/>
    <w:pPr>
      <w:numPr>
        <w:ilvl w:val="0"/>
        <w:numId w:val="21"/>
      </w:numPr>
      <w:outlineLvl w:val="2"/>
    </w:pPr>
    <w:rPr/>
  </w:style>
  <w:style w:type="paragraph" w:styleId="Legal3L4">
    <w:name w:val="Legal3_L4"/>
    <w:basedOn w:val="Legal3L3"/>
    <w:next w:val="Normal"/>
    <w:qFormat/>
    <w:pPr>
      <w:numPr>
        <w:ilvl w:val="0"/>
        <w:numId w:val="21"/>
      </w:numPr>
      <w:outlineLvl w:val="3"/>
    </w:pPr>
    <w:rPr/>
  </w:style>
  <w:style w:type="paragraph" w:styleId="Legal3L5">
    <w:name w:val="Legal3_L5"/>
    <w:basedOn w:val="Legal3L4"/>
    <w:next w:val="Normal"/>
    <w:qFormat/>
    <w:pPr>
      <w:numPr>
        <w:ilvl w:val="0"/>
        <w:numId w:val="21"/>
      </w:numPr>
      <w:outlineLvl w:val="4"/>
    </w:pPr>
    <w:rPr/>
  </w:style>
  <w:style w:type="paragraph" w:styleId="Legal3L6">
    <w:name w:val="Legal3_L6"/>
    <w:basedOn w:val="Legal3L5"/>
    <w:next w:val="Normal"/>
    <w:qFormat/>
    <w:pPr>
      <w:numPr>
        <w:ilvl w:val="0"/>
        <w:numId w:val="21"/>
      </w:numPr>
      <w:outlineLvl w:val="5"/>
    </w:pPr>
    <w:rPr/>
  </w:style>
  <w:style w:type="paragraph" w:styleId="Legal3L7">
    <w:name w:val="Legal3_L7"/>
    <w:basedOn w:val="Legal3L6"/>
    <w:next w:val="Normal"/>
    <w:qFormat/>
    <w:pPr>
      <w:numPr>
        <w:ilvl w:val="0"/>
        <w:numId w:val="21"/>
      </w:numPr>
      <w:outlineLvl w:val="6"/>
    </w:pPr>
    <w:rPr/>
  </w:style>
  <w:style w:type="paragraph" w:styleId="Legal3L8">
    <w:name w:val="Legal3_L8"/>
    <w:basedOn w:val="Legal3L7"/>
    <w:next w:val="Normal"/>
    <w:qFormat/>
    <w:pPr>
      <w:numPr>
        <w:ilvl w:val="0"/>
        <w:numId w:val="21"/>
      </w:numPr>
      <w:outlineLvl w:val="7"/>
    </w:pPr>
    <w:rPr/>
  </w:style>
  <w:style w:type="paragraph" w:styleId="Legal3L9">
    <w:name w:val="Legal3_L9"/>
    <w:basedOn w:val="Legal3L8"/>
    <w:next w:val="Normal"/>
    <w:qFormat/>
    <w:pPr>
      <w:numPr>
        <w:ilvl w:val="0"/>
        <w:numId w:val="21"/>
      </w:numPr>
      <w:outlineLvl w:val="8"/>
    </w:pPr>
    <w:rPr/>
  </w:style>
  <w:style w:type="paragraph" w:styleId="StyleLegal3L3Left0cmFirstline0cmBefore6pt">
    <w:name w:val="Style Legal3_L3 + Left:  0 cm First line:  0 cm Before:  6 pt"/>
    <w:basedOn w:val="Legal3L3"/>
    <w:qFormat/>
    <w:pPr>
      <w:numPr>
        <w:ilvl w:val="0"/>
        <w:numId w:val="21"/>
      </w:numPr>
      <w:spacing w:before="120" w:after="0"/>
      <w:ind w:hanging="0" w:start="0" w:end="0"/>
    </w:pPr>
    <w:rPr/>
  </w:style>
  <w:style w:type="paragraph" w:styleId="Legal5EL1">
    <w:name w:val="Legal5E_L1"/>
    <w:basedOn w:val="Normal"/>
    <w:qFormat/>
    <w:pPr>
      <w:numPr>
        <w:ilvl w:val="0"/>
        <w:numId w:val="19"/>
      </w:numPr>
      <w:spacing w:before="0" w:after="240"/>
      <w:outlineLvl w:val="0"/>
    </w:pPr>
    <w:rPr>
      <w:sz w:val="24"/>
    </w:rPr>
  </w:style>
  <w:style w:type="paragraph" w:styleId="Legal5EL2">
    <w:name w:val="Legal5E_L2"/>
    <w:basedOn w:val="Legal5EL1"/>
    <w:qFormat/>
    <w:pPr>
      <w:numPr>
        <w:ilvl w:val="0"/>
        <w:numId w:val="19"/>
      </w:numPr>
      <w:jc w:val="both"/>
      <w:outlineLvl w:val="1"/>
    </w:pPr>
    <w:rPr/>
  </w:style>
  <w:style w:type="paragraph" w:styleId="Legal5EL3">
    <w:name w:val="Legal5E_L3"/>
    <w:basedOn w:val="Legal5EL2"/>
    <w:qFormat/>
    <w:pPr>
      <w:numPr>
        <w:ilvl w:val="0"/>
        <w:numId w:val="19"/>
      </w:numPr>
      <w:jc w:val="start"/>
      <w:outlineLvl w:val="2"/>
    </w:pPr>
    <w:rPr/>
  </w:style>
  <w:style w:type="paragraph" w:styleId="Legal5EL4">
    <w:name w:val="Legal5E_L4"/>
    <w:basedOn w:val="Legal5EL3"/>
    <w:qFormat/>
    <w:pPr>
      <w:numPr>
        <w:ilvl w:val="0"/>
        <w:numId w:val="19"/>
      </w:numPr>
      <w:outlineLvl w:val="3"/>
    </w:pPr>
    <w:rPr/>
  </w:style>
  <w:style w:type="paragraph" w:styleId="Legal5EL5">
    <w:name w:val="Legal5E_L5"/>
    <w:basedOn w:val="Legal5EL4"/>
    <w:qFormat/>
    <w:pPr>
      <w:numPr>
        <w:ilvl w:val="0"/>
        <w:numId w:val="19"/>
      </w:numPr>
      <w:outlineLvl w:val="4"/>
    </w:pPr>
    <w:rPr/>
  </w:style>
  <w:style w:type="paragraph" w:styleId="Legal5EL6">
    <w:name w:val="Legal5E_L6"/>
    <w:basedOn w:val="Legal5EL5"/>
    <w:qFormat/>
    <w:pPr>
      <w:numPr>
        <w:ilvl w:val="0"/>
        <w:numId w:val="19"/>
      </w:numPr>
      <w:jc w:val="both"/>
      <w:outlineLvl w:val="5"/>
    </w:pPr>
    <w:rPr/>
  </w:style>
  <w:style w:type="paragraph" w:styleId="Legal5EL7">
    <w:name w:val="Legal5E_L7"/>
    <w:basedOn w:val="Legal5EL6"/>
    <w:qFormat/>
    <w:pPr>
      <w:numPr>
        <w:ilvl w:val="0"/>
        <w:numId w:val="19"/>
      </w:numPr>
      <w:outlineLvl w:val="6"/>
    </w:pPr>
    <w:rPr/>
  </w:style>
  <w:style w:type="paragraph" w:styleId="Legal5EL8">
    <w:name w:val="Legal5E_L8"/>
    <w:basedOn w:val="Legal5EL7"/>
    <w:qFormat/>
    <w:pPr>
      <w:numPr>
        <w:ilvl w:val="0"/>
        <w:numId w:val="19"/>
      </w:numPr>
      <w:outlineLvl w:val="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2007-01-29T20:14:00Z</dcterms:created>
  <dc:creator>Bob Szambelan</dc:creator>
  <dc:description/>
  <cp:keywords>General Accounting</cp:keywords>
  <dc:language>en-US</dc:language>
  <cp:lastModifiedBy>Wenger Plattner</cp:lastModifiedBy>
  <cp:lastPrinted>2005-10-31T15:43:00Z</cp:lastPrinted>
  <dcterms:modified xsi:type="dcterms:W3CDTF">2007-01-29T20:14:00Z</dcterms:modified>
  <cp:revision>2</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