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r>
    </w:p>
    <w:p>
      <w:pPr>
        <w:pStyle w:val="Titel"/>
        <w:rPr/>
      </w:pPr>
      <w:r>
        <w:rPr/>
      </w:r>
    </w:p>
    <w:p>
      <w:pPr>
        <w:pStyle w:val="Titel"/>
        <w:rPr/>
      </w:pPr>
      <w:r>
        <w:rPr/>
      </w:r>
    </w:p>
    <w:p>
      <w:pPr>
        <w:pStyle w:val="Titel"/>
        <w:rPr/>
      </w:pPr>
      <w:r>
        <w:rPr/>
        <w:t>GlobalPharma</w:t>
      </w:r>
    </w:p>
    <w:p>
      <w:pPr>
        <w:pStyle w:val="Titel"/>
        <w:rPr/>
      </w:pPr>
      <w:r>
        <w:rPr/>
      </w:r>
    </w:p>
    <w:p>
      <w:pPr>
        <w:pStyle w:val="Titel"/>
        <w:rPr/>
      </w:pPr>
      <w:r>
        <w:rPr/>
        <w:t>Attachment 6-A</w:t>
      </w:r>
    </w:p>
    <w:p>
      <w:pPr>
        <w:pStyle w:val="Titel"/>
        <w:rPr/>
      </w:pPr>
      <w:r>
        <w:rPr/>
        <w:t>Committee Relationships and Memberships</w:t>
      </w:r>
    </w:p>
    <w:p>
      <w:pPr>
        <w:pStyle w:val="Normal"/>
        <w:jc w:val="center"/>
        <w:rPr>
          <w:b/>
          <w:bCs/>
          <w:sz w:val="32"/>
        </w:rPr>
      </w:pPr>
      <w:r>
        <w:rPr>
          <w:b/>
          <w:bCs/>
          <w:sz w:val="32"/>
        </w:rPr>
        <w:t>Attachment to Exhibit 6 (Governance Model)</w:t>
      </w:r>
    </w:p>
    <w:p>
      <w:pPr>
        <w:pStyle w:val="Titel"/>
        <w:rPr>
          <w:b w:val="false"/>
          <w:bCs w:val="false"/>
          <w:sz w:val="32"/>
        </w:rPr>
      </w:pPr>
      <w:r>
        <w:rPr>
          <w:b w:val="false"/>
          <w:bCs w:val="false"/>
          <w:sz w:val="32"/>
        </w:rPr>
      </w:r>
    </w:p>
    <w:p>
      <w:pPr>
        <w:pStyle w:val="Titel"/>
        <w:rPr/>
      </w:pPr>
      <w:r>
        <w:rPr/>
      </w:r>
    </w:p>
    <w:p>
      <w:pPr>
        <w:pStyle w:val="Titel"/>
        <w:rPr/>
      </w:pPr>
      <w:r>
        <w:rPr/>
      </w:r>
    </w:p>
    <w:p>
      <w:pPr>
        <w:pStyle w:val="Titel"/>
        <w:rPr/>
      </w:pPr>
      <w:r>
        <w:rPr/>
      </w:r>
    </w:p>
    <w:tbl>
      <w:tblPr>
        <w:tblW w:w="7697" w:type="dxa"/>
        <w:jc w:val="center"/>
        <w:tblInd w:w="0" w:type="dxa"/>
        <w:tblLayout w:type="fixed"/>
        <w:tblCellMar>
          <w:top w:w="0" w:type="dxa"/>
          <w:start w:w="108" w:type="dxa"/>
          <w:bottom w:w="0" w:type="dxa"/>
          <w:end w:w="108" w:type="dxa"/>
        </w:tblCellMar>
      </w:tblPr>
      <w:tblGrid>
        <w:gridCol w:w="7697"/>
      </w:tblGrid>
      <w:tr>
        <w:trPr/>
        <w:tc>
          <w:tcPr>
            <w:tcW w:w="7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pPr>
            <w:r>
              <w:rPr/>
            </w:r>
          </w:p>
          <w:p>
            <w:pPr>
              <w:pStyle w:val="Normal"/>
              <w:jc w:val="center"/>
              <w:rPr/>
            </w:pPr>
            <w:r>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pPr>
            <w:r>
              <w:rPr/>
            </w:r>
          </w:p>
        </w:tc>
      </w:tr>
    </w:tbl>
    <w:p>
      <w:pPr>
        <w:pStyle w:val="Normal"/>
        <w:rPr/>
      </w:pPr>
      <w:r>
        <w:rPr/>
      </w:r>
    </w:p>
    <w:p>
      <w:pPr>
        <w:sectPr>
          <w:headerReference w:type="default" r:id="rId2"/>
          <w:footerReference w:type="default" r:id="rId3"/>
          <w:type w:val="nextPage"/>
          <w:pgSz w:w="11906" w:h="16838"/>
          <w:pgMar w:left="1440" w:right="1440" w:gutter="0" w:header="720" w:top="1728" w:footer="720" w:bottom="1728"/>
          <w:pgNumType w:fmt="decimal"/>
          <w:formProt w:val="false"/>
          <w:textDirection w:val="lrTb"/>
          <w:docGrid w:type="default" w:linePitch="360" w:charSpace="0"/>
        </w:sectPr>
        <w:pStyle w:val="Normal"/>
        <w:rPr/>
      </w:pPr>
      <w:r>
        <w:rPr/>
      </w:r>
    </w:p>
    <w:p>
      <w:pPr>
        <w:pStyle w:val="Titel"/>
        <w:rPr/>
      </w:pPr>
      <w:r>
        <w:rPr/>
        <w:t>Table of Contents</w:t>
      </w:r>
    </w:p>
    <w:sdt>
      <w:sdtPr>
        <w:docPartObj>
          <w:docPartGallery w:val="Table of Contents"/>
          <w:docPartUnique w:val="true"/>
        </w:docPartObj>
      </w:sdtPr>
      <w:sdtContent>
        <w:p>
          <w:pPr>
            <w:pStyle w:val="TOC1"/>
            <w:tabs>
              <w:tab w:val="clear" w:pos="720"/>
              <w:tab w:val="left" w:pos="660" w:leader="none"/>
              <w:tab w:val="right" w:pos="9350"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"Heading 1 Numbered;1;Heading 2 Numbered;2;Heading 3 Numbered;3;Heading 4 Numbered;4;Heading 5 Numbered;5" </w:instrText>
          </w:r>
          <w:r>
            <w:rPr>
              <w:rStyle w:val="IndexLink"/>
              <w:lang w:val="en-US" w:eastAsia="en-US"/>
            </w:rPr>
            <w:fldChar w:fldCharType="separate"/>
          </w:r>
          <w:hyperlink w:anchor="__RefHeading___Toc156707636">
            <w:r>
              <w:rPr>
                <w:rStyle w:val="IndexLink"/>
                <w:lang w:val="en-US" w:eastAsia="en-US"/>
              </w:rPr>
              <w:t>1.0</w:t>
            </w:r>
            <w:r>
              <w:rPr>
                <w:rStyle w:val="IndexLink"/>
                <w:b w:val="false"/>
                <w:bCs w:val="false"/>
                <w:caps w:val="false"/>
                <w:smallCaps w:val="false"/>
                <w:sz w:val="24"/>
                <w:szCs w:val="24"/>
                <w:lang w:val="de-CH" w:eastAsia="en-US"/>
              </w:rPr>
              <w:tab/>
            </w:r>
            <w:r>
              <w:rPr>
                <w:rStyle w:val="IndexLink"/>
                <w:lang w:val="en-US" w:eastAsia="en-US"/>
              </w:rPr>
              <w:t>Introduction</w:t>
              <w:tab/>
              <w:t>3</w:t>
            </w:r>
          </w:hyperlink>
        </w:p>
        <w:p>
          <w:pPr>
            <w:pStyle w:val="TOC1"/>
            <w:tabs>
              <w:tab w:val="clear" w:pos="720"/>
              <w:tab w:val="left" w:pos="660" w:leader="none"/>
              <w:tab w:val="right" w:pos="9350" w:leader="dot"/>
            </w:tabs>
            <w:rPr>
              <w:b w:val="false"/>
              <w:bCs w:val="false"/>
              <w:caps w:val="false"/>
              <w:smallCaps w:val="false"/>
              <w:sz w:val="24"/>
              <w:szCs w:val="24"/>
              <w:lang w:val="de-CH" w:eastAsia="en-US"/>
            </w:rPr>
          </w:pPr>
          <w:hyperlink w:anchor="__RefHeading___Toc156707637">
            <w:r>
              <w:rPr>
                <w:rStyle w:val="IndexLink"/>
                <w:lang w:val="en-US" w:eastAsia="en-US"/>
              </w:rPr>
              <w:t>2.0</w:t>
            </w:r>
            <w:r>
              <w:rPr>
                <w:rStyle w:val="IndexLink"/>
                <w:b w:val="false"/>
                <w:bCs w:val="false"/>
                <w:caps w:val="false"/>
                <w:smallCaps w:val="false"/>
                <w:sz w:val="24"/>
                <w:szCs w:val="24"/>
                <w:lang w:val="de-CH" w:eastAsia="en-US"/>
              </w:rPr>
              <w:tab/>
            </w:r>
            <w:r>
              <w:rPr>
                <w:rStyle w:val="IndexLink"/>
                <w:lang w:val="en-US" w:eastAsia="en-US"/>
              </w:rPr>
              <w:t>Committee Relationships</w:t>
              <w:tab/>
              <w:t>4</w:t>
            </w:r>
          </w:hyperlink>
        </w:p>
        <w:p>
          <w:pPr>
            <w:pStyle w:val="TOC1"/>
            <w:tabs>
              <w:tab w:val="clear" w:pos="720"/>
              <w:tab w:val="left" w:pos="660" w:leader="none"/>
              <w:tab w:val="right" w:pos="9350" w:leader="dot"/>
            </w:tabs>
            <w:rPr>
              <w:b w:val="false"/>
              <w:bCs w:val="false"/>
              <w:caps w:val="false"/>
              <w:smallCaps w:val="false"/>
              <w:sz w:val="24"/>
              <w:szCs w:val="24"/>
              <w:lang w:val="de-CH" w:eastAsia="en-US"/>
            </w:rPr>
          </w:pPr>
          <w:hyperlink w:anchor="__RefHeading___Toc156707638">
            <w:r>
              <w:rPr>
                <w:rStyle w:val="IndexLink"/>
                <w:lang w:val="en-US" w:eastAsia="en-US"/>
              </w:rPr>
              <w:t>3.0</w:t>
            </w:r>
            <w:r>
              <w:rPr>
                <w:rStyle w:val="IndexLink"/>
                <w:b w:val="false"/>
                <w:bCs w:val="false"/>
                <w:caps w:val="false"/>
                <w:smallCaps w:val="false"/>
                <w:sz w:val="24"/>
                <w:szCs w:val="24"/>
                <w:lang w:val="de-CH" w:eastAsia="en-US"/>
              </w:rPr>
              <w:tab/>
            </w:r>
            <w:r>
              <w:rPr>
                <w:rStyle w:val="IndexLink"/>
                <w:lang w:val="en-US" w:eastAsia="en-US"/>
              </w:rPr>
              <w:t>Committee Membership</w:t>
              <w:tab/>
              <w:t>5</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6707639">
            <w:r>
              <w:rPr>
                <w:rStyle w:val="IndexLink"/>
                <w:lang w:val="en-US" w:eastAsia="en-US"/>
              </w:rPr>
              <w:t>3.1</w:t>
            </w:r>
            <w:r>
              <w:rPr>
                <w:rStyle w:val="IndexLink"/>
                <w:caps w:val="false"/>
                <w:smallCaps w:val="false"/>
                <w:sz w:val="24"/>
                <w:szCs w:val="24"/>
                <w:lang w:val="de-CH" w:eastAsia="en-US"/>
              </w:rPr>
              <w:tab/>
            </w:r>
            <w:r>
              <w:rPr>
                <w:rStyle w:val="IndexLink"/>
                <w:lang w:val="en-US" w:eastAsia="en-US"/>
              </w:rPr>
              <w:t>Shared Services Executive Steering Committee</w:t>
              <w:tab/>
              <w:t>5</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6707640">
            <w:r>
              <w:rPr>
                <w:rStyle w:val="IndexLink"/>
                <w:lang w:val="en-US" w:eastAsia="en-US"/>
              </w:rPr>
              <w:t>3.2</w:t>
            </w:r>
            <w:r>
              <w:rPr>
                <w:rStyle w:val="IndexLink"/>
                <w:caps w:val="false"/>
                <w:smallCaps w:val="false"/>
                <w:sz w:val="24"/>
                <w:szCs w:val="24"/>
                <w:lang w:val="de-CH" w:eastAsia="en-US"/>
              </w:rPr>
              <w:tab/>
            </w:r>
            <w:r>
              <w:rPr>
                <w:rStyle w:val="IndexLink"/>
                <w:lang w:val="en-US" w:eastAsia="en-US"/>
              </w:rPr>
              <w:t>F&amp;A Service Delivery Committee</w:t>
              <w:tab/>
              <w:t>5</w:t>
            </w:r>
          </w:hyperlink>
        </w:p>
        <w:p>
          <w:pPr>
            <w:pStyle w:val="TOC2"/>
            <w:tabs>
              <w:tab w:val="clear" w:pos="720"/>
              <w:tab w:val="left" w:pos="880" w:leader="none"/>
              <w:tab w:val="right" w:pos="9350" w:leader="dot"/>
            </w:tabs>
            <w:rPr>
              <w:sz w:val="24"/>
              <w:szCs w:val="24"/>
              <w:lang w:val="de-CH" w:eastAsia="en-US"/>
            </w:rPr>
          </w:pPr>
          <w:hyperlink w:anchor="__RefHeading___Toc156707641">
            <w:r>
              <w:rPr>
                <w:rStyle w:val="IndexLink"/>
                <w:caps w:val="false"/>
                <w:smallCaps w:val="false"/>
                <w:lang w:val="en-US" w:eastAsia="en-US"/>
              </w:rPr>
              <w:t>3.3</w:t>
            </w:r>
            <w:r>
              <w:rPr>
                <w:rStyle w:val="IndexLink"/>
                <w:caps w:val="false"/>
                <w:smallCaps w:val="false"/>
                <w:sz w:val="24"/>
                <w:szCs w:val="24"/>
                <w:lang w:val="de-CH" w:eastAsia="en-US"/>
              </w:rPr>
              <w:tab/>
            </w:r>
            <w:r>
              <w:rPr>
                <w:rStyle w:val="IndexLink"/>
                <w:caps w:val="false"/>
                <w:smallCaps w:val="false"/>
                <w:lang w:val="en-US" w:eastAsia="en-US"/>
              </w:rPr>
              <w:t>Shared Services IT Steering Committee</w:t>
              <w:tab/>
              <w:t>6</w:t>
            </w:r>
          </w:hyperlink>
          <w:r>
            <w:rPr>
              <w:rStyle w:val="IndexLink"/>
              <w:smallCaps w:val="false"/>
              <w:caps w:val="false"/>
              <w:lang w:val="en-US" w:eastAsia="en-US"/>
            </w:rPr>
            <w:fldChar w:fldCharType="end"/>
          </w:r>
        </w:p>
      </w:sdtContent>
    </w:sdt>
    <w:p>
      <w:pPr>
        <w:pStyle w:val="Normal"/>
        <w:rPr>
          <w:b/>
          <w:bCs/>
          <w:caps/>
          <w:sz w:val="20"/>
          <w:szCs w:val="20"/>
          <w:lang w:val="de-CH" w:eastAsia="en-US"/>
        </w:rPr>
      </w:pPr>
      <w:r>
        <w:rPr>
          <w:b/>
          <w:bCs/>
          <w:caps/>
          <w:sz w:val="20"/>
          <w:szCs w:val="20"/>
          <w:lang w:val="de-CH" w:eastAsia="en-US"/>
        </w:rPr>
      </w:r>
      <w:r>
        <w:br w:type="page"/>
      </w:r>
    </w:p>
    <w:p>
      <w:pPr>
        <w:pStyle w:val="Heading1Numbered"/>
        <w:numPr>
          <w:ilvl w:val="0"/>
          <w:numId w:val="12"/>
        </w:numPr>
        <w:ind w:hanging="0" w:start="0"/>
        <w:rPr/>
      </w:pPr>
      <w:bookmarkStart w:id="0" w:name="__RefHeading___Toc156707636"/>
      <w:bookmarkEnd w:id="0"/>
      <w:r>
        <w:rPr/>
        <w:t>Introduction</w:t>
      </w:r>
    </w:p>
    <w:p>
      <w:pPr>
        <w:pStyle w:val="BodyText"/>
        <w:rPr/>
      </w:pPr>
      <w:r>
        <w:rPr/>
        <w:t>This document includes the committee relationships and membership relating to Governance of the Agreement.</w:t>
      </w:r>
    </w:p>
    <w:p>
      <w:pPr>
        <w:pStyle w:val="BodyText"/>
        <w:rPr/>
      </w:pPr>
      <w:r>
        <w:rPr/>
        <w:t>Both Parties shall complete this Attachment prior to the Effective Date and include it as part of the Agreement.</w:t>
      </w:r>
      <w:r>
        <w:br w:type="page"/>
      </w:r>
    </w:p>
    <w:p>
      <w:pPr>
        <w:pStyle w:val="Heading1Numbered"/>
        <w:numPr>
          <w:ilvl w:val="0"/>
          <w:numId w:val="12"/>
        </w:numPr>
        <w:ind w:hanging="0" w:start="0"/>
        <w:rPr/>
      </w:pPr>
      <w:bookmarkStart w:id="1" w:name="__RefHeading___Toc156707637"/>
      <w:bookmarkEnd w:id="1"/>
      <w:r>
        <w:rPr/>
        <w:t>Committee Relationships</w:t>
      </w:r>
    </w:p>
    <w:p>
      <w:pPr>
        <w:pStyle w:val="BodyText"/>
        <w:rPr/>
      </w:pPr>
      <w:r>
        <w:rPr/>
        <w:t xml:space="preserve">The following diagram illustrates the primary interfaces for the management of the Agreement. </w:t>
      </w:r>
      <w:r>
        <w:rPr>
          <w:b/>
        </w:rPr>
        <w:t>Exhibit 6</w:t>
      </w:r>
      <w:r>
        <w:rPr/>
        <w:t xml:space="preserve"> (Governance Model) contains more specific information.</w:t>
      </w:r>
    </w:p>
    <w:p>
      <w:pPr>
        <w:pStyle w:val="BodyText"/>
        <w:rPr/>
      </w:pPr>
      <w:r>
        <w:rPr/>
      </w:r>
    </w:p>
    <w:p>
      <w:pPr>
        <w:pStyle w:val="BodyText"/>
        <w:jc w:val="center"/>
        <w:rPr>
          <w:lang w:val="en-US" w:eastAsia="en-US"/>
        </w:rPr>
      </w:pPr>
      <w:r>
        <w:rPr>
          <w:lang w:val="en-US" w:eastAsia="en-US"/>
        </w:rPr>
        <w:drawing>
          <wp:anchor behindDoc="0" distT="0" distB="0" distL="114935" distR="114935" simplePos="0" locked="0" layoutInCell="1" allowOverlap="1" relativeHeight="4">
            <wp:simplePos x="0" y="0"/>
            <wp:positionH relativeFrom="column">
              <wp:posOffset>457200</wp:posOffset>
            </wp:positionH>
            <wp:positionV relativeFrom="paragraph">
              <wp:posOffset>635</wp:posOffset>
            </wp:positionV>
            <wp:extent cx="6124575" cy="4572000"/>
            <wp:effectExtent l="0" t="0" r="0" b="0"/>
            <wp:wrapNone/>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4"/>
                    <a:srcRect l="-8" t="-10" r="-8" b="-10"/>
                    <a:stretch>
                      <a:fillRect/>
                    </a:stretch>
                  </pic:blipFill>
                  <pic:spPr bwMode="auto">
                    <a:xfrm>
                      <a:off x="0" y="0"/>
                      <a:ext cx="6124575" cy="4572000"/>
                    </a:xfrm>
                    <a:prstGeom prst="rect">
                      <a:avLst/>
                    </a:prstGeom>
                    <a:noFill/>
                  </pic:spPr>
                </pic:pic>
              </a:graphicData>
            </a:graphic>
          </wp:anchor>
        </w:drawing>
      </w:r>
    </w:p>
    <w:p>
      <w:pPr>
        <w:pStyle w:val="BodyText"/>
        <w:rPr/>
      </w:pPr>
      <w:r>
        <w:rPr/>
      </w:r>
      <w:r>
        <w:br w:type="page"/>
      </w:r>
    </w:p>
    <w:p>
      <w:pPr>
        <w:pStyle w:val="BodyText"/>
        <w:rPr/>
      </w:pPr>
      <w:r>
        <w:rPr/>
      </w:r>
    </w:p>
    <w:p>
      <w:pPr>
        <w:pStyle w:val="Heading1Numbered"/>
        <w:numPr>
          <w:ilvl w:val="0"/>
          <w:numId w:val="12"/>
        </w:numPr>
        <w:ind w:hanging="0" w:start="0"/>
        <w:rPr/>
      </w:pPr>
      <w:bookmarkStart w:id="2" w:name="__RefHeading___Toc156707638"/>
      <w:bookmarkEnd w:id="2"/>
      <w:r>
        <w:rPr/>
        <w:t>Committee Membership</w:t>
      </w:r>
    </w:p>
    <w:p>
      <w:pPr>
        <w:pStyle w:val="Heading2Numbered"/>
        <w:numPr>
          <w:ilvl w:val="1"/>
          <w:numId w:val="12"/>
        </w:numPr>
        <w:ind w:hanging="0" w:start="0"/>
        <w:rPr/>
      </w:pPr>
      <w:bookmarkStart w:id="3" w:name="__RefHeading___Toc156707639"/>
      <w:bookmarkEnd w:id="3"/>
      <w:r>
        <w:rPr/>
        <w:t>Shared Services Steering Committee</w:t>
      </w:r>
    </w:p>
    <w:tbl>
      <w:tblPr>
        <w:tblW w:w="9468" w:type="dxa"/>
        <w:jc w:val="start"/>
        <w:tblInd w:w="108" w:type="dxa"/>
        <w:tblLayout w:type="fixed"/>
        <w:tblCellMar>
          <w:top w:w="0" w:type="dxa"/>
          <w:start w:w="108" w:type="dxa"/>
          <w:bottom w:w="0" w:type="dxa"/>
          <w:end w:w="108" w:type="dxa"/>
        </w:tblCellMar>
      </w:tblPr>
      <w:tblGrid>
        <w:gridCol w:w="4734"/>
        <w:gridCol w:w="4734"/>
      </w:tblGrid>
      <w:tr>
        <w:trPr>
          <w:trHeight w:val="603" w:hRule="atLeast"/>
        </w:trPr>
        <w:tc>
          <w:tcPr>
            <w:tcW w:w="4734" w:type="dxa"/>
            <w:tcBorders/>
          </w:tcPr>
          <w:p>
            <w:pPr>
              <w:pStyle w:val="BodyText"/>
              <w:spacing w:before="180" w:after="180"/>
              <w:rPr>
                <w:b/>
                <w:bCs/>
              </w:rPr>
            </w:pPr>
            <w:r>
              <w:rPr>
                <w:b/>
                <w:bCs/>
              </w:rPr>
              <w:t>GlobalPharma</w:t>
            </w:r>
          </w:p>
        </w:tc>
        <w:tc>
          <w:tcPr>
            <w:tcW w:w="4734" w:type="dxa"/>
            <w:tcBorders/>
          </w:tcPr>
          <w:p>
            <w:pPr>
              <w:pStyle w:val="BodyText"/>
              <w:spacing w:before="180" w:after="180"/>
              <w:rPr>
                <w:b/>
                <w:bCs/>
              </w:rPr>
            </w:pPr>
            <w:r>
              <w:rPr>
                <w:b/>
                <w:bCs/>
              </w:rPr>
              <w:t>Service Provider</w:t>
            </w:r>
          </w:p>
        </w:tc>
      </w:tr>
      <w:tr>
        <w:trPr/>
        <w:tc>
          <w:tcPr>
            <w:tcW w:w="4734" w:type="dxa"/>
            <w:tcBorders/>
          </w:tcPr>
          <w:p>
            <w:pPr>
              <w:pStyle w:val="BodyText"/>
              <w:spacing w:before="180" w:after="180"/>
              <w:ind w:hanging="0" w:start="720" w:end="0"/>
              <w:rPr/>
            </w:pPr>
            <w:r>
              <w:rPr/>
              <w:t>The initial members will be:</w:t>
            </w:r>
          </w:p>
          <w:p>
            <w:pPr>
              <w:pStyle w:val="BodyText"/>
              <w:spacing w:before="180" w:after="180"/>
              <w:ind w:hanging="0" w:start="720" w:end="0"/>
              <w:rPr/>
            </w:pPr>
            <w:r>
              <w:rPr/>
              <w:t>Jonathan Peacock – CFAO Pharma</w:t>
            </w:r>
          </w:p>
        </w:tc>
        <w:tc>
          <w:tcPr>
            <w:tcW w:w="4734" w:type="dxa"/>
            <w:tcBorders/>
          </w:tcPr>
          <w:p>
            <w:pPr>
              <w:pStyle w:val="BodyText"/>
              <w:spacing w:before="180" w:after="180"/>
              <w:ind w:hanging="0" w:start="720" w:end="0"/>
              <w:rPr/>
            </w:pPr>
            <w:r>
              <w:rPr/>
              <w:t>The initial members will be:</w:t>
            </w:r>
          </w:p>
          <w:p>
            <w:pPr>
              <w:pStyle w:val="BodyText"/>
              <w:spacing w:before="180" w:after="180"/>
              <w:ind w:hanging="0" w:start="720" w:end="0"/>
              <w:rPr/>
            </w:pPr>
            <w:r>
              <w:rPr/>
            </w:r>
          </w:p>
        </w:tc>
      </w:tr>
      <w:tr>
        <w:trPr/>
        <w:tc>
          <w:tcPr>
            <w:tcW w:w="4734" w:type="dxa"/>
            <w:tcBorders/>
          </w:tcPr>
          <w:p>
            <w:pPr>
              <w:pStyle w:val="BodyText"/>
              <w:spacing w:before="180" w:after="180"/>
              <w:ind w:hanging="0" w:start="720" w:end="0"/>
              <w:rPr/>
            </w:pPr>
            <w:r>
              <w:rPr/>
              <w:t>Hans Horne – Head Shared Services</w:t>
            </w:r>
          </w:p>
        </w:tc>
        <w:tc>
          <w:tcPr>
            <w:tcW w:w="4734" w:type="dxa"/>
            <w:tcBorders/>
          </w:tcPr>
          <w:p>
            <w:pPr>
              <w:pStyle w:val="BodyText"/>
              <w:spacing w:before="180" w:after="180"/>
              <w:ind w:hanging="0" w:start="720" w:end="0"/>
              <w:rPr/>
            </w:pPr>
            <w:r>
              <w:rPr/>
              <w:t>Patrick Cogny</w:t>
            </w:r>
          </w:p>
        </w:tc>
      </w:tr>
      <w:tr>
        <w:trPr/>
        <w:tc>
          <w:tcPr>
            <w:tcW w:w="4734" w:type="dxa"/>
            <w:tcBorders/>
          </w:tcPr>
          <w:p>
            <w:pPr>
              <w:pStyle w:val="BodyText"/>
              <w:spacing w:before="180" w:after="180"/>
              <w:ind w:hanging="0" w:start="720" w:end="0"/>
              <w:rPr/>
            </w:pPr>
            <w:r>
              <w:rPr/>
              <w:t>Paul Penepent – Head FRA Pharma</w:t>
            </w:r>
          </w:p>
        </w:tc>
        <w:tc>
          <w:tcPr>
            <w:tcW w:w="4734" w:type="dxa"/>
            <w:tcBorders/>
          </w:tcPr>
          <w:p>
            <w:pPr>
              <w:pStyle w:val="BodyText"/>
              <w:spacing w:before="180" w:after="180"/>
              <w:ind w:start="738" w:end="0"/>
              <w:rPr/>
            </w:pPr>
            <w:r>
              <w:rPr/>
              <w:t>Shantanu Ghosh</w:t>
            </w:r>
          </w:p>
        </w:tc>
      </w:tr>
      <w:tr>
        <w:trPr/>
        <w:tc>
          <w:tcPr>
            <w:tcW w:w="4734" w:type="dxa"/>
            <w:tcBorders/>
          </w:tcPr>
          <w:p>
            <w:pPr>
              <w:pStyle w:val="BodyText"/>
              <w:spacing w:before="180" w:after="180"/>
              <w:ind w:hanging="0" w:start="720" w:end="0"/>
              <w:rPr/>
            </w:pPr>
            <w:r>
              <w:rPr/>
              <w:t>Sid Kaul – Head Finance Region Europe</w:t>
            </w:r>
          </w:p>
          <w:p>
            <w:pPr>
              <w:pStyle w:val="BodyText"/>
              <w:spacing w:before="180" w:after="180"/>
              <w:ind w:hanging="0" w:start="720" w:end="0"/>
              <w:rPr/>
            </w:pPr>
            <w:r>
              <w:rPr/>
              <w:t>Gary Rosenthal – CFO USA</w:t>
            </w:r>
          </w:p>
        </w:tc>
        <w:tc>
          <w:tcPr>
            <w:tcW w:w="4734" w:type="dxa"/>
            <w:tcBorders/>
          </w:tcPr>
          <w:p>
            <w:pPr>
              <w:pStyle w:val="BodyText"/>
              <w:spacing w:before="180" w:after="180"/>
              <w:ind w:hanging="0" w:start="720" w:end="0"/>
              <w:rPr>
                <w:highlight w:val="yellow"/>
              </w:rPr>
            </w:pPr>
            <w:r>
              <w:rPr/>
              <w:t>Ahmed Mazhari</w:t>
            </w:r>
          </w:p>
        </w:tc>
      </w:tr>
      <w:tr>
        <w:trPr/>
        <w:tc>
          <w:tcPr>
            <w:tcW w:w="4734" w:type="dxa"/>
            <w:tcBorders/>
          </w:tcPr>
          <w:p>
            <w:pPr>
              <w:pStyle w:val="BodyText"/>
              <w:spacing w:before="180" w:after="180"/>
              <w:ind w:hanging="0" w:start="720" w:end="0"/>
              <w:rPr/>
            </w:pPr>
            <w:r>
              <w:rPr/>
              <w:t>Giles Breault – Head Sourcing Pharma</w:t>
            </w:r>
          </w:p>
          <w:p>
            <w:pPr>
              <w:pStyle w:val="BodyText"/>
              <w:spacing w:before="180" w:after="180"/>
              <w:ind w:hanging="0" w:start="720" w:end="0"/>
              <w:rPr/>
            </w:pPr>
            <w:r>
              <w:rPr/>
              <w:t>Steven Baert – Head HR Finance</w:t>
            </w:r>
          </w:p>
        </w:tc>
        <w:tc>
          <w:tcPr>
            <w:tcW w:w="4734" w:type="dxa"/>
            <w:tcBorders/>
          </w:tcPr>
          <w:p>
            <w:pPr>
              <w:pStyle w:val="BodyText"/>
              <w:spacing w:before="180" w:after="180"/>
              <w:ind w:hanging="0" w:start="720" w:end="0"/>
              <w:rPr/>
            </w:pPr>
            <w:r>
              <w:rPr/>
              <w:t>Prakhar Singhal</w:t>
            </w:r>
          </w:p>
          <w:p>
            <w:pPr>
              <w:pStyle w:val="BodyText"/>
              <w:spacing w:before="180" w:after="180"/>
              <w:ind w:hanging="0" w:start="720" w:end="0"/>
              <w:rPr>
                <w:highlight w:val="yellow"/>
              </w:rPr>
            </w:pPr>
            <w:r>
              <w:rPr/>
              <w:t>Mirela Marin</w:t>
            </w:r>
          </w:p>
        </w:tc>
      </w:tr>
      <w:tr>
        <w:trPr/>
        <w:tc>
          <w:tcPr>
            <w:tcW w:w="4734" w:type="dxa"/>
            <w:tcBorders/>
          </w:tcPr>
          <w:p>
            <w:pPr>
              <w:pStyle w:val="BodyText"/>
              <w:spacing w:before="180" w:after="180"/>
              <w:ind w:hanging="0" w:start="720" w:end="0"/>
              <w:rPr/>
            </w:pPr>
            <w:r>
              <w:rPr/>
              <w:t>Ray Pawlicki – Head IT Pharma</w:t>
            </w:r>
          </w:p>
        </w:tc>
        <w:tc>
          <w:tcPr>
            <w:tcW w:w="4734" w:type="dxa"/>
            <w:tcBorders/>
          </w:tcPr>
          <w:p>
            <w:pPr>
              <w:pStyle w:val="BodyText"/>
              <w:spacing w:before="180" w:after="180"/>
              <w:ind w:hanging="0" w:start="720" w:end="0"/>
              <w:rPr>
                <w:highlight w:val="yellow"/>
              </w:rPr>
            </w:pPr>
            <w:r>
              <w:rPr/>
              <w:t>Tamas Szekely</w:t>
            </w:r>
          </w:p>
        </w:tc>
      </w:tr>
      <w:tr>
        <w:trPr/>
        <w:tc>
          <w:tcPr>
            <w:tcW w:w="4734" w:type="dxa"/>
            <w:tcBorders/>
          </w:tcPr>
          <w:p>
            <w:pPr>
              <w:pStyle w:val="BodyText"/>
              <w:spacing w:before="180" w:after="180"/>
              <w:ind w:hanging="0" w:start="720" w:end="0"/>
              <w:rPr/>
            </w:pPr>
            <w:r>
              <w:rPr/>
              <w:t>Karl-Heinz Marx – Project Director</w:t>
            </w:r>
          </w:p>
        </w:tc>
        <w:tc>
          <w:tcPr>
            <w:tcW w:w="4734" w:type="dxa"/>
            <w:tcBorders/>
          </w:tcPr>
          <w:p>
            <w:pPr>
              <w:pStyle w:val="BodyText"/>
              <w:snapToGrid w:val="false"/>
              <w:spacing w:before="180" w:after="180"/>
              <w:rPr/>
            </w:pPr>
            <w:r>
              <w:rPr/>
            </w:r>
          </w:p>
        </w:tc>
      </w:tr>
    </w:tbl>
    <w:p>
      <w:pPr>
        <w:pStyle w:val="Heading2Numbered"/>
        <w:numPr>
          <w:ilvl w:val="1"/>
          <w:numId w:val="12"/>
        </w:numPr>
        <w:ind w:hanging="0" w:start="0"/>
        <w:rPr/>
      </w:pPr>
      <w:bookmarkStart w:id="4" w:name="__RefHeading___Toc156707640"/>
      <w:bookmarkEnd w:id="4"/>
      <w:r>
        <w:rPr/>
        <w:t>F&amp;A Service Delivery Committee</w:t>
      </w:r>
    </w:p>
    <w:tbl>
      <w:tblPr>
        <w:tblW w:w="9468" w:type="dxa"/>
        <w:jc w:val="start"/>
        <w:tblInd w:w="108" w:type="dxa"/>
        <w:tblLayout w:type="fixed"/>
        <w:tblCellMar>
          <w:top w:w="0" w:type="dxa"/>
          <w:start w:w="108" w:type="dxa"/>
          <w:bottom w:w="0" w:type="dxa"/>
          <w:end w:w="108" w:type="dxa"/>
        </w:tblCellMar>
      </w:tblPr>
      <w:tblGrid>
        <w:gridCol w:w="4734"/>
        <w:gridCol w:w="4734"/>
      </w:tblGrid>
      <w:tr>
        <w:trPr/>
        <w:tc>
          <w:tcPr>
            <w:tcW w:w="4734" w:type="dxa"/>
            <w:tcBorders/>
          </w:tcPr>
          <w:p>
            <w:pPr>
              <w:pStyle w:val="BodyText"/>
              <w:spacing w:before="180" w:after="180"/>
              <w:rPr>
                <w:b/>
                <w:bCs/>
              </w:rPr>
            </w:pPr>
            <w:r>
              <w:rPr>
                <w:b/>
                <w:bCs/>
              </w:rPr>
              <w:t>GlobalPharma</w:t>
            </w:r>
          </w:p>
        </w:tc>
        <w:tc>
          <w:tcPr>
            <w:tcW w:w="4734" w:type="dxa"/>
            <w:tcBorders/>
          </w:tcPr>
          <w:p>
            <w:pPr>
              <w:pStyle w:val="BodyText"/>
              <w:spacing w:before="180" w:after="180"/>
              <w:rPr>
                <w:b/>
                <w:bCs/>
              </w:rPr>
            </w:pPr>
            <w:r>
              <w:rPr>
                <w:b/>
                <w:bCs/>
              </w:rPr>
              <w:t>Service Provider</w:t>
            </w:r>
          </w:p>
        </w:tc>
      </w:tr>
      <w:tr>
        <w:trPr/>
        <w:tc>
          <w:tcPr>
            <w:tcW w:w="4734" w:type="dxa"/>
            <w:tcBorders/>
          </w:tcPr>
          <w:p>
            <w:pPr>
              <w:pStyle w:val="BodyText"/>
              <w:spacing w:before="180" w:after="180"/>
              <w:ind w:hanging="0" w:start="720" w:end="0"/>
              <w:rPr/>
            </w:pPr>
            <w:r>
              <w:rPr/>
              <w:t>The initial members will be:</w:t>
            </w:r>
          </w:p>
        </w:tc>
        <w:tc>
          <w:tcPr>
            <w:tcW w:w="4734" w:type="dxa"/>
            <w:tcBorders/>
          </w:tcPr>
          <w:p>
            <w:pPr>
              <w:pStyle w:val="BodyText"/>
              <w:spacing w:before="180" w:after="180"/>
              <w:ind w:hanging="0" w:start="720" w:end="0"/>
              <w:rPr/>
            </w:pPr>
            <w:r>
              <w:rPr/>
              <w:t>The initial members will be:</w:t>
            </w:r>
          </w:p>
        </w:tc>
      </w:tr>
      <w:tr>
        <w:trPr/>
        <w:tc>
          <w:tcPr>
            <w:tcW w:w="4734" w:type="dxa"/>
            <w:tcBorders/>
          </w:tcPr>
          <w:p>
            <w:pPr>
              <w:pStyle w:val="BodyText"/>
              <w:spacing w:before="180" w:after="180"/>
              <w:ind w:hanging="0" w:start="720" w:end="0"/>
              <w:rPr/>
            </w:pPr>
            <w:r>
              <w:rPr/>
              <w:t>Karl-Heinz Marx – Project Director</w:t>
            </w:r>
          </w:p>
        </w:tc>
        <w:tc>
          <w:tcPr>
            <w:tcW w:w="4734" w:type="dxa"/>
            <w:tcBorders/>
          </w:tcPr>
          <w:p>
            <w:pPr>
              <w:pStyle w:val="BodyText"/>
              <w:spacing w:before="180" w:after="180"/>
              <w:ind w:hanging="0" w:start="720" w:end="0"/>
              <w:rPr/>
            </w:pPr>
            <w:r>
              <w:rPr/>
              <w:t>Ahmed Mazhari</w:t>
            </w:r>
          </w:p>
        </w:tc>
      </w:tr>
      <w:tr>
        <w:trPr/>
        <w:tc>
          <w:tcPr>
            <w:tcW w:w="4734" w:type="dxa"/>
            <w:tcBorders/>
          </w:tcPr>
          <w:p>
            <w:pPr>
              <w:pStyle w:val="BodyText"/>
              <w:spacing w:before="180" w:after="180"/>
              <w:ind w:hanging="0" w:start="720" w:end="0"/>
              <w:rPr/>
            </w:pPr>
            <w:r>
              <w:rPr/>
              <w:t>N.N. – Contract Manager</w:t>
            </w:r>
          </w:p>
        </w:tc>
        <w:tc>
          <w:tcPr>
            <w:tcW w:w="4734" w:type="dxa"/>
            <w:tcBorders/>
          </w:tcPr>
          <w:p>
            <w:pPr>
              <w:pStyle w:val="BodyText"/>
              <w:spacing w:before="180" w:after="180"/>
              <w:ind w:hanging="0" w:start="720" w:end="0"/>
              <w:rPr/>
            </w:pPr>
            <w:r>
              <w:rPr/>
              <w:t>Mirela Marin</w:t>
            </w:r>
          </w:p>
        </w:tc>
      </w:tr>
      <w:tr>
        <w:trPr/>
        <w:tc>
          <w:tcPr>
            <w:tcW w:w="4734" w:type="dxa"/>
            <w:tcBorders/>
          </w:tcPr>
          <w:p>
            <w:pPr>
              <w:pStyle w:val="BodyText"/>
              <w:spacing w:before="180" w:after="180"/>
              <w:rPr>
                <w:lang w:val="fr-FR"/>
              </w:rPr>
            </w:pPr>
            <w:r>
              <w:rPr>
                <w:lang w:val="fr-FR"/>
              </w:rPr>
              <w:t>N.N. – Process Champion AP/T&amp;E</w:t>
            </w:r>
          </w:p>
        </w:tc>
        <w:tc>
          <w:tcPr>
            <w:tcW w:w="4734" w:type="dxa"/>
            <w:tcBorders/>
          </w:tcPr>
          <w:p>
            <w:pPr>
              <w:pStyle w:val="BodyText"/>
              <w:spacing w:before="180" w:after="180"/>
              <w:rPr>
                <w:lang w:val="fr-FR"/>
              </w:rPr>
            </w:pPr>
            <w:r>
              <w:rPr>
                <w:lang w:val="fr-FR"/>
              </w:rPr>
              <w:t>TBA</w:t>
            </w:r>
          </w:p>
        </w:tc>
      </w:tr>
      <w:tr>
        <w:trPr/>
        <w:tc>
          <w:tcPr>
            <w:tcW w:w="4734" w:type="dxa"/>
            <w:tcBorders/>
          </w:tcPr>
          <w:p>
            <w:pPr>
              <w:pStyle w:val="BodyText"/>
              <w:spacing w:before="180" w:after="180"/>
              <w:rPr>
                <w:lang w:val="fr-FR"/>
              </w:rPr>
            </w:pPr>
            <w:r>
              <w:rPr>
                <w:lang w:val="fr-FR"/>
              </w:rPr>
              <w:t>N.N. – Process Champion GL/FA/AR</w:t>
            </w:r>
          </w:p>
        </w:tc>
        <w:tc>
          <w:tcPr>
            <w:tcW w:w="4734" w:type="dxa"/>
            <w:tcBorders/>
          </w:tcPr>
          <w:p>
            <w:pPr>
              <w:pStyle w:val="BodyText"/>
              <w:spacing w:before="180" w:after="180"/>
              <w:rPr>
                <w:lang w:val="fr-FR"/>
              </w:rPr>
            </w:pPr>
            <w:r>
              <w:rPr>
                <w:lang w:val="fr-FR"/>
              </w:rPr>
              <w:t>TBA</w:t>
            </w:r>
          </w:p>
        </w:tc>
      </w:tr>
      <w:tr>
        <w:trPr/>
        <w:tc>
          <w:tcPr>
            <w:tcW w:w="4734" w:type="dxa"/>
            <w:tcBorders/>
          </w:tcPr>
          <w:p>
            <w:pPr>
              <w:pStyle w:val="BodyText"/>
              <w:spacing w:before="180" w:after="180"/>
              <w:rPr>
                <w:lang w:val="fr-FR"/>
              </w:rPr>
            </w:pPr>
            <w:r>
              <w:rPr>
                <w:lang w:val="fr-FR"/>
              </w:rPr>
              <w:t>N.N. – Process Champion Procurement</w:t>
            </w:r>
          </w:p>
        </w:tc>
        <w:tc>
          <w:tcPr>
            <w:tcW w:w="4734" w:type="dxa"/>
            <w:tcBorders/>
          </w:tcPr>
          <w:p>
            <w:pPr>
              <w:pStyle w:val="BodyText"/>
              <w:spacing w:before="180" w:after="180"/>
              <w:ind w:hanging="0" w:start="720" w:end="0"/>
              <w:rPr/>
            </w:pPr>
            <w:r>
              <w:rPr/>
              <w:t>TBA</w:t>
            </w:r>
          </w:p>
        </w:tc>
      </w:tr>
      <w:tr>
        <w:trPr/>
        <w:tc>
          <w:tcPr>
            <w:tcW w:w="4734" w:type="dxa"/>
            <w:tcBorders/>
          </w:tcPr>
          <w:p>
            <w:pPr>
              <w:pStyle w:val="BodyText"/>
              <w:spacing w:before="180" w:after="180"/>
              <w:ind w:hanging="0" w:start="720" w:end="0"/>
              <w:rPr/>
            </w:pPr>
            <w:r>
              <w:rPr/>
              <w:t>Kamila Grembowicz – FRA Reg. Europe</w:t>
            </w:r>
          </w:p>
        </w:tc>
        <w:tc>
          <w:tcPr>
            <w:tcW w:w="4734" w:type="dxa"/>
            <w:tcBorders/>
          </w:tcPr>
          <w:p>
            <w:pPr>
              <w:pStyle w:val="BodyText"/>
              <w:spacing w:before="180" w:after="180"/>
              <w:ind w:hanging="0" w:start="720" w:end="0"/>
              <w:rPr/>
            </w:pPr>
            <w:r>
              <w:rPr/>
              <w:t>Prakhar Singhal</w:t>
            </w:r>
          </w:p>
        </w:tc>
      </w:tr>
      <w:tr>
        <w:trPr/>
        <w:tc>
          <w:tcPr>
            <w:tcW w:w="4734" w:type="dxa"/>
            <w:tcBorders/>
          </w:tcPr>
          <w:p>
            <w:pPr>
              <w:pStyle w:val="BodyText"/>
              <w:spacing w:before="180" w:after="180"/>
              <w:ind w:hanging="0" w:start="720" w:end="0"/>
              <w:rPr/>
            </w:pPr>
            <w:r>
              <w:rPr/>
              <w:t>Eric Evans – FRA USA</w:t>
            </w:r>
          </w:p>
        </w:tc>
        <w:tc>
          <w:tcPr>
            <w:tcW w:w="4734" w:type="dxa"/>
            <w:tcBorders/>
          </w:tcPr>
          <w:p>
            <w:pPr>
              <w:pStyle w:val="BodyText"/>
              <w:spacing w:before="180" w:after="180"/>
              <w:ind w:hanging="0" w:start="720" w:end="0"/>
              <w:rPr/>
            </w:pPr>
            <w:r>
              <w:rPr/>
              <w:t>India Team Leader</w:t>
            </w:r>
          </w:p>
        </w:tc>
      </w:tr>
      <w:tr>
        <w:trPr/>
        <w:tc>
          <w:tcPr>
            <w:tcW w:w="4734" w:type="dxa"/>
            <w:tcBorders/>
          </w:tcPr>
          <w:p>
            <w:pPr>
              <w:pStyle w:val="BodyText"/>
              <w:spacing w:before="180" w:after="180"/>
              <w:ind w:hanging="0" w:start="720" w:end="0"/>
              <w:rPr/>
            </w:pPr>
            <w:r>
              <w:rPr/>
              <w:t xml:space="preserve">Sonja Haut – Head IT Finance </w:t>
            </w:r>
          </w:p>
        </w:tc>
        <w:tc>
          <w:tcPr>
            <w:tcW w:w="4734" w:type="dxa"/>
            <w:tcBorders/>
          </w:tcPr>
          <w:p>
            <w:pPr>
              <w:pStyle w:val="BodyText"/>
              <w:spacing w:before="180" w:after="180"/>
              <w:ind w:hanging="0" w:start="720" w:end="0"/>
              <w:rPr/>
            </w:pPr>
            <w:r>
              <w:rPr/>
              <w:t>IT Person</w:t>
            </w:r>
          </w:p>
        </w:tc>
      </w:tr>
    </w:tbl>
    <w:p>
      <w:pPr>
        <w:pStyle w:val="Heading2Numbered"/>
        <w:numPr>
          <w:ilvl w:val="1"/>
          <w:numId w:val="12"/>
        </w:numPr>
        <w:ind w:hanging="0" w:start="0"/>
        <w:rPr/>
      </w:pPr>
      <w:bookmarkStart w:id="5" w:name="__RefHeading___Toc156707641"/>
      <w:bookmarkEnd w:id="5"/>
      <w:r>
        <w:rPr/>
        <w:t>Shared Services IT Steering Committee</w:t>
      </w:r>
    </w:p>
    <w:tbl>
      <w:tblPr>
        <w:tblW w:w="9468" w:type="dxa"/>
        <w:jc w:val="start"/>
        <w:tblInd w:w="108" w:type="dxa"/>
        <w:tblLayout w:type="fixed"/>
        <w:tblCellMar>
          <w:top w:w="0" w:type="dxa"/>
          <w:start w:w="108" w:type="dxa"/>
          <w:bottom w:w="0" w:type="dxa"/>
          <w:end w:w="108" w:type="dxa"/>
        </w:tblCellMar>
      </w:tblPr>
      <w:tblGrid>
        <w:gridCol w:w="4734"/>
        <w:gridCol w:w="4734"/>
      </w:tblGrid>
      <w:tr>
        <w:trPr/>
        <w:tc>
          <w:tcPr>
            <w:tcW w:w="4734" w:type="dxa"/>
            <w:tcBorders/>
          </w:tcPr>
          <w:p>
            <w:pPr>
              <w:pStyle w:val="BodyText"/>
              <w:spacing w:before="180" w:after="180"/>
              <w:rPr>
                <w:b/>
                <w:bCs/>
              </w:rPr>
            </w:pPr>
            <w:r>
              <w:rPr>
                <w:b/>
                <w:bCs/>
              </w:rPr>
              <w:t>GlobalPharma</w:t>
            </w:r>
          </w:p>
        </w:tc>
        <w:tc>
          <w:tcPr>
            <w:tcW w:w="4734" w:type="dxa"/>
            <w:tcBorders/>
          </w:tcPr>
          <w:p>
            <w:pPr>
              <w:pStyle w:val="BodyText"/>
              <w:spacing w:before="180" w:after="180"/>
              <w:rPr>
                <w:b/>
                <w:bCs/>
              </w:rPr>
            </w:pPr>
            <w:r>
              <w:rPr>
                <w:b/>
                <w:bCs/>
              </w:rPr>
              <w:t>Service Provider</w:t>
            </w:r>
          </w:p>
        </w:tc>
      </w:tr>
      <w:tr>
        <w:trPr/>
        <w:tc>
          <w:tcPr>
            <w:tcW w:w="4734" w:type="dxa"/>
            <w:tcBorders/>
          </w:tcPr>
          <w:p>
            <w:pPr>
              <w:pStyle w:val="BodyText"/>
              <w:spacing w:before="180" w:after="180"/>
              <w:ind w:hanging="0" w:start="720" w:end="0"/>
              <w:rPr/>
            </w:pPr>
            <w:r>
              <w:rPr/>
              <w:t>The initial members will be:</w:t>
            </w:r>
          </w:p>
        </w:tc>
        <w:tc>
          <w:tcPr>
            <w:tcW w:w="4734" w:type="dxa"/>
            <w:tcBorders/>
          </w:tcPr>
          <w:p>
            <w:pPr>
              <w:pStyle w:val="BodyText"/>
              <w:spacing w:before="180" w:after="180"/>
              <w:ind w:hanging="0" w:start="720" w:end="0"/>
              <w:rPr/>
            </w:pPr>
            <w:r>
              <w:rPr/>
              <w:t>The initial members will be:</w:t>
            </w:r>
          </w:p>
        </w:tc>
      </w:tr>
      <w:tr>
        <w:trPr/>
        <w:tc>
          <w:tcPr>
            <w:tcW w:w="4734" w:type="dxa"/>
            <w:tcBorders/>
          </w:tcPr>
          <w:p>
            <w:pPr>
              <w:pStyle w:val="BodyText"/>
              <w:spacing w:before="180" w:after="180"/>
              <w:rPr>
                <w:lang w:val="pt-BR"/>
              </w:rPr>
            </w:pPr>
            <w:r>
              <w:rPr>
                <w:lang w:val="pt-BR"/>
              </w:rPr>
              <w:t>Ray Pawlicki – CIO GlobalPharma  Pharma</w:t>
            </w:r>
          </w:p>
        </w:tc>
        <w:tc>
          <w:tcPr>
            <w:tcW w:w="4734" w:type="dxa"/>
            <w:tcBorders/>
          </w:tcPr>
          <w:p>
            <w:pPr>
              <w:pStyle w:val="BodyText"/>
              <w:spacing w:before="180" w:after="180"/>
              <w:rPr>
                <w:lang w:val="pt-BR"/>
              </w:rPr>
            </w:pPr>
            <w:r>
              <w:rPr>
                <w:lang w:val="pt-BR"/>
              </w:rPr>
              <w:t>GP CIO - TBH</w:t>
            </w:r>
          </w:p>
        </w:tc>
      </w:tr>
      <w:tr>
        <w:trPr/>
        <w:tc>
          <w:tcPr>
            <w:tcW w:w="4734" w:type="dxa"/>
            <w:tcBorders/>
          </w:tcPr>
          <w:p>
            <w:pPr>
              <w:pStyle w:val="BodyText"/>
              <w:spacing w:before="180" w:after="180"/>
              <w:ind w:hanging="0" w:start="720" w:end="0"/>
              <w:rPr/>
            </w:pPr>
            <w:r>
              <w:rPr/>
              <w:t>Sonja Haut – Head IT Finance</w:t>
            </w:r>
          </w:p>
        </w:tc>
        <w:tc>
          <w:tcPr>
            <w:tcW w:w="4734" w:type="dxa"/>
            <w:tcBorders/>
          </w:tcPr>
          <w:p>
            <w:pPr>
              <w:pStyle w:val="BodyText"/>
              <w:spacing w:before="180" w:after="180"/>
              <w:rPr>
                <w:lang w:val="pt-BR"/>
              </w:rPr>
            </w:pPr>
            <w:r>
              <w:rPr>
                <w:lang w:val="pt-BR"/>
              </w:rPr>
              <w:t>Tamas Szekely</w:t>
            </w:r>
          </w:p>
        </w:tc>
      </w:tr>
      <w:tr>
        <w:trPr/>
        <w:tc>
          <w:tcPr>
            <w:tcW w:w="4734" w:type="dxa"/>
            <w:tcBorders/>
          </w:tcPr>
          <w:p>
            <w:pPr>
              <w:pStyle w:val="BodyText"/>
              <w:spacing w:before="180" w:after="180"/>
              <w:ind w:hanging="0" w:start="720" w:end="0"/>
              <w:rPr/>
            </w:pPr>
            <w:r>
              <w:rPr/>
              <w:t>Wolfgang Vogt – Pharma Infrastructure</w:t>
            </w:r>
          </w:p>
        </w:tc>
        <w:tc>
          <w:tcPr>
            <w:tcW w:w="4734" w:type="dxa"/>
            <w:tcBorders/>
          </w:tcPr>
          <w:p>
            <w:pPr>
              <w:pStyle w:val="BodyText"/>
              <w:snapToGrid w:val="false"/>
              <w:spacing w:before="180" w:after="180"/>
              <w:rPr/>
            </w:pPr>
            <w:r>
              <w:rPr/>
            </w:r>
          </w:p>
        </w:tc>
      </w:tr>
      <w:tr>
        <w:trPr/>
        <w:tc>
          <w:tcPr>
            <w:tcW w:w="4734" w:type="dxa"/>
            <w:tcBorders/>
          </w:tcPr>
          <w:p>
            <w:pPr>
              <w:pStyle w:val="BodyText"/>
              <w:spacing w:before="180" w:after="180"/>
              <w:rPr>
                <w:lang w:val="pt-BR"/>
              </w:rPr>
            </w:pPr>
            <w:r>
              <w:rPr>
                <w:lang w:val="pt-BR"/>
              </w:rPr>
              <w:t>Fred Byram – CIO Region Europe</w:t>
            </w:r>
          </w:p>
        </w:tc>
        <w:tc>
          <w:tcPr>
            <w:tcW w:w="4734" w:type="dxa"/>
            <w:tcBorders/>
          </w:tcPr>
          <w:p>
            <w:pPr>
              <w:pStyle w:val="BodyText"/>
              <w:spacing w:before="180" w:after="180"/>
              <w:ind w:hanging="0" w:start="720" w:end="0"/>
              <w:rPr/>
            </w:pPr>
            <w:r>
              <w:rPr/>
              <w:t>IT Person</w:t>
            </w:r>
          </w:p>
        </w:tc>
      </w:tr>
    </w:tbl>
    <w:p>
      <w:pPr>
        <w:pStyle w:val="Normal"/>
        <w:rPr/>
      </w:pPr>
      <w:r>
        <w:rPr/>
      </w:r>
    </w:p>
    <w:p>
      <w:pPr>
        <w:pStyle w:val="Normal"/>
        <w:rPr/>
      </w:pPr>
      <w:r>
        <w:rPr/>
      </w:r>
    </w:p>
    <w:p>
      <w:pPr>
        <w:pStyle w:val="Normal"/>
        <w:rPr/>
      </w:pPr>
      <w:r>
        <w:rPr/>
      </w:r>
    </w:p>
    <w:p>
      <w:pPr>
        <w:pStyle w:val="Normal"/>
        <w:rPr/>
      </w:pPr>
      <w:r>
        <w:rPr/>
      </w:r>
    </w:p>
    <w:p>
      <w:pPr>
        <w:pStyle w:val="Normal"/>
        <w:spacing w:before="120" w:after="120"/>
        <w:rPr/>
      </w:pPr>
      <w:r>
        <w:rPr/>
      </w:r>
    </w:p>
    <w:sectPr>
      <w:headerReference w:type="default" r:id="rId5"/>
      <w:headerReference w:type="first" r:id="rId6"/>
      <w:footerReference w:type="default" r:id="rId7"/>
      <w:footerReference w:type="first" r:id="rId8"/>
      <w:type w:val="nextPage"/>
      <w:pgSz w:w="12240" w:h="15840"/>
      <w:pgMar w:left="1440" w:right="1440" w:gutter="0" w:header="720" w:top="1728" w:footer="720" w:bottom="172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6</w:t>
    </w:r>
    <w:r>
      <w:rPr>
        <w:rStyle w:val="PageNumber"/>
      </w:rPr>
      <w:fldChar w:fldCharType="end"/>
    </w:r>
  </w:p>
  <w:p>
    <w:pPr>
      <w:pStyle w:val="Footer"/>
      <w:tabs>
        <w:tab w:val="clear" w:pos="4680"/>
        <w:tab w:val="clear" w:pos="7200"/>
        <w:tab w:val="right" w:pos="9360" w:leader="none"/>
        <w:tab w:val="right" w:pos="14400" w:leader="none"/>
      </w:tabs>
      <w:spacing w:before="120" w:after="120"/>
      <w:rPr/>
    </w:pPr>
    <w:r>
      <w:rPr/>
      <w:t xml:space="preserve">GlobalPharma </w:t>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6</w:t>
    </w:r>
    <w:r>
      <w:rPr>
        <w:rStyle w:val="PageNumber"/>
      </w:rPr>
      <w:fldChar w:fldCharType="end"/>
    </w:r>
  </w:p>
  <w:p>
    <w:pPr>
      <w:pStyle w:val="Footer"/>
      <w:tabs>
        <w:tab w:val="clear" w:pos="4680"/>
        <w:tab w:val="clear" w:pos="7200"/>
        <w:tab w:val="right" w:pos="9360" w:leader="none"/>
        <w:tab w:val="right" w:pos="14400" w:leader="none"/>
      </w:tabs>
      <w:spacing w:before="120" w:after="120"/>
      <w:rPr/>
    </w:pPr>
    <w:r>
      <w:rPr/>
      <w:t xml:space="preserve">GlobalPharma </w:t>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drawing>
        <wp:anchor behindDoc="1" distT="0" distB="0" distL="114935" distR="114935" simplePos="0" locked="0" layoutInCell="1" allowOverlap="1" relativeHeight="3">
          <wp:simplePos x="0" y="0"/>
          <wp:positionH relativeFrom="column">
            <wp:posOffset>4724400</wp:posOffset>
          </wp:positionH>
          <wp:positionV relativeFrom="paragraph">
            <wp:posOffset>-26670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drawing>
        <wp:anchor behindDoc="1" distT="0" distB="0" distL="114935" distR="114935" simplePos="0" locked="0" layoutInCell="1" allowOverlap="1" relativeHeight="14">
          <wp:simplePos x="0" y="0"/>
          <wp:positionH relativeFrom="column">
            <wp:posOffset>4724400</wp:posOffset>
          </wp:positionH>
          <wp:positionV relativeFrom="paragraph">
            <wp:posOffset>-26670</wp:posOffset>
          </wp:positionV>
          <wp:extent cx="1028700" cy="385445"/>
          <wp:effectExtent l="0" t="0" r="0" b="0"/>
          <wp:wrapNone/>
          <wp:docPr id="4"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3">
    <w:lvl w:ilvl="0">
      <w:start w:val="1"/>
      <w:numFmt w:val="bullet"/>
      <w:lvlText w:val=""/>
      <w:lvlJc w:val="start"/>
      <w:pPr>
        <w:tabs>
          <w:tab w:val="num" w:pos="2707"/>
        </w:tabs>
        <w:ind w:start="2707" w:hanging="547"/>
      </w:pPr>
      <w:rPr>
        <w:rFonts w:ascii="Symbol" w:hAnsi="Symbol" w:cs="Symbol" w:hint="default"/>
      </w:rPr>
    </w:lvl>
  </w:abstractNum>
  <w:abstractNum w:abstractNumId="14">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1440"/>
        </w:tabs>
        <w:ind w:start="1440" w:hanging="360"/>
      </w:pPr>
      <w:rPr>
        <w:rFonts w:ascii="Symbol" w:hAnsi="Symbol" w:cs="Symbol" w:hint="default"/>
      </w:rPr>
    </w:lvl>
  </w:abstractNum>
  <w:abstractNum w:abstractNumId="17">
    <w:lvl w:ilvl="0">
      <w:start w:val="1"/>
      <w:numFmt w:val="bullet"/>
      <w:lvlText w:val=""/>
      <w:lvlJc w:val="start"/>
      <w:pPr>
        <w:tabs>
          <w:tab w:val="num" w:pos="1627"/>
        </w:tabs>
        <w:ind w:start="1627" w:hanging="547"/>
      </w:pPr>
      <w:rPr>
        <w:rFonts w:ascii="Symbol" w:hAnsi="Symbol" w:cs="Symbol" w:hint="default"/>
      </w:rPr>
    </w:lvl>
  </w:abstractNum>
  <w:abstractNum w:abstractNumId="18">
    <w:lvl w:ilvl="0">
      <w:start w:val="1"/>
      <w:numFmt w:val="bullet"/>
      <w:lvlText w:val=""/>
      <w:lvlJc w:val="start"/>
      <w:pPr>
        <w:tabs>
          <w:tab w:val="num" w:pos="2160"/>
        </w:tabs>
        <w:ind w:start="2160" w:hanging="533"/>
      </w:pPr>
      <w:rPr>
        <w:rFonts w:ascii="Symbol" w:hAnsi="Symbol" w:cs="Symbol" w:hint="default"/>
      </w:rPr>
    </w:lvl>
  </w:abstractNum>
  <w:abstractNum w:abstractNumId="19">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paragraph" w:styleId="Heading5">
    <w:name w:val="heading 5"/>
    <w:basedOn w:val="Normal"/>
    <w:next w:val="Normal"/>
    <w:qFormat/>
    <w:pPr>
      <w:keepNext w:val="true"/>
      <w:numPr>
        <w:ilvl w:val="4"/>
        <w:numId w:val="1"/>
      </w:numPr>
      <w:jc w:val="center"/>
      <w:outlineLvl w:val="4"/>
    </w:pPr>
    <w:rPr>
      <w:b/>
      <w:bCs/>
      <w:color w:val="000000"/>
      <w:sz w:val="26"/>
      <w:szCs w:val="26"/>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cs="Times New Roman"/>
      <w:b w:val="false"/>
      <w:i w:val="false"/>
      <w:color w:val="000000"/>
      <w:sz w:val="22"/>
    </w:rPr>
  </w:style>
  <w:style w:type="character" w:styleId="WW8Num13z1">
    <w:name w:val="WW8Num13z1"/>
    <w:qFormat/>
    <w:rPr>
      <w:rFonts w:ascii="Times New Roman" w:hAnsi="Times New Roman" w:cs="Times New Roman"/>
      <w:b w:val="false"/>
      <w:i w:val="false"/>
      <w:sz w:val="22"/>
    </w:rPr>
  </w:style>
  <w:style w:type="character" w:styleId="WW8Num13z4">
    <w:name w:val="WW8Num13z4"/>
    <w:qFormat/>
    <w:rPr/>
  </w:style>
  <w:style w:type="character" w:styleId="WW8Num15z0">
    <w:name w:val="WW8Num15z0"/>
    <w:qFormat/>
    <w:rPr>
      <w:rFonts w:ascii="Times New Roman" w:hAnsi="Times New Roman" w:cs="Times New Roman"/>
      <w:b w:val="false"/>
      <w:i w:val="false"/>
      <w:color w:val="000000"/>
      <w:sz w:val="22"/>
    </w:rPr>
  </w:style>
  <w:style w:type="character" w:styleId="WW8Num15z1">
    <w:name w:val="WW8Num15z1"/>
    <w:qFormat/>
    <w:rPr>
      <w:rFonts w:ascii="Times New Roman" w:hAnsi="Times New Roman" w:cs="Times New Roman"/>
      <w:b w:val="false"/>
      <w:i w:val="false"/>
      <w:sz w:val="22"/>
    </w:rPr>
  </w:style>
  <w:style w:type="character" w:styleId="WW8Num15z4">
    <w:name w:val="WW8Num15z4"/>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w:hAnsi="Times New Roman" w:cs="Times New Roman"/>
      <w:b w:val="false"/>
      <w:i w:val="false"/>
      <w:color w:val="000000"/>
      <w:sz w:val="22"/>
    </w:rPr>
  </w:style>
  <w:style w:type="character" w:styleId="WW8Num17z1">
    <w:name w:val="WW8Num17z1"/>
    <w:qFormat/>
    <w:rPr>
      <w:rFonts w:ascii="Times New Roman" w:hAnsi="Times New Roman" w:cs="Times New Roman"/>
      <w:b w:val="false"/>
      <w:i w:val="false"/>
      <w:sz w:val="22"/>
    </w:rPr>
  </w:style>
  <w:style w:type="character" w:styleId="WW8Num17z4">
    <w:name w:val="WW8Num17z4"/>
    <w:qFormat/>
    <w:rPr/>
  </w:style>
  <w:style w:type="character" w:styleId="WW8Num18z0">
    <w:name w:val="WW8Num18z0"/>
    <w:qFormat/>
    <w:rPr>
      <w:rFonts w:ascii="Times New Roman Bold;Times New Roman" w:hAnsi="Times New Roman Bold;Times New Roman" w:cs="Times New Roman Bold;Times New Roman"/>
      <w:b/>
      <w:i w:val="false"/>
      <w:sz w:val="28"/>
    </w:rPr>
  </w:style>
  <w:style w:type="character" w:styleId="WW8Num18z2">
    <w:name w:val="WW8Num18z2"/>
    <w:qFormat/>
    <w:rPr>
      <w:rFonts w:ascii="Times New Roman" w:hAnsi="Times New Roman" w:cs="Times New Roman"/>
      <w:b/>
      <w:i w:val="false"/>
      <w:sz w:val="24"/>
    </w:rPr>
  </w:style>
  <w:style w:type="character" w:styleId="WW8Num18z4">
    <w:name w:val="WW8Num18z4"/>
    <w:qFormat/>
    <w:rPr>
      <w:rFonts w:ascii="Times New Roman Bold;Times New Roman" w:hAnsi="Times New Roman Bold;Times New Roman" w:cs="Times New Roman Bold;Times New Roman"/>
      <w:b/>
      <w:i w:val="false"/>
      <w:sz w:val="22"/>
      <w:szCs w:val="22"/>
    </w:rPr>
  </w:style>
  <w:style w:type="character" w:styleId="WW8Num18z5">
    <w:name w:val="WW8Num18z5"/>
    <w:qFormat/>
    <w:rPr>
      <w:rFonts w:ascii="Times New Roman" w:hAnsi="Times New Roman" w:cs="Times New Roman"/>
      <w:b w:val="false"/>
      <w:i w:val="false"/>
      <w:sz w:val="22"/>
    </w:rPr>
  </w:style>
  <w:style w:type="character" w:styleId="WW8Num18z8">
    <w:name w:val="WW8Num18z8"/>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2z0">
    <w:name w:val="WW8Num22z0"/>
    <w:qFormat/>
    <w:rPr>
      <w:rFonts w:ascii="Times New Roman Bold;Times New Roman" w:hAnsi="Times New Roman Bold;Times New Roman" w:cs="Times New Roman Bold;Times New Roman"/>
      <w:b/>
      <w:i w:val="false"/>
      <w:sz w:val="28"/>
    </w:rPr>
  </w:style>
  <w:style w:type="character" w:styleId="WW8Num22z2">
    <w:name w:val="WW8Num22z2"/>
    <w:qFormat/>
    <w:rPr>
      <w:rFonts w:ascii="Times New Roman" w:hAnsi="Times New Roman" w:cs="Times New Roman"/>
      <w:b/>
      <w:i w:val="false"/>
      <w:sz w:val="24"/>
    </w:rPr>
  </w:style>
  <w:style w:type="character" w:styleId="WW8Num22z4">
    <w:name w:val="WW8Num22z4"/>
    <w:qFormat/>
    <w:rPr>
      <w:rFonts w:ascii="Times New Roman" w:hAnsi="Times New Roman" w:cs="Times New Roman"/>
      <w:b w:val="false"/>
      <w:i w:val="false"/>
      <w:sz w:val="22"/>
    </w:rPr>
  </w:style>
  <w:style w:type="character" w:styleId="WW8Num22z8">
    <w:name w:val="WW8Num22z8"/>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rFonts w:ascii="Times New Roman" w:hAnsi="Times New Roman" w:cs="Times New Roman"/>
      <w:b w:val="false"/>
      <w:i w:val="false"/>
      <w:color w:val="000000"/>
      <w:sz w:val="22"/>
    </w:rPr>
  </w:style>
  <w:style w:type="character" w:styleId="WW8Num26z1">
    <w:name w:val="WW8Num26z1"/>
    <w:qFormat/>
    <w:rPr>
      <w:rFonts w:ascii="Times New Roman" w:hAnsi="Times New Roman" w:cs="Times New Roman"/>
      <w:b w:val="false"/>
      <w:i w:val="false"/>
      <w:sz w:val="22"/>
    </w:rPr>
  </w:style>
  <w:style w:type="character" w:styleId="WW8Num26z4">
    <w:name w:val="WW8Num26z4"/>
    <w:qFormat/>
    <w:rPr/>
  </w:style>
  <w:style w:type="character" w:styleId="WW8Num28z0">
    <w:name w:val="WW8Num28z0"/>
    <w:qFormat/>
    <w:rPr>
      <w:rFonts w:ascii="Times New Roman" w:hAnsi="Times New Roman" w:cs="Times New Roman"/>
      <w:b w:val="false"/>
      <w:i w:val="false"/>
      <w:color w:val="000000"/>
      <w:sz w:val="22"/>
    </w:rPr>
  </w:style>
  <w:style w:type="character" w:styleId="WW8Num28z1">
    <w:name w:val="WW8Num28z1"/>
    <w:qFormat/>
    <w:rPr>
      <w:rFonts w:ascii="Times New Roman" w:hAnsi="Times New Roman" w:cs="Times New Roman"/>
      <w:b w:val="false"/>
      <w:i w:val="false"/>
      <w:sz w:val="22"/>
    </w:rPr>
  </w:style>
  <w:style w:type="character" w:styleId="WW8Num28z4">
    <w:name w:val="WW8Num28z4"/>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Times New Roman" w:hAnsi="Times New Roman" w:cs="Times New Roman"/>
      <w:b w:val="false"/>
      <w:i w:val="false"/>
      <w:color w:val="000000"/>
      <w:sz w:val="22"/>
    </w:rPr>
  </w:style>
  <w:style w:type="character" w:styleId="WW8Num32z1">
    <w:name w:val="WW8Num32z1"/>
    <w:qFormat/>
    <w:rPr>
      <w:rFonts w:ascii="Times New Roman" w:hAnsi="Times New Roman" w:cs="Times New Roman"/>
      <w:b w:val="false"/>
      <w:i w:val="false"/>
      <w:sz w:val="22"/>
    </w:rPr>
  </w:style>
  <w:style w:type="character" w:styleId="WW8Num32z4">
    <w:name w:val="WW8Num32z4"/>
    <w:qFormat/>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Times New Roman" w:hAnsi="Times New Roman" w:cs="Times New Roman"/>
      <w:b w:val="false"/>
      <w:i w:val="false"/>
      <w:color w:val="000000"/>
      <w:sz w:val="22"/>
    </w:rPr>
  </w:style>
  <w:style w:type="character" w:styleId="WW8Num35z1">
    <w:name w:val="WW8Num35z1"/>
    <w:qFormat/>
    <w:rPr>
      <w:rFonts w:ascii="Times New Roman" w:hAnsi="Times New Roman" w:cs="Times New Roman"/>
      <w:b w:val="false"/>
      <w:i w:val="false"/>
      <w:sz w:val="22"/>
    </w:rPr>
  </w:style>
  <w:style w:type="character" w:styleId="WW8Num35z4">
    <w:name w:val="WW8Num35z4"/>
    <w:qFormat/>
    <w:rPr/>
  </w:style>
  <w:style w:type="character" w:styleId="WW8Num36z0">
    <w:name w:val="WW8Num36z0"/>
    <w:qFormat/>
    <w:rPr>
      <w:rFonts w:ascii="Times New Roman Bold;Times New Roman" w:hAnsi="Times New Roman Bold;Times New Roman" w:cs="Times New Roman Bold;Times New Roman"/>
      <w:b/>
      <w:i w:val="false"/>
      <w:color w:val="000000"/>
      <w:sz w:val="28"/>
      <w:szCs w:val="28"/>
    </w:rPr>
  </w:style>
  <w:style w:type="character" w:styleId="WW8Num36z1">
    <w:name w:val="WW8Num36z1"/>
    <w:qFormat/>
    <w:rPr>
      <w:rFonts w:ascii="Times New Roman" w:hAnsi="Times New Roman" w:cs="Times New Roman"/>
      <w:b w:val="false"/>
      <w:i w:val="false"/>
      <w:sz w:val="22"/>
    </w:rPr>
  </w:style>
  <w:style w:type="character" w:styleId="WW8Num36z4">
    <w:name w:val="WW8Num36z4"/>
    <w:qFormat/>
    <w:rPr/>
  </w:style>
  <w:style w:type="character" w:styleId="WW8Num37z0">
    <w:name w:val="WW8Num37z0"/>
    <w:qFormat/>
    <w:rPr>
      <w:rFonts w:ascii="Times New Roman" w:hAnsi="Times New Roman" w:cs="Times New Roman"/>
      <w:b w:val="false"/>
      <w:i w:val="false"/>
      <w:color w:val="000000"/>
      <w:sz w:val="22"/>
    </w:rPr>
  </w:style>
  <w:style w:type="character" w:styleId="WW8Num37z1">
    <w:name w:val="WW8Num37z1"/>
    <w:qFormat/>
    <w:rPr>
      <w:rFonts w:ascii="Times New Roman" w:hAnsi="Times New Roman" w:cs="Times New Roman"/>
      <w:b w:val="false"/>
      <w:i w:val="false"/>
      <w:sz w:val="22"/>
    </w:rPr>
  </w:style>
  <w:style w:type="character" w:styleId="WW8Num37z4">
    <w:name w:val="WW8Num37z4"/>
    <w:qFormat/>
    <w:rPr/>
  </w:style>
  <w:style w:type="character" w:styleId="WW8Num38z0">
    <w:name w:val="WW8Num38z0"/>
    <w:qFormat/>
    <w:rPr>
      <w:rFonts w:ascii="Times New Roman" w:hAnsi="Times New Roman" w:cs="Times New Roman"/>
      <w:b w:val="false"/>
      <w:i w:val="false"/>
      <w:color w:val="000000"/>
      <w:sz w:val="22"/>
    </w:rPr>
  </w:style>
  <w:style w:type="character" w:styleId="WW8Num38z1">
    <w:name w:val="WW8Num38z1"/>
    <w:qFormat/>
    <w:rPr>
      <w:rFonts w:ascii="Times New Roman" w:hAnsi="Times New Roman" w:cs="Times New Roman"/>
      <w:b w:val="false"/>
      <w:i w:val="false"/>
      <w:sz w:val="22"/>
    </w:rPr>
  </w:style>
  <w:style w:type="character" w:styleId="WW8Num38z4">
    <w:name w:val="WW8Num38z4"/>
    <w:qFormat/>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Times New Roman" w:hAnsi="Times New Roman" w:cs="Times New Roman"/>
      <w:b w:val="false"/>
      <w:i w:val="false"/>
      <w:color w:val="000000"/>
      <w:sz w:val="22"/>
    </w:rPr>
  </w:style>
  <w:style w:type="character" w:styleId="WW8Num40z1">
    <w:name w:val="WW8Num40z1"/>
    <w:qFormat/>
    <w:rPr>
      <w:rFonts w:ascii="Times New Roman" w:hAnsi="Times New Roman" w:cs="Times New Roman"/>
      <w:b w:val="false"/>
      <w:i w:val="false"/>
      <w:sz w:val="22"/>
    </w:rPr>
  </w:style>
  <w:style w:type="character" w:styleId="WW8Num40z4">
    <w:name w:val="WW8Num40z4"/>
    <w:qFormat/>
    <w:rPr/>
  </w:style>
  <w:style w:type="character" w:styleId="WW8Num41z0">
    <w:name w:val="WW8Num41z0"/>
    <w:qFormat/>
    <w:rPr>
      <w:rFonts w:ascii="Times New Roman" w:hAnsi="Times New Roman" w:cs="Times New Roman"/>
      <w:b w:val="false"/>
      <w:i w:val="false"/>
      <w:color w:val="000000"/>
      <w:sz w:val="22"/>
    </w:rPr>
  </w:style>
  <w:style w:type="character" w:styleId="WW8Num41z1">
    <w:name w:val="WW8Num41z1"/>
    <w:qFormat/>
    <w:rPr>
      <w:rFonts w:ascii="Times New Roman" w:hAnsi="Times New Roman" w:cs="Times New Roman"/>
      <w:b w:val="false"/>
      <w:i w:val="false"/>
      <w:sz w:val="22"/>
    </w:rPr>
  </w:style>
  <w:style w:type="character" w:styleId="WW8Num41z4">
    <w:name w:val="WW8Num41z4"/>
    <w:qFormat/>
    <w:rPr/>
  </w:style>
  <w:style w:type="character" w:styleId="WW8Num42z0">
    <w:name w:val="WW8Num42z0"/>
    <w:qFormat/>
    <w:rPr>
      <w:rFonts w:ascii="Times New Roman" w:hAnsi="Times New Roman" w:cs="Times New Roman"/>
      <w:b w:val="false"/>
      <w:i w:val="false"/>
      <w:color w:val="000000"/>
      <w:sz w:val="22"/>
    </w:rPr>
  </w:style>
  <w:style w:type="character" w:styleId="WW8Num42z1">
    <w:name w:val="WW8Num42z1"/>
    <w:qFormat/>
    <w:rPr>
      <w:rFonts w:ascii="Times New Roman" w:hAnsi="Times New Roman" w:cs="Times New Roman"/>
      <w:b w:val="false"/>
      <w:i w:val="false"/>
      <w:sz w:val="22"/>
    </w:rPr>
  </w:style>
  <w:style w:type="character" w:styleId="WW8Num42z4">
    <w:name w:val="WW8Num42z4"/>
    <w:qFormat/>
    <w:rPr/>
  </w:style>
  <w:style w:type="character" w:styleId="Absatz-Standardschriftart">
    <w:name w:val="Absatz-Standardschriftart"/>
    <w:qFormat/>
    <w:rPr/>
  </w:style>
  <w:style w:type="character" w:styleId="PageNumber">
    <w:name w:val="page number"/>
    <w:basedOn w:val="Absatz-Standardschriftar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TextBullet">
    <w:name w:val="Table Text Bullet"/>
    <w:basedOn w:val="Normal"/>
    <w:qFormat/>
    <w:pPr>
      <w:numPr>
        <w:ilvl w:val="0"/>
        <w:numId w:val="15"/>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Heading2Numbered"/>
    <w:next w:val="TableText"/>
    <w:qFormat/>
    <w:pPr>
      <w:numPr>
        <w:ilvl w:val="0"/>
        <w:numId w:val="12"/>
      </w:numPr>
    </w:pPr>
    <w:rPr/>
  </w:style>
  <w:style w:type="paragraph" w:styleId="Heading4Numbered">
    <w:name w:val="Heading 4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Sprechblasentext">
    <w:name w:val="Sprechblasentext"/>
    <w:basedOn w:val="Normal"/>
    <w:qFormat/>
    <w:pPr/>
    <w:rPr>
      <w:rFonts w:ascii="Tahoma" w:hAnsi="Tahoma" w:cs="Tahoma"/>
      <w:sz w:val="16"/>
      <w:szCs w:val="16"/>
    </w:rPr>
  </w:style>
  <w:style w:type="paragraph" w:styleId="BodyTextBullet">
    <w:name w:val="Body Text Bullet"/>
    <w:basedOn w:val="Normal"/>
    <w:qFormat/>
    <w:pPr>
      <w:numPr>
        <w:ilvl w:val="0"/>
        <w:numId w:val="17"/>
      </w:numPr>
      <w:tabs>
        <w:tab w:val="clear" w:pos="720"/>
        <w:tab w:val="left" w:pos="1440" w:leader="none"/>
      </w:tabs>
      <w:ind w:hanging="360" w:start="1440" w:end="0"/>
    </w:pPr>
    <w:rPr/>
  </w:style>
  <w:style w:type="paragraph" w:styleId="BodyTextBulletL1">
    <w:name w:val="Body Text Bullet L1"/>
    <w:basedOn w:val="Normal"/>
    <w:qFormat/>
    <w:pPr>
      <w:numPr>
        <w:ilvl w:val="0"/>
        <w:numId w:val="18"/>
      </w:numPr>
      <w:ind w:hanging="360" w:start="0" w:end="0"/>
    </w:pPr>
    <w:rPr/>
  </w:style>
  <w:style w:type="paragraph" w:styleId="BodyTextBulletL2">
    <w:name w:val="Body Text Bullet L2"/>
    <w:basedOn w:val="Normal"/>
    <w:qFormat/>
    <w:pPr>
      <w:numPr>
        <w:ilvl w:val="0"/>
        <w:numId w:val="13"/>
      </w:numPr>
      <w:ind w:hanging="367" w:start="0" w:end="0"/>
    </w:pPr>
    <w:rPr/>
  </w:style>
  <w:style w:type="paragraph" w:styleId="BodyTextBulletL3">
    <w:name w:val="Body Text Bullet L3"/>
    <w:basedOn w:val="Normal"/>
    <w:qFormat/>
    <w:pPr>
      <w:numPr>
        <w:ilvl w:val="0"/>
        <w:numId w:val="19"/>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4"/>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4"/>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4"/>
      </w:numPr>
    </w:pPr>
    <w:rPr/>
  </w:style>
  <w:style w:type="paragraph" w:styleId="Head4-NoTOCor">
    <w:name w:val="Head 4 - No TOC or #"/>
    <w:basedOn w:val="Heading4"/>
    <w:next w:val="TableText"/>
    <w:qFormat/>
    <w:pPr>
      <w:numPr>
        <w:ilvl w:val="0"/>
        <w:numId w:val="0"/>
      </w:numPr>
      <w:outlineLvl w:val="9"/>
    </w:pPr>
    <w:rPr/>
  </w:style>
  <w:style w:type="paragraph" w:styleId="Head4-NoTOC">
    <w:name w:val="Head 4 # - No TOC"/>
    <w:basedOn w:val="Heading4Numbered"/>
    <w:next w:val="BodyText"/>
    <w:qFormat/>
    <w:pPr>
      <w:numPr>
        <w:ilvl w:val="0"/>
        <w:numId w:val="14"/>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6"/>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2"/>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3.wmf"/><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2007-01-29T20:11:00Z</dcterms:created>
  <dc:creator>TPI</dc:creator>
  <dc:description/>
  <dc:language>en-US</dc:language>
  <cp:lastModifiedBy>Dobler Doris</cp:lastModifiedBy>
  <cp:lastPrinted>2002-07-23T15:38:00Z</cp:lastPrinted>
  <dcterms:modified xsi:type="dcterms:W3CDTF">2007-01-30T21:41:00Z</dcterms:modified>
  <cp:revision>3</cp:revision>
  <dc:subject/>
  <dc:title>RFP8 Attachment 6-A Committee Relations Members</dc:title>
</cp:coreProperties>
</file>