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t>GlobalPharma</w:t>
      </w:r>
    </w:p>
    <w:p>
      <w:pPr>
        <w:pStyle w:val="Titel"/>
        <w:rPr/>
      </w:pPr>
      <w:r>
        <w:rPr/>
      </w:r>
    </w:p>
    <w:p>
      <w:pPr>
        <w:pStyle w:val="Titel"/>
        <w:rPr/>
      </w:pPr>
      <w:r>
        <w:rPr/>
        <w:t>Attachment 6-B</w:t>
      </w:r>
    </w:p>
    <w:p>
      <w:pPr>
        <w:pStyle w:val="Titel"/>
        <w:rPr/>
      </w:pPr>
      <w:r>
        <w:rPr/>
      </w:r>
    </w:p>
    <w:p>
      <w:pPr>
        <w:pStyle w:val="Titel"/>
        <w:rPr/>
      </w:pPr>
      <w:r>
        <w:rPr/>
        <w:t>POLICIES and Procedures Manual Content</w:t>
      </w:r>
    </w:p>
    <w:p>
      <w:pPr>
        <w:pStyle w:val="Normal"/>
        <w:jc w:val="center"/>
        <w:rPr>
          <w:b/>
          <w:bCs/>
          <w:sz w:val="32"/>
        </w:rPr>
      </w:pPr>
      <w:r>
        <w:rPr>
          <w:b/>
          <w:bCs/>
          <w:sz w:val="32"/>
        </w:rPr>
        <w:t>Attachment to Exhibit 6 (Governance Model)</w:t>
      </w:r>
    </w:p>
    <w:p>
      <w:pPr>
        <w:pStyle w:val="Normal"/>
        <w:jc w:val="center"/>
        <w:rPr>
          <w:b/>
          <w:bCs/>
          <w:sz w:val="32"/>
        </w:rPr>
      </w:pPr>
      <w:r>
        <w:rPr>
          <w:b/>
          <w:bCs/>
          <w:sz w:val="32"/>
        </w:rPr>
      </w:r>
    </w:p>
    <w:p>
      <w:pPr>
        <w:pStyle w:val="Titel"/>
        <w:rPr>
          <w:b w:val="false"/>
          <w:bCs w:val="false"/>
          <w:sz w:val="32"/>
        </w:rPr>
      </w:pPr>
      <w:r>
        <w:rPr>
          <w:b w:val="false"/>
          <w:bCs w:val="false"/>
          <w:sz w:val="32"/>
        </w:rPr>
      </w:r>
    </w:p>
    <w:tbl>
      <w:tblPr>
        <w:tblW w:w="10260" w:type="dxa"/>
        <w:jc w:val="start"/>
        <w:tblInd w:w="2062"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jc w:val="center"/>
              <w:rPr/>
            </w:pPr>
            <w:r>
              <w:rPr/>
            </w:r>
          </w:p>
          <w:p>
            <w:pPr>
              <w:pStyle w:val="Normal"/>
              <w:jc w:val="center"/>
              <w:rPr/>
            </w:pPr>
            <w:r>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pPr>
            <w:r>
              <w:rPr/>
            </w:r>
          </w:p>
        </w:tc>
      </w:tr>
    </w:tbl>
    <w:p>
      <w:pPr>
        <w:sectPr>
          <w:headerReference w:type="default" r:id="rId2"/>
          <w:footerReference w:type="default" r:id="rId3"/>
          <w:type w:val="nextPage"/>
          <w:pgSz w:orient="landscape" w:w="16838" w:h="11906"/>
          <w:pgMar w:left="720" w:right="720" w:gutter="0" w:header="720" w:top="1728" w:footer="720" w:bottom="1728"/>
          <w:pgNumType w:fmt="decimal"/>
          <w:formProt w:val="false"/>
          <w:textDirection w:val="lrTb"/>
          <w:docGrid w:type="default" w:linePitch="360" w:charSpace="0"/>
        </w:sectPr>
        <w:pStyle w:val="Normal"/>
        <w:rPr/>
      </w:pPr>
      <w:r>
        <w:rPr/>
      </w:r>
    </w:p>
    <w:p>
      <w:pPr>
        <w:pStyle w:val="TableText"/>
        <w:rPr/>
      </w:pPr>
      <w:r>
        <w:rPr/>
      </w:r>
    </w:p>
    <w:p>
      <w:pPr>
        <w:pStyle w:val="Titel"/>
        <w:rPr/>
      </w:pPr>
      <w:r>
        <w:rPr/>
        <w:t>Table of Contents</w:t>
      </w:r>
    </w:p>
    <w:sdt>
      <w:sdtPr>
        <w:docPartObj>
          <w:docPartGallery w:val="Table of Contents"/>
          <w:docPartUnique w:val="true"/>
        </w:docPartObj>
      </w:sdtPr>
      <w:sdtContent>
        <w:p>
          <w:pPr>
            <w:pStyle w:val="TOC1"/>
            <w:tabs>
              <w:tab w:val="clear" w:pos="720"/>
              <w:tab w:val="right" w:pos="14390" w:leader="dot"/>
            </w:tabs>
            <w:rPr>
              <w:b w:val="false"/>
              <w:caps w:val="false"/>
              <w:smallCaps w:val="false"/>
              <w:sz w:val="24"/>
              <w:lang w:val="en-US" w:eastAsia="en-US"/>
            </w:rPr>
          </w:pPr>
          <w:r>
            <w:fldChar w:fldCharType="begin"/>
          </w:r>
          <w:r>
            <w:rPr>
              <w:rStyle w:val="IndexLink"/>
              <w:lang w:val="en-US" w:eastAsia="en-US"/>
            </w:rPr>
            <w:instrText xml:space="preserve"> TOC \o "2-3" \h \z \t "Heading 1,1,Heading 1 Numbered,1,Heading 2 Numbered,2,Heading 3 Numbered,3" </w:instrText>
          </w:r>
          <w:r>
            <w:rPr>
              <w:rStyle w:val="IndexLink"/>
              <w:lang w:val="en-US" w:eastAsia="en-US"/>
            </w:rPr>
            <w:fldChar w:fldCharType="separate"/>
          </w:r>
          <w:hyperlink w:anchor="__RefHeading___Toc156209657">
            <w:r>
              <w:rPr>
                <w:rStyle w:val="IndexLink"/>
                <w:lang w:val="en-US" w:eastAsia="en-US"/>
              </w:rPr>
              <w:t>Introduction</w:t>
              <w:tab/>
              <w:t>3</w:t>
            </w:r>
          </w:hyperlink>
        </w:p>
        <w:p>
          <w:pPr>
            <w:pStyle w:val="TOC1"/>
            <w:tabs>
              <w:tab w:val="clear" w:pos="720"/>
              <w:tab w:val="right" w:pos="14390" w:leader="dot"/>
            </w:tabs>
            <w:rPr>
              <w:b w:val="false"/>
              <w:caps w:val="false"/>
              <w:smallCaps w:val="false"/>
              <w:sz w:val="24"/>
              <w:lang w:val="en-US" w:eastAsia="en-US"/>
            </w:rPr>
          </w:pPr>
          <w:hyperlink w:anchor="__RefHeading___Toc156209658">
            <w:r>
              <w:rPr>
                <w:rStyle w:val="IndexLink"/>
                <w:lang w:val="en-US" w:eastAsia="en-US"/>
              </w:rPr>
              <w:t>General Content and Organization</w:t>
              <w:tab/>
              <w:t>3</w:t>
            </w:r>
          </w:hyperlink>
        </w:p>
        <w:p>
          <w:pPr>
            <w:pStyle w:val="TOC1"/>
            <w:tabs>
              <w:tab w:val="clear" w:pos="720"/>
              <w:tab w:val="left" w:pos="660" w:leader="none"/>
              <w:tab w:val="right" w:pos="14390" w:leader="dot"/>
            </w:tabs>
            <w:rPr>
              <w:b w:val="false"/>
              <w:caps w:val="false"/>
              <w:smallCaps w:val="false"/>
              <w:sz w:val="24"/>
              <w:lang w:val="en-US" w:eastAsia="en-US"/>
            </w:rPr>
          </w:pPr>
          <w:hyperlink w:anchor="__RefHeading___Toc156209659">
            <w:r>
              <w:rPr>
                <w:rStyle w:val="IndexLink"/>
                <w:lang w:val="en-US" w:eastAsia="en-US"/>
              </w:rPr>
              <w:t>1.0</w:t>
            </w:r>
            <w:r>
              <w:rPr>
                <w:rStyle w:val="IndexLink"/>
                <w:b w:val="false"/>
                <w:caps w:val="false"/>
                <w:smallCaps w:val="false"/>
                <w:sz w:val="24"/>
                <w:lang w:val="en-US" w:eastAsia="en-US"/>
              </w:rPr>
              <w:tab/>
            </w:r>
            <w:r>
              <w:rPr>
                <w:rStyle w:val="IndexLink"/>
                <w:lang w:val="en-US" w:eastAsia="en-US"/>
              </w:rPr>
              <w:t>Organizational Overview</w:t>
              <w:tab/>
              <w:t>3</w:t>
            </w:r>
          </w:hyperlink>
        </w:p>
        <w:p>
          <w:pPr>
            <w:pStyle w:val="TOC1"/>
            <w:tabs>
              <w:tab w:val="clear" w:pos="720"/>
              <w:tab w:val="left" w:pos="660" w:leader="none"/>
              <w:tab w:val="right" w:pos="14390" w:leader="dot"/>
            </w:tabs>
            <w:rPr>
              <w:b w:val="false"/>
              <w:caps w:val="false"/>
              <w:smallCaps w:val="false"/>
              <w:sz w:val="24"/>
              <w:lang w:val="en-US" w:eastAsia="en-US"/>
            </w:rPr>
          </w:pPr>
          <w:hyperlink w:anchor="__RefHeading___Toc156209660">
            <w:r>
              <w:rPr>
                <w:rStyle w:val="IndexLink"/>
                <w:lang w:val="en-US" w:eastAsia="en-US"/>
              </w:rPr>
              <w:t>2.0</w:t>
            </w:r>
            <w:r>
              <w:rPr>
                <w:rStyle w:val="IndexLink"/>
                <w:b w:val="false"/>
                <w:caps w:val="false"/>
                <w:smallCaps w:val="false"/>
                <w:sz w:val="24"/>
                <w:lang w:val="en-US" w:eastAsia="en-US"/>
              </w:rPr>
              <w:tab/>
            </w:r>
            <w:r>
              <w:rPr>
                <w:rStyle w:val="IndexLink"/>
                <w:lang w:val="en-US" w:eastAsia="en-US"/>
              </w:rPr>
              <w:t>Transition Activities and Responsibilities</w:t>
              <w:tab/>
              <w:t>4</w:t>
            </w:r>
          </w:hyperlink>
        </w:p>
        <w:p>
          <w:pPr>
            <w:pStyle w:val="TOC1"/>
            <w:tabs>
              <w:tab w:val="clear" w:pos="720"/>
              <w:tab w:val="left" w:pos="660" w:leader="none"/>
              <w:tab w:val="right" w:pos="14390" w:leader="dot"/>
            </w:tabs>
            <w:rPr>
              <w:b w:val="false"/>
              <w:caps w:val="false"/>
              <w:smallCaps w:val="false"/>
              <w:sz w:val="24"/>
              <w:lang w:val="en-US" w:eastAsia="en-US"/>
            </w:rPr>
          </w:pPr>
          <w:hyperlink w:anchor="__RefHeading___Toc156209661">
            <w:r>
              <w:rPr>
                <w:rStyle w:val="IndexLink"/>
                <w:lang w:val="en-US" w:eastAsia="en-US"/>
              </w:rPr>
              <w:t>3.0</w:t>
            </w:r>
            <w:r>
              <w:rPr>
                <w:rStyle w:val="IndexLink"/>
                <w:b w:val="false"/>
                <w:caps w:val="false"/>
                <w:smallCaps w:val="false"/>
                <w:sz w:val="24"/>
                <w:lang w:val="en-US" w:eastAsia="en-US"/>
              </w:rPr>
              <w:tab/>
            </w:r>
            <w:r>
              <w:rPr>
                <w:rStyle w:val="IndexLink"/>
                <w:lang w:val="en-US" w:eastAsia="en-US"/>
              </w:rPr>
              <w:t>Performance Management Procedures</w:t>
              <w:tab/>
              <w:t>5</w:t>
            </w:r>
          </w:hyperlink>
        </w:p>
        <w:p>
          <w:pPr>
            <w:pStyle w:val="TOC1"/>
            <w:tabs>
              <w:tab w:val="clear" w:pos="720"/>
              <w:tab w:val="left" w:pos="660" w:leader="none"/>
              <w:tab w:val="right" w:pos="14390" w:leader="dot"/>
            </w:tabs>
            <w:rPr>
              <w:b w:val="false"/>
              <w:caps w:val="false"/>
              <w:smallCaps w:val="false"/>
              <w:sz w:val="24"/>
              <w:lang w:val="en-US" w:eastAsia="en-US"/>
            </w:rPr>
          </w:pPr>
          <w:hyperlink w:anchor="__RefHeading___Toc156209662">
            <w:r>
              <w:rPr>
                <w:rStyle w:val="IndexLink"/>
                <w:lang w:val="en-US" w:eastAsia="en-US"/>
              </w:rPr>
              <w:t>4.0</w:t>
            </w:r>
            <w:r>
              <w:rPr>
                <w:rStyle w:val="IndexLink"/>
                <w:b w:val="false"/>
                <w:caps w:val="false"/>
                <w:smallCaps w:val="false"/>
                <w:sz w:val="24"/>
                <w:lang w:val="en-US" w:eastAsia="en-US"/>
              </w:rPr>
              <w:tab/>
            </w:r>
            <w:r>
              <w:rPr>
                <w:rStyle w:val="IndexLink"/>
                <w:lang w:val="en-US" w:eastAsia="en-US"/>
              </w:rPr>
              <w:t>Financial Management Procedures</w:t>
              <w:tab/>
              <w:t>7</w:t>
            </w:r>
          </w:hyperlink>
        </w:p>
        <w:p>
          <w:pPr>
            <w:pStyle w:val="TOC1"/>
            <w:tabs>
              <w:tab w:val="clear" w:pos="720"/>
              <w:tab w:val="left" w:pos="660" w:leader="none"/>
              <w:tab w:val="right" w:pos="14390" w:leader="dot"/>
            </w:tabs>
            <w:rPr>
              <w:b w:val="false"/>
              <w:caps w:val="false"/>
              <w:smallCaps w:val="false"/>
              <w:sz w:val="24"/>
              <w:lang w:val="en-US" w:eastAsia="en-US"/>
            </w:rPr>
          </w:pPr>
          <w:hyperlink w:anchor="__RefHeading___Toc156209663">
            <w:r>
              <w:rPr>
                <w:rStyle w:val="IndexLink"/>
                <w:lang w:val="en-US" w:eastAsia="en-US"/>
              </w:rPr>
              <w:t>5.0</w:t>
            </w:r>
            <w:r>
              <w:rPr>
                <w:rStyle w:val="IndexLink"/>
                <w:b w:val="false"/>
                <w:caps w:val="false"/>
                <w:smallCaps w:val="false"/>
                <w:sz w:val="24"/>
                <w:lang w:val="en-US" w:eastAsia="en-US"/>
              </w:rPr>
              <w:tab/>
            </w:r>
            <w:r>
              <w:rPr>
                <w:rStyle w:val="IndexLink"/>
                <w:lang w:val="en-US" w:eastAsia="en-US"/>
              </w:rPr>
              <w:t>Contract Management Procedures</w:t>
              <w:tab/>
              <w:t>8</w:t>
            </w:r>
          </w:hyperlink>
        </w:p>
        <w:p>
          <w:pPr>
            <w:pStyle w:val="TOC1"/>
            <w:tabs>
              <w:tab w:val="clear" w:pos="720"/>
              <w:tab w:val="left" w:pos="660" w:leader="none"/>
              <w:tab w:val="right" w:pos="14390" w:leader="dot"/>
            </w:tabs>
            <w:rPr>
              <w:b w:val="false"/>
              <w:caps w:val="false"/>
              <w:smallCaps w:val="false"/>
              <w:sz w:val="24"/>
              <w:lang w:val="en-US" w:eastAsia="en-US"/>
            </w:rPr>
          </w:pPr>
          <w:hyperlink w:anchor="__RefHeading___Toc156209664">
            <w:r>
              <w:rPr>
                <w:rStyle w:val="IndexLink"/>
                <w:lang w:val="en-US" w:eastAsia="en-US"/>
              </w:rPr>
              <w:t>6.0</w:t>
            </w:r>
            <w:r>
              <w:rPr>
                <w:rStyle w:val="IndexLink"/>
                <w:b w:val="false"/>
                <w:caps w:val="false"/>
                <w:smallCaps w:val="false"/>
                <w:sz w:val="24"/>
                <w:lang w:val="en-US" w:eastAsia="en-US"/>
              </w:rPr>
              <w:tab/>
            </w:r>
            <w:r>
              <w:rPr>
                <w:rStyle w:val="IndexLink"/>
                <w:lang w:val="en-US" w:eastAsia="en-US"/>
              </w:rPr>
              <w:t>Relationship Management Procedures</w:t>
              <w:tab/>
              <w:t>9</w:t>
            </w:r>
          </w:hyperlink>
        </w:p>
        <w:p>
          <w:pPr>
            <w:pStyle w:val="TOC1"/>
            <w:tabs>
              <w:tab w:val="clear" w:pos="720"/>
              <w:tab w:val="left" w:pos="660" w:leader="none"/>
              <w:tab w:val="right" w:pos="14390" w:leader="dot"/>
            </w:tabs>
            <w:rPr>
              <w:sz w:val="24"/>
              <w:lang w:val="en-US" w:eastAsia="en-US"/>
            </w:rPr>
          </w:pPr>
          <w:hyperlink w:anchor="__RefHeading___Toc156209665">
            <w:r>
              <w:rPr>
                <w:rStyle w:val="IndexLink"/>
                <w:b w:val="false"/>
                <w:caps w:val="false"/>
                <w:smallCaps w:val="false"/>
                <w:lang w:val="en-US" w:eastAsia="en-US"/>
              </w:rPr>
              <w:t>7.0</w:t>
            </w:r>
            <w:r>
              <w:rPr>
                <w:rStyle w:val="IndexLink"/>
                <w:b w:val="false"/>
                <w:caps w:val="false"/>
                <w:smallCaps w:val="false"/>
                <w:sz w:val="24"/>
                <w:lang w:val="en-US" w:eastAsia="en-US"/>
              </w:rPr>
              <w:tab/>
            </w:r>
            <w:r>
              <w:rPr>
                <w:rStyle w:val="IndexLink"/>
                <w:b w:val="false"/>
                <w:caps w:val="false"/>
                <w:smallCaps w:val="false"/>
                <w:lang w:val="en-US" w:eastAsia="en-US"/>
              </w:rPr>
              <w:t>Service Provider Operational Procedures</w:t>
              <w:tab/>
              <w:t>10</w:t>
            </w:r>
          </w:hyperlink>
          <w:r>
            <w:rPr>
              <w:rStyle w:val="IndexLink"/>
              <w:smallCaps w:val="false"/>
              <w:caps w:val="false"/>
              <w:b w:val="false"/>
              <w:lang w:val="en-US" w:eastAsia="en-US"/>
            </w:rPr>
            <w:fldChar w:fldCharType="end"/>
          </w:r>
        </w:p>
      </w:sdtContent>
    </w:sdt>
    <w:p>
      <w:pPr>
        <w:pStyle w:val="Normal"/>
        <w:rPr>
          <w:b/>
          <w:caps/>
          <w:sz w:val="24"/>
          <w:lang w:val="en-US" w:eastAsia="en-US"/>
        </w:rPr>
      </w:pPr>
      <w:r>
        <w:rPr>
          <w:b/>
          <w:caps/>
          <w:sz w:val="24"/>
          <w:lang w:val="en-US" w:eastAsia="en-US"/>
        </w:rPr>
      </w:r>
    </w:p>
    <w:p>
      <w:pPr>
        <w:pStyle w:val="Normal"/>
        <w:rPr/>
      </w:pPr>
      <w:r>
        <w:rPr/>
      </w:r>
      <w:r>
        <w:br w:type="page"/>
      </w:r>
    </w:p>
    <w:p>
      <w:pPr>
        <w:pStyle w:val="Heading1"/>
        <w:ind w:hanging="0" w:start="0"/>
        <w:rPr/>
      </w:pPr>
      <w:bookmarkStart w:id="0" w:name="__RefHeading___Toc156209657"/>
      <w:bookmarkEnd w:id="0"/>
      <w:r>
        <w:rPr/>
        <w:t>Introduction</w:t>
      </w:r>
    </w:p>
    <w:p>
      <w:pPr>
        <w:pStyle w:val="BodyText"/>
        <w:rPr/>
      </w:pPr>
      <w:r>
        <w:rPr/>
        <w:t xml:space="preserve">This document describes the general content and organization of the Policies and Procedures Manual that will be developed to support Governance of the Agreement in line with </w:t>
      </w:r>
      <w:r>
        <w:rPr>
          <w:b/>
        </w:rPr>
        <w:t>Exhibit 6</w:t>
      </w:r>
      <w:r>
        <w:rPr/>
        <w:t xml:space="preserve"> (Governance Model).</w:t>
      </w:r>
    </w:p>
    <w:p>
      <w:pPr>
        <w:pStyle w:val="Heading1"/>
        <w:ind w:hanging="0" w:start="0"/>
        <w:rPr/>
      </w:pPr>
      <w:bookmarkStart w:id="1" w:name="__RefHeading___Toc156209658"/>
      <w:bookmarkEnd w:id="1"/>
      <w:r>
        <w:rPr/>
        <w:t>General Content and Organization</w:t>
      </w:r>
    </w:p>
    <w:p>
      <w:pPr>
        <w:pStyle w:val="BodyText"/>
        <w:rPr/>
      </w:pPr>
      <w:r>
        <w:rPr/>
        <w:t>The table below provides the general organization and content of the Policies and Procedures Manual. Although not intended to replicate the Agreement, the Policies and Procedures Manual should provide comprehensive documentation of the procedures that will be followed to implement and manage the Agreement and the overall relationship.  Specific references to detailed text or requirements in the Agreement may be incorporated within the Policies and Procedures Manual.</w:t>
      </w:r>
    </w:p>
    <w:p>
      <w:pPr>
        <w:pStyle w:val="BodyText"/>
        <w:rPr/>
      </w:pPr>
      <w:r>
        <w:rPr/>
        <w:t>The responsibilities of the Service Provider and GlobalPharma should be clearly indicated within the document (including specific responsibilities by job title or function).  The manual will be used jointly by the Parties to assist with overall coordination and communication regarding the Agreement.</w:t>
      </w:r>
    </w:p>
    <w:tbl>
      <w:tblPr>
        <w:tblW w:w="14125" w:type="dxa"/>
        <w:jc w:val="center"/>
        <w:tblInd w:w="0" w:type="dxa"/>
        <w:tblLayout w:type="fixed"/>
        <w:tblCellMar>
          <w:top w:w="0" w:type="dxa"/>
          <w:start w:w="108" w:type="dxa"/>
          <w:bottom w:w="0" w:type="dxa"/>
          <w:end w:w="108" w:type="dxa"/>
        </w:tblCellMar>
      </w:tblPr>
      <w:tblGrid>
        <w:gridCol w:w="576"/>
        <w:gridCol w:w="5760"/>
        <w:gridCol w:w="1309"/>
        <w:gridCol w:w="6480"/>
      </w:tblGrid>
      <w:tr>
        <w:trPr>
          <w:tblHeader w:val="true"/>
        </w:trPr>
        <w:tc>
          <w:tcPr>
            <w:tcW w:w="576" w:type="dxa"/>
            <w:tcBorders>
              <w:top w:val="single" w:sz="4" w:space="0" w:color="000000"/>
              <w:start w:val="single" w:sz="4" w:space="0" w:color="000000"/>
              <w:bottom w:val="single" w:sz="4" w:space="0" w:color="000000"/>
              <w:end w:val="single" w:sz="4" w:space="0" w:color="000000"/>
            </w:tcBorders>
            <w:vAlign w:val="center"/>
          </w:tcPr>
          <w:p>
            <w:pPr>
              <w:pStyle w:val="HeadingTable"/>
              <w:spacing w:before="120" w:after="120"/>
              <w:jc w:val="center"/>
              <w:rPr/>
            </w:pPr>
            <w:r>
              <w:rPr/>
              <w:t>Ref #</w:t>
            </w:r>
          </w:p>
        </w:tc>
        <w:tc>
          <w:tcPr>
            <w:tcW w:w="5760" w:type="dxa"/>
            <w:tcBorders>
              <w:top w:val="single" w:sz="4" w:space="0" w:color="000000"/>
              <w:start w:val="single" w:sz="4" w:space="0" w:color="000000"/>
              <w:bottom w:val="single" w:sz="4" w:space="0" w:color="000000"/>
              <w:end w:val="single" w:sz="4" w:space="0" w:color="000000"/>
            </w:tcBorders>
            <w:vAlign w:val="center"/>
          </w:tcPr>
          <w:p>
            <w:pPr>
              <w:pStyle w:val="HeadingTable"/>
              <w:spacing w:before="120" w:after="120"/>
              <w:jc w:val="center"/>
              <w:rPr/>
            </w:pPr>
            <w:r>
              <w:rPr/>
              <w:t>Content</w:t>
            </w:r>
          </w:p>
        </w:tc>
        <w:tc>
          <w:tcPr>
            <w:tcW w:w="1309" w:type="dxa"/>
            <w:tcBorders>
              <w:top w:val="single" w:sz="4" w:space="0" w:color="000000"/>
              <w:start w:val="single" w:sz="4" w:space="0" w:color="000000"/>
              <w:bottom w:val="single" w:sz="4" w:space="0" w:color="000000"/>
              <w:end w:val="single" w:sz="4" w:space="0" w:color="000000"/>
            </w:tcBorders>
            <w:vAlign w:val="center"/>
          </w:tcPr>
          <w:p>
            <w:pPr>
              <w:pStyle w:val="HeadingTable"/>
              <w:spacing w:before="120" w:after="120"/>
              <w:jc w:val="center"/>
              <w:rPr/>
            </w:pPr>
            <w:r>
              <w:rPr/>
              <w:t>Complete Prior to Effective Date?</w:t>
            </w:r>
          </w:p>
        </w:tc>
        <w:tc>
          <w:tcPr>
            <w:tcW w:w="6480" w:type="dxa"/>
            <w:tcBorders>
              <w:top w:val="single" w:sz="4" w:space="0" w:color="000000"/>
              <w:start w:val="single" w:sz="4" w:space="0" w:color="000000"/>
              <w:bottom w:val="single" w:sz="4" w:space="0" w:color="000000"/>
              <w:end w:val="single" w:sz="4" w:space="0" w:color="000000"/>
            </w:tcBorders>
            <w:vAlign w:val="center"/>
          </w:tcPr>
          <w:p>
            <w:pPr>
              <w:pStyle w:val="HeadingTable"/>
              <w:spacing w:before="120" w:after="120"/>
              <w:jc w:val="center"/>
              <w:rPr/>
            </w:pPr>
            <w:r>
              <w:rPr/>
              <w:t>Brief Description</w:t>
            </w:r>
          </w:p>
        </w:tc>
      </w:tr>
      <w:tr>
        <w:trPr/>
        <w:tc>
          <w:tcPr>
            <w:tcW w:w="576" w:type="dxa"/>
            <w:tcBorders>
              <w:top w:val="single" w:sz="4" w:space="0" w:color="000000"/>
              <w:start w:val="single" w:sz="4" w:space="0" w:color="000000"/>
              <w:bottom w:val="single" w:sz="4" w:space="0" w:color="000000"/>
              <w:end w:val="single" w:sz="4" w:space="0" w:color="000000"/>
            </w:tcBorders>
            <w:shd w:fill="99CCFF" w:val="clear"/>
          </w:tcPr>
          <w:p>
            <w:pPr>
              <w:pStyle w:val="TableRef"/>
              <w:keepNext w:val="true"/>
              <w:keepLines/>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shd w:fill="99CCFF" w:val="clear"/>
          </w:tcPr>
          <w:p>
            <w:pPr>
              <w:pStyle w:val="Heading1Numbered"/>
              <w:numPr>
                <w:ilvl w:val="0"/>
                <w:numId w:val="11"/>
              </w:numPr>
              <w:spacing w:before="240" w:after="240"/>
              <w:ind w:hanging="0" w:start="0"/>
              <w:rPr/>
            </w:pPr>
            <w:bookmarkStart w:id="2" w:name="__RefHeading___Toc156209659"/>
            <w:bookmarkEnd w:id="2"/>
            <w:r>
              <w:rPr/>
              <w:t>Organizational Overview</w:t>
            </w:r>
          </w:p>
        </w:tc>
        <w:tc>
          <w:tcPr>
            <w:tcW w:w="1309" w:type="dxa"/>
            <w:tcBorders>
              <w:top w:val="single" w:sz="4" w:space="0" w:color="000000"/>
              <w:start w:val="single" w:sz="4" w:space="0" w:color="000000"/>
              <w:bottom w:val="single" w:sz="4" w:space="0" w:color="000000"/>
              <w:end w:val="single" w:sz="4" w:space="0" w:color="000000"/>
            </w:tcBorders>
            <w:shd w:fill="99CCFF" w:val="clear"/>
          </w:tcPr>
          <w:p>
            <w:pPr>
              <w:pStyle w:val="TableComplyColYN"/>
              <w:keepNext w:val="true"/>
              <w:keepLines/>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shd w:fill="99CCFF" w:val="clear"/>
          </w:tcPr>
          <w:p>
            <w:pPr>
              <w:pStyle w:val="TableText"/>
              <w:keepNext w:val="true"/>
              <w:keepLines/>
              <w:snapToGrid w:val="false"/>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GlobalPharma Governance Organization.</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organization charts, description of functions performed, contact information.</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Service Provider Management and Delivery Organization</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organization charts, description of functions performed, contact information.</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Key Contacts – GlobalPharma</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a list of contacts within GlobalPharma that are key users of the Services and/or perform a liaison function in regard to the Services (by business unit, by geography).</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Key Contacts – Third Parties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a list of key Third Parties (maintenance providers, software providers, telecom carriers, etc).</w:t>
            </w:r>
          </w:p>
        </w:tc>
      </w:tr>
      <w:tr>
        <w:trPr/>
        <w:tc>
          <w:tcPr>
            <w:tcW w:w="576" w:type="dxa"/>
            <w:tcBorders>
              <w:top w:val="single" w:sz="4" w:space="0" w:color="000000"/>
              <w:start w:val="single" w:sz="4" w:space="0" w:color="000000"/>
              <w:bottom w:val="single" w:sz="4" w:space="0" w:color="000000"/>
              <w:end w:val="single" w:sz="4" w:space="0" w:color="000000"/>
            </w:tcBorders>
            <w:shd w:fill="99CCFF" w:val="clear"/>
          </w:tcPr>
          <w:p>
            <w:pPr>
              <w:pStyle w:val="TableRef"/>
              <w:keepNext w:val="true"/>
              <w:keepLines/>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shd w:fill="99CCFF" w:val="clear"/>
          </w:tcPr>
          <w:p>
            <w:pPr>
              <w:pStyle w:val="Heading1Numbered"/>
              <w:numPr>
                <w:ilvl w:val="0"/>
                <w:numId w:val="11"/>
              </w:numPr>
              <w:spacing w:before="240" w:after="240"/>
              <w:ind w:hanging="0" w:start="0"/>
              <w:rPr/>
            </w:pPr>
            <w:bookmarkStart w:id="3" w:name="__RefHeading___Toc156209660"/>
            <w:bookmarkEnd w:id="3"/>
            <w:r>
              <w:rPr/>
              <w:t>Transition Activities and Responsibilities</w:t>
            </w:r>
          </w:p>
        </w:tc>
        <w:tc>
          <w:tcPr>
            <w:tcW w:w="1309" w:type="dxa"/>
            <w:tcBorders>
              <w:top w:val="single" w:sz="4" w:space="0" w:color="000000"/>
              <w:start w:val="single" w:sz="4" w:space="0" w:color="000000"/>
              <w:bottom w:val="single" w:sz="4" w:space="0" w:color="000000"/>
              <w:end w:val="single" w:sz="4" w:space="0" w:color="000000"/>
            </w:tcBorders>
            <w:shd w:fill="99CCFF" w:val="clear"/>
          </w:tcPr>
          <w:p>
            <w:pPr>
              <w:pStyle w:val="TableComplyColYN"/>
              <w:keepNext w:val="true"/>
              <w:keepLines/>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shd w:fill="99CCFF" w:val="clear"/>
          </w:tcPr>
          <w:p>
            <w:pPr>
              <w:pStyle w:val="TableText"/>
              <w:keepNext w:val="true"/>
              <w:keepLines/>
              <w:snapToGrid w:val="false"/>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19"/>
              </w:numPr>
              <w:spacing w:before="120" w:after="120"/>
              <w:ind w:hanging="0" w:start="0"/>
              <w:rPr/>
            </w:pPr>
            <w:r>
              <w:rPr/>
              <w:t>Overall Management and Reporting Process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a description of GlobalPharma and Service Provider management structure, reporting, and review process associated with Transition.</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Critical Deliverables and Milestones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a list of Critical Deliverables, milestones and timeline for the Transition period.</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Interim Performance Management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a description of interim procedures to monitor and coordinate Service delivery, including Problem Management, Change Management, Service-Level monitoring and reporting, Physical and Logical Security, Project Management, Work Authorization, etc.</w:t>
            </w:r>
          </w:p>
          <w:p>
            <w:pPr>
              <w:pStyle w:val="TableText"/>
              <w:spacing w:before="120" w:after="120"/>
              <w:rPr/>
            </w:pPr>
            <w:r>
              <w:rPr/>
              <w:t>The Policies and Procedures Manual will include a description of the responsibilities of both Parties.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Interim Financial Management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a description of interim procedures for invoicing, invoice verification, charge back to business units, determining Resource Unit volume by Process Area, asset management, asset transfers, forecasting, business unit support, etc.</w:t>
            </w:r>
          </w:p>
          <w:p>
            <w:pPr>
              <w:pStyle w:val="TableText"/>
              <w:spacing w:before="120" w:after="120"/>
              <w:rPr/>
            </w:pPr>
            <w:r>
              <w:rPr/>
              <w:t>The Policies and Procedures Manual will include a description of the responsibilities of both Parties.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Interim Relationship Management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procedures and responsibility for communication and coordination with GlobalPharma business units, employees, Third Party Vendors, etc</w:t>
            </w:r>
          </w:p>
          <w:p>
            <w:pPr>
              <w:pStyle w:val="TableText"/>
              <w:spacing w:before="120" w:after="120"/>
              <w:rPr/>
            </w:pPr>
            <w:r>
              <w:rPr/>
              <w:t>A description of the responsibilities of both Parties.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Human Resource Transition</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procedures and responsibilities regarding finalization of HR transition activities.</w:t>
            </w:r>
          </w:p>
          <w:p>
            <w:pPr>
              <w:pStyle w:val="TableText"/>
              <w:spacing w:before="120" w:after="120"/>
              <w:rPr/>
            </w:pPr>
            <w:r>
              <w:rPr/>
              <w:t>The Policies and Procedures Manual will include a description of the responsibilities of both Parties.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Other Transition Procedures and Responsibilities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include any other pertinent procedures and responsibilities. ServicePro will provide the copy of its Transition toolkit and will complement as and if required by GlobalPharma.</w:t>
            </w:r>
          </w:p>
        </w:tc>
      </w:tr>
      <w:tr>
        <w:trPr/>
        <w:tc>
          <w:tcPr>
            <w:tcW w:w="576" w:type="dxa"/>
            <w:tcBorders>
              <w:top w:val="single" w:sz="4" w:space="0" w:color="000000"/>
              <w:start w:val="single" w:sz="4" w:space="0" w:color="000000"/>
              <w:bottom w:val="single" w:sz="4" w:space="0" w:color="000000"/>
              <w:end w:val="single" w:sz="4" w:space="0" w:color="000000"/>
            </w:tcBorders>
            <w:shd w:fill="99CCFF" w:val="clear"/>
          </w:tcPr>
          <w:p>
            <w:pPr>
              <w:pStyle w:val="TableRef"/>
              <w:keepNext w:val="true"/>
              <w:keepLines/>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shd w:fill="99CCFF" w:val="clear"/>
          </w:tcPr>
          <w:p>
            <w:pPr>
              <w:pStyle w:val="Heading1Numbered"/>
              <w:numPr>
                <w:ilvl w:val="0"/>
                <w:numId w:val="11"/>
              </w:numPr>
              <w:spacing w:before="240" w:after="240"/>
              <w:ind w:hanging="0" w:start="0"/>
              <w:rPr/>
            </w:pPr>
            <w:bookmarkStart w:id="4" w:name="__RefHeading___Toc156209661"/>
            <w:bookmarkEnd w:id="4"/>
            <w:r>
              <w:rPr/>
              <w:t>Performance Management Procedures</w:t>
            </w:r>
          </w:p>
        </w:tc>
        <w:tc>
          <w:tcPr>
            <w:tcW w:w="1309" w:type="dxa"/>
            <w:tcBorders>
              <w:top w:val="single" w:sz="4" w:space="0" w:color="000000"/>
              <w:start w:val="single" w:sz="4" w:space="0" w:color="000000"/>
              <w:bottom w:val="single" w:sz="4" w:space="0" w:color="000000"/>
              <w:end w:val="single" w:sz="4" w:space="0" w:color="000000"/>
            </w:tcBorders>
            <w:shd w:fill="99CCFF" w:val="clear"/>
          </w:tcPr>
          <w:p>
            <w:pPr>
              <w:pStyle w:val="TableComplyColYN"/>
              <w:keepNext w:val="true"/>
              <w:keepLines/>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shd w:fill="99CCFF" w:val="clear"/>
          </w:tcPr>
          <w:p>
            <w:pPr>
              <w:pStyle w:val="TableText"/>
              <w:keepNext w:val="true"/>
              <w:keepLines/>
              <w:snapToGrid w:val="false"/>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20"/>
              </w:numPr>
              <w:spacing w:before="120" w:after="120"/>
              <w:ind w:hanging="0" w:start="0"/>
              <w:rPr/>
            </w:pPr>
            <w:r>
              <w:rPr/>
              <w:t>Performance Monitoring and Reporting Procedures (by Process Area, as applicable)</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procedures it will use to verify proper Service delivery on a day-to-day basis, including internal reporting and reporting to GlobalPharma.</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Problem Management and Escalation Procedures (by Process Area, as applicable)</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should describe procedures it will use to identify problems, report and resolve problems, and escalate as necessary within the Service Provider’s organization and/or GlobalPharma.</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Root-Cause Analysis Procedures (by Process Area, as applicable)</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jc w:val="both"/>
              <w:rPr/>
            </w:pPr>
            <w:r>
              <w:rPr/>
              <w:t>The Policies and Procedures Manual will should describe procedures it will use to determine root cause of problems, including involvement of (and/or support to) applicable Third Parties or GlobalPharma.</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Service-Level Measurement and Reporting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procedures it will use to measure and report Service Levels to GlobalPharma.</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Change Control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widowControl/>
              <w:bidi w:val="0"/>
              <w:spacing w:before="120" w:after="120"/>
              <w:jc w:val="center"/>
              <w:rPr/>
            </w:pPr>
            <w:r>
              <w:rPr/>
              <w:t>Y</w:t>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 xml:space="preserve">The Policies and Procedures Manual will describe Change Control procedures for In-scope Services and New Services to include responsibilities and procedures for the originator of work requests, and overall review and authorization processes. </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Project Management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methodology and procedures it will use to manage and report on Projects.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Change Management – Operational and Technical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procedures it will use (including the notification process, timing, planning, authorization, and implementation) regarding changes to the operational and technical environment.</w:t>
            </w:r>
          </w:p>
          <w:p>
            <w:pPr>
              <w:pStyle w:val="TableText"/>
              <w:spacing w:before="120" w:after="120"/>
              <w:rPr/>
            </w:pPr>
            <w:r>
              <w:rPr/>
              <w:t>The Policies and Procedures Manual will include responsibilities and authority of GlobalPharma.</w:t>
            </w:r>
          </w:p>
        </w:tc>
      </w:tr>
    </w:tbl>
    <w:p>
      <w:pPr>
        <w:pStyle w:val="Normal"/>
        <w:rPr/>
      </w:pPr>
      <w:r>
        <w:rPr/>
      </w:r>
    </w:p>
    <w:tbl>
      <w:tblPr>
        <w:tblW w:w="14125" w:type="dxa"/>
        <w:jc w:val="center"/>
        <w:tblInd w:w="0" w:type="dxa"/>
        <w:tblLayout w:type="fixed"/>
        <w:tblCellMar>
          <w:top w:w="0" w:type="dxa"/>
          <w:start w:w="108" w:type="dxa"/>
          <w:bottom w:w="0" w:type="dxa"/>
          <w:end w:w="108" w:type="dxa"/>
        </w:tblCellMar>
      </w:tblPr>
      <w:tblGrid>
        <w:gridCol w:w="576"/>
        <w:gridCol w:w="5760"/>
        <w:gridCol w:w="1309"/>
        <w:gridCol w:w="6480"/>
      </w:tblGrid>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Asset Management</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Service Provider should describe procedures for installing, tracking, and removing Equipment and Software assets.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Physical Access and Security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jc w:val="both"/>
              <w:rPr/>
            </w:pPr>
            <w:r>
              <w:rPr/>
              <w:t>The Policies and Procedures Manual will describe the physical access and security procedures it will use (at both GlobalPharma Sites and Service Provider locations).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Network Access and Security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network access and security procedures it will use.</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Applications and Data Access and Security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procedures it will use to allow access to Applications and data, to include the request and authorization process for user IDs and passwords from GlobalPharma staff or other Authorized Users.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Disaster Recovery and Business Continuity Procedures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procedures it will use in regard to Disaster Recovery and Business Continuity.  (The Service Provider may reference other documents containing comprehensive procedures, but should provide general overview within the Policies and Procedures Manual).</w:t>
            </w:r>
          </w:p>
        </w:tc>
      </w:tr>
      <w:tr>
        <w:trPr/>
        <w:tc>
          <w:tcPr>
            <w:tcW w:w="576" w:type="dxa"/>
            <w:tcBorders>
              <w:top w:val="single" w:sz="4" w:space="0" w:color="000000"/>
              <w:start w:val="single" w:sz="4" w:space="0" w:color="000000"/>
              <w:bottom w:val="single" w:sz="4" w:space="0" w:color="000000"/>
              <w:end w:val="single" w:sz="4" w:space="0" w:color="000000"/>
            </w:tcBorders>
            <w:shd w:fill="99CCFF" w:val="clear"/>
          </w:tcPr>
          <w:p>
            <w:pPr>
              <w:pStyle w:val="TableRef"/>
              <w:keepNext w:val="true"/>
              <w:keepLines/>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shd w:fill="99CCFF" w:val="clear"/>
          </w:tcPr>
          <w:p>
            <w:pPr>
              <w:pStyle w:val="Heading1Numbered"/>
              <w:numPr>
                <w:ilvl w:val="0"/>
                <w:numId w:val="11"/>
              </w:numPr>
              <w:spacing w:before="240" w:after="240"/>
              <w:ind w:hanging="0" w:start="0"/>
              <w:rPr/>
            </w:pPr>
            <w:bookmarkStart w:id="5" w:name="__RefHeading___Toc156209662"/>
            <w:bookmarkEnd w:id="5"/>
            <w:r>
              <w:rPr/>
              <w:t>Financial Management Procedures</w:t>
            </w:r>
          </w:p>
        </w:tc>
        <w:tc>
          <w:tcPr>
            <w:tcW w:w="1309" w:type="dxa"/>
            <w:tcBorders>
              <w:top w:val="single" w:sz="4" w:space="0" w:color="000000"/>
              <w:start w:val="single" w:sz="4" w:space="0" w:color="000000"/>
              <w:bottom w:val="single" w:sz="4" w:space="0" w:color="000000"/>
              <w:end w:val="single" w:sz="4" w:space="0" w:color="000000"/>
            </w:tcBorders>
            <w:shd w:fill="99CCFF" w:val="clear"/>
          </w:tcPr>
          <w:p>
            <w:pPr>
              <w:pStyle w:val="TableComplyColYN"/>
              <w:keepNext w:val="true"/>
              <w:keepLines/>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shd w:fill="99CCFF" w:val="clear"/>
          </w:tcPr>
          <w:p>
            <w:pPr>
              <w:pStyle w:val="TableText"/>
              <w:keepNext w:val="true"/>
              <w:keepLines/>
              <w:snapToGrid w:val="false"/>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21"/>
              </w:numPr>
              <w:spacing w:before="120" w:after="120"/>
              <w:ind w:hanging="0" w:start="0"/>
              <w:rPr/>
            </w:pPr>
            <w:r>
              <w:rPr/>
              <w:t>Invoicing</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procedures for invoicing (and verification of invoice by GlobalPharma).</w:t>
            </w:r>
          </w:p>
          <w:p>
            <w:pPr>
              <w:pStyle w:val="TableText"/>
              <w:rPr/>
            </w:pPr>
            <w:r>
              <w:rPr/>
              <w:t>The content should include procedures for calculating Resource Unit volumes for pricing (per Process Area, as applicable), invoicing of Projects, etc.</w:t>
            </w:r>
          </w:p>
          <w:p>
            <w:pPr>
              <w:pStyle w:val="TableText"/>
              <w:rPr/>
            </w:pPr>
            <w:r>
              <w:rPr/>
              <w:t>The content should include procedures regarding disputed invoice amounts.</w:t>
            </w:r>
          </w:p>
          <w:p>
            <w:pPr>
              <w:pStyle w:val="TableText"/>
              <w:spacing w:before="120" w:after="120"/>
              <w:rPr/>
            </w:pPr>
            <w:r>
              <w:rPr/>
              <w:t>The Policies and Procedures Manual will should describe procedures for calculating Performance Credits on invoices and Earnback calculations.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Procurement</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should describe procedures for procurement Services (where Service Provider performs procurement on behalf of GlobalPharma, as applicable).</w:t>
            </w:r>
          </w:p>
          <w:p>
            <w:pPr>
              <w:pStyle w:val="TableText"/>
              <w:rPr/>
            </w:pPr>
            <w:r>
              <w:rPr/>
              <w:t>The Policies and Procedures Manual will include responsibilities and process for both GlobalPharma staff and Service Provider.</w:t>
            </w:r>
          </w:p>
          <w:p>
            <w:pPr>
              <w:pStyle w:val="TableText"/>
              <w:rPr/>
            </w:pPr>
            <w:r>
              <w:rPr/>
              <w:t>The Policies and Procedures Manual will describe procedures for relationship regarding Third-Party Vendors which may provide services, Equipment, and/or Software that are ancillary to (or support) the overall delivery of Services.</w:t>
            </w:r>
          </w:p>
          <w:p>
            <w:pPr>
              <w:pStyle w:val="TableText"/>
              <w:rPr/>
            </w:pPr>
            <w:r>
              <w:rPr/>
              <w:t>The Policies and Procedures Manual will should describe procedures for any other contact or requests from other Third Parties in regard to the Agreement.</w:t>
            </w:r>
          </w:p>
          <w:p>
            <w:pPr>
              <w:pStyle w:val="TableText"/>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shd w:fill="99CCFF" w:val="clear"/>
          </w:tcPr>
          <w:p>
            <w:pPr>
              <w:pStyle w:val="TableRef"/>
              <w:keepNext w:val="true"/>
              <w:keepLines/>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shd w:fill="99CCFF" w:val="clear"/>
          </w:tcPr>
          <w:p>
            <w:pPr>
              <w:pStyle w:val="Heading1Numbered"/>
              <w:numPr>
                <w:ilvl w:val="0"/>
                <w:numId w:val="11"/>
              </w:numPr>
              <w:spacing w:before="240" w:after="240"/>
              <w:ind w:hanging="0" w:start="0"/>
              <w:rPr/>
            </w:pPr>
            <w:bookmarkStart w:id="6" w:name="__RefHeading___Toc156209663"/>
            <w:bookmarkEnd w:id="6"/>
            <w:r>
              <w:rPr/>
              <w:t>Contract Management Procedures</w:t>
            </w:r>
          </w:p>
        </w:tc>
        <w:tc>
          <w:tcPr>
            <w:tcW w:w="1309" w:type="dxa"/>
            <w:tcBorders>
              <w:top w:val="single" w:sz="4" w:space="0" w:color="000000"/>
              <w:start w:val="single" w:sz="4" w:space="0" w:color="000000"/>
              <w:bottom w:val="single" w:sz="4" w:space="0" w:color="000000"/>
              <w:end w:val="single" w:sz="4" w:space="0" w:color="000000"/>
            </w:tcBorders>
            <w:shd w:fill="99CCFF" w:val="clear"/>
          </w:tcPr>
          <w:p>
            <w:pPr>
              <w:pStyle w:val="TableComplyColYN"/>
              <w:keepNext w:val="true"/>
              <w:keepLines/>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shd w:fill="99CCFF" w:val="clear"/>
          </w:tcPr>
          <w:p>
            <w:pPr>
              <w:pStyle w:val="TableText"/>
              <w:keepNext w:val="true"/>
              <w:keepLines/>
              <w:snapToGrid w:val="false"/>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22"/>
              </w:numPr>
              <w:spacing w:before="120" w:after="120"/>
              <w:ind w:hanging="0" w:start="0"/>
              <w:rPr/>
            </w:pPr>
            <w:r>
              <w:rPr/>
              <w:t>Contract Change Control</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procedures regarding changes to the Agreement, including changes to any Exhibit or Attachment.</w:t>
            </w:r>
          </w:p>
          <w:p>
            <w:pPr>
              <w:pStyle w:val="TableText"/>
              <w:rPr/>
            </w:pPr>
            <w:r>
              <w:rPr/>
              <w:t>Content should include procedures to classify services as a New Service, and resulting process to change the Agreement (including pricing).</w:t>
            </w:r>
          </w:p>
          <w:p>
            <w:pPr>
              <w:pStyle w:val="TableText"/>
              <w:rPr/>
            </w:pPr>
            <w:r>
              <w:rPr/>
              <w:t>Content should include notification period and process, authority levels, and escalation procedures for changes to Agreement.</w:t>
            </w:r>
          </w:p>
          <w:p>
            <w:pPr>
              <w:pStyle w:val="TableText"/>
              <w:spacing w:before="120" w:after="120"/>
              <w:rPr/>
            </w:pPr>
            <w:r>
              <w:rPr/>
              <w:t xml:space="preserve">The Policies and Procedures Manual will include the Procedural Change Management Procedure as described in </w:t>
            </w:r>
            <w:r>
              <w:rPr>
                <w:b/>
              </w:rPr>
              <w:t>Exhibit 20</w:t>
            </w:r>
            <w:r>
              <w:rPr/>
              <w:t>.</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Reporting</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should describe procedures and activities regarding key standard reports and requests for Ad-Hoc reports from GlobalPharma.</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New Service Levels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procedures for determining new Service Levels (based on continuous improvement and/or GlobalPharma request).</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Auditing</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Service Provider to include this in the regular Operating / Governance rhythm and deal with findings as other issues resolution.</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Service Provider Key Personnel and Subcontractors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procedures for GlobalPharma approval regarding replacement or removal of Service Provider Key Personnel and major subcontractors to Service Provider.</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Dispute Resolution</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procedures regarding formal dispute resolution process.</w:t>
            </w:r>
          </w:p>
        </w:tc>
      </w:tr>
      <w:tr>
        <w:trPr/>
        <w:tc>
          <w:tcPr>
            <w:tcW w:w="576" w:type="dxa"/>
            <w:tcBorders>
              <w:top w:val="single" w:sz="4" w:space="0" w:color="000000"/>
              <w:start w:val="single" w:sz="4" w:space="0" w:color="000000"/>
              <w:bottom w:val="single" w:sz="4" w:space="0" w:color="000000"/>
              <w:end w:val="single" w:sz="4" w:space="0" w:color="000000"/>
            </w:tcBorders>
            <w:shd w:fill="99CCFF" w:val="clear"/>
          </w:tcPr>
          <w:p>
            <w:pPr>
              <w:pStyle w:val="TableRef"/>
              <w:keepNext w:val="true"/>
              <w:keepLines/>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shd w:fill="99CCFF" w:val="clear"/>
          </w:tcPr>
          <w:p>
            <w:pPr>
              <w:pStyle w:val="Heading1Numbered"/>
              <w:numPr>
                <w:ilvl w:val="0"/>
                <w:numId w:val="11"/>
              </w:numPr>
              <w:spacing w:before="240" w:after="240"/>
              <w:ind w:hanging="0" w:start="0"/>
              <w:rPr/>
            </w:pPr>
            <w:bookmarkStart w:id="7" w:name="__RefHeading___Toc156209664"/>
            <w:bookmarkEnd w:id="7"/>
            <w:r>
              <w:rPr/>
              <w:t>Relationship Management Procedures</w:t>
            </w:r>
          </w:p>
        </w:tc>
        <w:tc>
          <w:tcPr>
            <w:tcW w:w="1309" w:type="dxa"/>
            <w:tcBorders>
              <w:top w:val="single" w:sz="4" w:space="0" w:color="000000"/>
              <w:start w:val="single" w:sz="4" w:space="0" w:color="000000"/>
              <w:bottom w:val="single" w:sz="4" w:space="0" w:color="000000"/>
              <w:end w:val="single" w:sz="4" w:space="0" w:color="000000"/>
            </w:tcBorders>
            <w:shd w:fill="99CCFF" w:val="clear"/>
          </w:tcPr>
          <w:p>
            <w:pPr>
              <w:pStyle w:val="TableComplyColYN"/>
              <w:keepNext w:val="true"/>
              <w:keepLines/>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shd w:fill="99CCFF" w:val="clear"/>
          </w:tcPr>
          <w:p>
            <w:pPr>
              <w:pStyle w:val="TableText"/>
              <w:keepNext w:val="true"/>
              <w:keepLines/>
              <w:snapToGrid w:val="false"/>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23"/>
              </w:numPr>
              <w:spacing w:before="120" w:after="120"/>
              <w:ind w:hanging="0" w:start="0"/>
              <w:rPr/>
            </w:pPr>
            <w:r>
              <w:rPr/>
              <w:t>Customer Satisfaction Surveys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process to be used for conduction customer satisfaction surveys.</w:t>
            </w:r>
          </w:p>
          <w:p>
            <w:pPr>
              <w:pStyle w:val="TableText"/>
              <w:spacing w:before="120" w:after="120"/>
              <w:rPr/>
            </w:pPr>
            <w:r>
              <w:rPr/>
              <w:t>Content should include procedures regarding action items and attempts to resolve customer issues.</w:t>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8"/>
              </w:numPr>
              <w:spacing w:before="120" w:after="120"/>
              <w:ind w:hanging="0" w:start="0"/>
              <w:rPr/>
            </w:pPr>
            <w:r>
              <w:rPr/>
              <w:t>Business Units</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jc w:val="both"/>
              <w:rPr/>
            </w:pPr>
            <w:r>
              <w:rPr/>
              <w:t>The Policies and Procedures Manual will describe procedures and responsibilities regarding the relationship between the GlobalPharma Business Units, the GlobalPharma Governance organization, and the Service Provider.</w:t>
            </w:r>
          </w:p>
          <w:p>
            <w:pPr>
              <w:pStyle w:val="TableText"/>
              <w:spacing w:before="120" w:after="120"/>
              <w:rPr/>
            </w:pPr>
            <w:r>
              <w:rPr/>
              <w:t>Content should include procedures regarding communication and coordination regarding work requests, Service delivery issues, budgeting and financial issues, etc.</w:t>
            </w:r>
          </w:p>
        </w:tc>
      </w:tr>
      <w:tr>
        <w:trPr/>
        <w:tc>
          <w:tcPr>
            <w:tcW w:w="576" w:type="dxa"/>
            <w:tcBorders>
              <w:top w:val="single" w:sz="4" w:space="0" w:color="000000"/>
              <w:start w:val="single" w:sz="4" w:space="0" w:color="000000"/>
              <w:bottom w:val="single" w:sz="4" w:space="0" w:color="000000"/>
              <w:end w:val="single" w:sz="4" w:space="0" w:color="000000"/>
            </w:tcBorders>
            <w:shd w:fill="99CCFF" w:val="clear"/>
          </w:tcPr>
          <w:p>
            <w:pPr>
              <w:pStyle w:val="TableRef"/>
              <w:keepNext w:val="true"/>
              <w:keepLines/>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shd w:fill="99CCFF" w:val="clear"/>
          </w:tcPr>
          <w:p>
            <w:pPr>
              <w:pStyle w:val="Heading1Numbered"/>
              <w:numPr>
                <w:ilvl w:val="0"/>
                <w:numId w:val="11"/>
              </w:numPr>
              <w:spacing w:before="240" w:after="240"/>
              <w:ind w:hanging="0" w:start="0"/>
              <w:rPr/>
            </w:pPr>
            <w:bookmarkStart w:id="8" w:name="__RefHeading___Toc156209665"/>
            <w:bookmarkEnd w:id="8"/>
            <w:r>
              <w:rPr/>
              <w:t>Service Provider Operational Procedures</w:t>
            </w:r>
          </w:p>
        </w:tc>
        <w:tc>
          <w:tcPr>
            <w:tcW w:w="1309" w:type="dxa"/>
            <w:tcBorders>
              <w:top w:val="single" w:sz="4" w:space="0" w:color="000000"/>
              <w:start w:val="single" w:sz="4" w:space="0" w:color="000000"/>
              <w:bottom w:val="single" w:sz="4" w:space="0" w:color="000000"/>
              <w:end w:val="single" w:sz="4" w:space="0" w:color="000000"/>
            </w:tcBorders>
            <w:shd w:fill="99CCFF" w:val="clear"/>
          </w:tcPr>
          <w:p>
            <w:pPr>
              <w:pStyle w:val="TableComplyColYN"/>
              <w:keepNext w:val="true"/>
              <w:keepLines/>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shd w:fill="99CCFF" w:val="clear"/>
          </w:tcPr>
          <w:p>
            <w:pPr>
              <w:pStyle w:val="TableText"/>
              <w:keepNext w:val="true"/>
              <w:keepLines/>
              <w:snapToGrid w:val="false"/>
              <w:spacing w:before="120" w:after="120"/>
              <w:rPr/>
            </w:pPr>
            <w:r>
              <w:rPr/>
            </w:r>
          </w:p>
        </w:tc>
      </w:tr>
      <w:tr>
        <w:trPr/>
        <w:tc>
          <w:tcPr>
            <w:tcW w:w="576" w:type="dxa"/>
            <w:tcBorders>
              <w:top w:val="single" w:sz="4" w:space="0" w:color="000000"/>
              <w:start w:val="single" w:sz="4" w:space="0" w:color="000000"/>
              <w:bottom w:val="single" w:sz="4" w:space="0" w:color="000000"/>
              <w:end w:val="single" w:sz="4" w:space="0" w:color="000000"/>
            </w:tcBorders>
          </w:tcPr>
          <w:p>
            <w:pPr>
              <w:pStyle w:val="TableRef"/>
              <w:snapToGrid w:val="false"/>
              <w:spacing w:before="120" w:after="120"/>
              <w:rPr/>
            </w:pPr>
            <w:r>
              <w:rPr/>
            </w:r>
          </w:p>
        </w:tc>
        <w:tc>
          <w:tcPr>
            <w:tcW w:w="5760" w:type="dxa"/>
            <w:tcBorders>
              <w:top w:val="single" w:sz="4" w:space="0" w:color="000000"/>
              <w:start w:val="single" w:sz="4" w:space="0" w:color="000000"/>
              <w:bottom w:val="single" w:sz="4" w:space="0" w:color="000000"/>
              <w:end w:val="single" w:sz="4" w:space="0" w:color="000000"/>
            </w:tcBorders>
          </w:tcPr>
          <w:p>
            <w:pPr>
              <w:pStyle w:val="TableLevel1Numbered"/>
              <w:numPr>
                <w:ilvl w:val="0"/>
                <w:numId w:val="24"/>
              </w:numPr>
              <w:spacing w:before="120" w:after="120"/>
              <w:ind w:hanging="0" w:start="0"/>
              <w:rPr/>
            </w:pPr>
            <w:r>
              <w:rPr/>
              <w:t>Operational Procedures (by Process Area, as applicable)</w:t>
            </w:r>
          </w:p>
        </w:tc>
        <w:tc>
          <w:tcPr>
            <w:tcW w:w="1309" w:type="dxa"/>
            <w:tcBorders>
              <w:top w:val="single" w:sz="4" w:space="0" w:color="000000"/>
              <w:start w:val="single" w:sz="4" w:space="0" w:color="000000"/>
              <w:bottom w:val="single" w:sz="4" w:space="0" w:color="000000"/>
              <w:end w:val="single" w:sz="4" w:space="0" w:color="000000"/>
            </w:tcBorders>
          </w:tcPr>
          <w:p>
            <w:pPr>
              <w:pStyle w:val="TableComplyColYN"/>
              <w:snapToGrid w:val="false"/>
              <w:spacing w:before="120" w:after="120"/>
              <w:rPr/>
            </w:pPr>
            <w:r>
              <w:rPr/>
            </w:r>
          </w:p>
        </w:tc>
        <w:tc>
          <w:tcPr>
            <w:tcW w:w="6480" w:type="dxa"/>
            <w:tcBorders>
              <w:top w:val="single" w:sz="4" w:space="0" w:color="000000"/>
              <w:start w:val="single" w:sz="4" w:space="0" w:color="000000"/>
              <w:bottom w:val="single" w:sz="4" w:space="0" w:color="000000"/>
              <w:end w:val="single" w:sz="4" w:space="0" w:color="000000"/>
            </w:tcBorders>
          </w:tcPr>
          <w:p>
            <w:pPr>
              <w:pStyle w:val="TableText"/>
              <w:spacing w:before="120" w:after="120"/>
              <w:rPr/>
            </w:pPr>
            <w:r>
              <w:rPr/>
              <w:t>The Policies and Procedures Manual will describe the activities that the Service Provider proposes to undertake in order to provide the Services, including those directions, supervision, monitoring, staffing, reporting, planning and oversight activities normally undertaken by the Service Provider which shall be consistent with those Service Provider activities used to provide services similar to the Services.</w:t>
            </w:r>
          </w:p>
        </w:tc>
      </w:tr>
    </w:tbl>
    <w:p>
      <w:pPr>
        <w:pStyle w:val="Normal"/>
        <w:spacing w:before="120" w:after="120"/>
        <w:rPr/>
      </w:pPr>
      <w:r>
        <w:rPr/>
      </w:r>
    </w:p>
    <w:sectPr>
      <w:headerReference w:type="default" r:id="rId4"/>
      <w:headerReference w:type="first" r:id="rId5"/>
      <w:footerReference w:type="default" r:id="rId6"/>
      <w:footerReference w:type="first" r:id="rId7"/>
      <w:type w:val="nextPage"/>
      <w:pgSz w:orient="landscape" w:w="15840" w:h="12240"/>
      <w:pgMar w:left="720" w:right="720" w:gutter="0" w:header="720" w:top="1728" w:footer="720"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ab/>
      <w:t xml:space="preserve">Attach 6-B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p>
    <w:pPr>
      <w:pStyle w:val="Footer"/>
      <w:tabs>
        <w:tab w:val="clear" w:pos="4680"/>
        <w:tab w:val="clear" w:pos="7200"/>
        <w:tab w:val="right" w:pos="14400" w:leader="none"/>
      </w:tabs>
      <w:spacing w:before="120" w:after="120"/>
      <w:rPr/>
    </w:pPr>
    <w:r>
      <w:rPr/>
      <w:t xml:space="preserve">GlobalPharma </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ab/>
      <w:t xml:space="preserve">Attach 6-B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10</w:t>
    </w:r>
    <w:r>
      <w:rPr>
        <w:rStyle w:val="PageNumber"/>
      </w:rPr>
      <w:fldChar w:fldCharType="end"/>
    </w:r>
  </w:p>
  <w:p>
    <w:pPr>
      <w:pStyle w:val="Footer"/>
      <w:tabs>
        <w:tab w:val="clear" w:pos="4680"/>
        <w:tab w:val="clear" w:pos="7200"/>
        <w:tab w:val="right" w:pos="14400" w:leader="none"/>
      </w:tabs>
      <w:spacing w:before="120" w:after="120"/>
      <w:rPr/>
    </w:pPr>
    <w:r>
      <w:rPr/>
      <w:t xml:space="preserve">GlobalPharma </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14400" w:leader="none"/>
      </w:tabs>
      <w:spacing w:before="120" w:after="120"/>
      <w:rPr/>
    </w:pPr>
    <w:r>
      <w:drawing>
        <wp:anchor behindDoc="1" distT="0" distB="0" distL="114935" distR="114935" simplePos="0" locked="0" layoutInCell="1" allowOverlap="1" relativeHeight="3">
          <wp:simplePos x="0" y="0"/>
          <wp:positionH relativeFrom="column">
            <wp:posOffset>8153400</wp:posOffset>
          </wp:positionH>
          <wp:positionV relativeFrom="paragraph">
            <wp:posOffset>-33020</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color w:val="C0C0C0"/>
      </w:rPr>
      <w:drawing>
        <wp:inline distT="0" distB="0" distL="0" distR="0">
          <wp:extent cx="1494155" cy="345440"/>
          <wp:effectExtent l="0" t="0" r="0" b="0"/>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color w:val="C0C0C0"/>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14400" w:leader="none"/>
      </w:tabs>
      <w:spacing w:before="120" w:after="120"/>
      <w:rPr/>
    </w:pPr>
    <w:r>
      <w:drawing>
        <wp:anchor behindDoc="1" distT="0" distB="0" distL="114935" distR="114935" simplePos="0" locked="0" layoutInCell="1" allowOverlap="1" relativeHeight="21">
          <wp:simplePos x="0" y="0"/>
          <wp:positionH relativeFrom="column">
            <wp:posOffset>8153400</wp:posOffset>
          </wp:positionH>
          <wp:positionV relativeFrom="paragraph">
            <wp:posOffset>-33020</wp:posOffset>
          </wp:positionV>
          <wp:extent cx="1028700" cy="385445"/>
          <wp:effectExtent l="0" t="0" r="0" b="0"/>
          <wp:wrapNone/>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color w:val="C0C0C0"/>
      </w:rPr>
      <w:drawing>
        <wp:inline distT="0" distB="0" distL="0" distR="0">
          <wp:extent cx="1494155" cy="34544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color w:val="C0C0C0"/>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1800"/>
        </w:tabs>
        <w:ind w:start="1800" w:hanging="360"/>
      </w:pPr>
      <w:rPr>
        <w:rFonts w:ascii="Symbol" w:hAnsi="Symbol" w:cs="Symbol" w:hint="default"/>
      </w:rPr>
    </w:lvl>
  </w:abstractNum>
  <w:abstractNum w:abstractNumId="11">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2">
    <w:lvl w:ilvl="0">
      <w:start w:val="1"/>
      <w:numFmt w:val="bullet"/>
      <w:lvlText w:val=""/>
      <w:lvlJc w:val="start"/>
      <w:pPr>
        <w:tabs>
          <w:tab w:val="num" w:pos="2707"/>
        </w:tabs>
        <w:ind w:start="2707" w:hanging="547"/>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1440"/>
        </w:tabs>
        <w:ind w:start="1440" w:hanging="360"/>
      </w:pPr>
      <w:rPr>
        <w:rFonts w:ascii="Symbol" w:hAnsi="Symbol" w:cs="Symbol" w:hint="default"/>
      </w:rPr>
    </w:lvl>
  </w:abstractNum>
  <w:abstractNum w:abstractNumId="16">
    <w:lvl w:ilvl="0">
      <w:start w:val="1"/>
      <w:numFmt w:val="bullet"/>
      <w:lvlText w:val=""/>
      <w:lvlJc w:val="start"/>
      <w:pPr>
        <w:tabs>
          <w:tab w:val="num" w:pos="1627"/>
        </w:tabs>
        <w:ind w:start="1627" w:hanging="547"/>
      </w:pPr>
      <w:rPr>
        <w:rFonts w:ascii="Symbol" w:hAnsi="Symbol" w:cs="Symbol" w:hint="default"/>
      </w:rPr>
    </w:lvl>
  </w:abstractNum>
  <w:abstractNum w:abstractNumId="17">
    <w:lvl w:ilvl="0">
      <w:start w:val="1"/>
      <w:numFmt w:val="bullet"/>
      <w:lvlText w:val=""/>
      <w:lvlJc w:val="start"/>
      <w:pPr>
        <w:tabs>
          <w:tab w:val="num" w:pos="2160"/>
        </w:tabs>
        <w:ind w:start="2160" w:hanging="533"/>
      </w:pPr>
      <w:rPr>
        <w:rFonts w:ascii="Symbol" w:hAnsi="Symbol" w:cs="Symbol" w:hint="default"/>
      </w:rPr>
    </w:lvl>
  </w:abstractNum>
  <w:abstractNum w:abstractNumId="18">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Bold;Times New Roman" w:hAnsi="Times New Roman Bold;Times New Roman" w:cs="Times New Roman Bold;Times New Roman"/>
      <w:b/>
      <w:i w:val="false"/>
      <w:sz w:val="28"/>
    </w:rPr>
  </w:style>
  <w:style w:type="character" w:styleId="WW8Num10z2">
    <w:name w:val="WW8Num10z2"/>
    <w:qFormat/>
    <w:rPr>
      <w:rFonts w:ascii="Times New Roman" w:hAnsi="Times New Roman" w:cs="Times New Roman"/>
      <w:b/>
      <w:i w:val="false"/>
      <w:sz w:val="24"/>
    </w:rPr>
  </w:style>
  <w:style w:type="character" w:styleId="WW8Num10z4">
    <w:name w:val="WW8Num10z4"/>
    <w:qFormat/>
    <w:rPr>
      <w:rFonts w:ascii="Times New Roman Bold;Times New Roman" w:hAnsi="Times New Roman Bold;Times New Roman" w:cs="Times New Roman Bold;Times New Roman"/>
      <w:b/>
      <w:i w:val="false"/>
      <w:sz w:val="22"/>
      <w:szCs w:val="22"/>
    </w:rPr>
  </w:style>
  <w:style w:type="character" w:styleId="WW8Num10z5">
    <w:name w:val="WW8Num10z5"/>
    <w:qFormat/>
    <w:rPr>
      <w:rFonts w:ascii="Times New Roman" w:hAnsi="Times New Roman" w:cs="Times New Roman"/>
      <w:b w:val="false"/>
      <w:i w:val="false"/>
      <w:sz w:val="22"/>
    </w:rPr>
  </w:style>
  <w:style w:type="character" w:styleId="WW8Num10z8">
    <w:name w:val="WW8Num10z8"/>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Bold;Times New Roman" w:hAnsi="Times New Roman Bold;Times New Roman" w:cs="Times New Roman Bold;Times New Roman"/>
      <w:b/>
      <w:i w:val="false"/>
      <w:sz w:val="28"/>
    </w:rPr>
  </w:style>
  <w:style w:type="character" w:styleId="WW8Num12z2">
    <w:name w:val="WW8Num12z2"/>
    <w:qFormat/>
    <w:rPr>
      <w:rFonts w:ascii="Times New Roman" w:hAnsi="Times New Roman" w:cs="Times New Roman"/>
      <w:b/>
      <w:i w:val="false"/>
      <w:sz w:val="24"/>
    </w:rPr>
  </w:style>
  <w:style w:type="character" w:styleId="WW8Num12z4">
    <w:name w:val="WW8Num12z4"/>
    <w:qFormat/>
    <w:rPr>
      <w:rFonts w:ascii="Times New Roman" w:hAnsi="Times New Roman" w:cs="Times New Roman"/>
      <w:b w:val="false"/>
      <w:i w:val="false"/>
      <w:sz w:val="22"/>
    </w:rPr>
  </w:style>
  <w:style w:type="character" w:styleId="WW8Num12z8">
    <w:name w:val="WW8Num12z8"/>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Bold;Times New Roman" w:hAnsi="Times New Roman Bold;Times New Roman" w:cs="Times New Roman Bold;Times New Roman"/>
      <w:b/>
      <w:i w:val="false"/>
      <w:color w:val="000000"/>
      <w:sz w:val="28"/>
      <w:szCs w:val="28"/>
    </w:rPr>
  </w:style>
  <w:style w:type="character" w:styleId="WW8Num17z1">
    <w:name w:val="WW8Num17z1"/>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PageNumber">
    <w:name w:val="page number"/>
    <w:basedOn w:val="Absatz-Standardschriftart"/>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prechblasentext">
    <w:name w:val="Sprechblasentext"/>
    <w:basedOn w:val="Normal"/>
    <w:qFormat/>
    <w:pPr/>
    <w:rPr>
      <w:rFonts w:ascii="Tahoma" w:hAnsi="Tahoma" w:cs="Tahoma"/>
      <w:sz w:val="16"/>
      <w:szCs w:val="16"/>
    </w:rPr>
  </w:style>
  <w:style w:type="paragraph" w:styleId="BodyLevel1Numbered">
    <w:name w:val="Body Level 1 Numbered"/>
    <w:basedOn w:val="Normal"/>
    <w:qFormat/>
    <w:pPr>
      <w:numPr>
        <w:ilvl w:val="0"/>
        <w:numId w:val="9"/>
      </w:numPr>
      <w:spacing w:before="180" w:after="180"/>
    </w:pPr>
    <w:rPr/>
  </w:style>
  <w:style w:type="paragraph" w:styleId="BodyLevel1Text">
    <w:name w:val="Body Level 1 Text"/>
    <w:basedOn w:val="BodyText"/>
    <w:qFormat/>
    <w:pPr>
      <w:ind w:hanging="0" w:start="1620" w:end="0"/>
    </w:pPr>
    <w:rPr/>
  </w:style>
  <w:style w:type="paragraph" w:styleId="BodyLevel2Numbered">
    <w:name w:val="Body Level 2 Numbered"/>
    <w:basedOn w:val="Normal"/>
    <w:qFormat/>
    <w:pPr>
      <w:numPr>
        <w:ilvl w:val="0"/>
        <w:numId w:val="9"/>
      </w:numPr>
      <w:spacing w:before="180" w:after="180"/>
    </w:pPr>
    <w:rPr/>
  </w:style>
  <w:style w:type="paragraph" w:styleId="BodyLevel2Text">
    <w:name w:val="Body Level 2 Text"/>
    <w:basedOn w:val="BodyText"/>
    <w:qFormat/>
    <w:pPr>
      <w:ind w:hanging="0" w:start="2160" w:end="0"/>
    </w:pPr>
    <w:rPr/>
  </w:style>
  <w:style w:type="paragraph" w:styleId="BodyLevel3Numbered">
    <w:name w:val="Body Level 3 Numbered"/>
    <w:basedOn w:val="Normal"/>
    <w:qFormat/>
    <w:pPr>
      <w:numPr>
        <w:ilvl w:val="0"/>
        <w:numId w:val="9"/>
      </w:numPr>
      <w:spacing w:before="180" w:after="180"/>
    </w:pPr>
    <w:rPr/>
  </w:style>
  <w:style w:type="paragraph" w:styleId="BodyLevel3Text">
    <w:name w:val="Body Level 3 Text"/>
    <w:basedOn w:val="BodyText"/>
    <w:qFormat/>
    <w:pPr>
      <w:ind w:hanging="0" w:start="2700" w:end="0"/>
    </w:pPr>
    <w:rPr/>
  </w:style>
  <w:style w:type="paragraph" w:styleId="BodyLevel4Numbered">
    <w:name w:val="Body Level 4 Numbered"/>
    <w:basedOn w:val="Normal"/>
    <w:qFormat/>
    <w:pPr>
      <w:numPr>
        <w:ilvl w:val="0"/>
        <w:numId w:val="9"/>
      </w:numPr>
      <w:spacing w:before="180" w:after="180"/>
    </w:pPr>
    <w:rPr/>
  </w:style>
  <w:style w:type="paragraph" w:styleId="BodyLevel4Text">
    <w:name w:val="Body Level 4 Text"/>
    <w:basedOn w:val="BodyText"/>
    <w:qFormat/>
    <w:pPr>
      <w:ind w:hanging="0" w:start="3240" w:end="0"/>
    </w:pPr>
    <w:rPr/>
  </w:style>
  <w:style w:type="paragraph" w:styleId="BodyTextBullet">
    <w:name w:val="Body Text Bullet"/>
    <w:basedOn w:val="Normal"/>
    <w:qFormat/>
    <w:pPr>
      <w:numPr>
        <w:ilvl w:val="0"/>
        <w:numId w:val="16"/>
      </w:numPr>
      <w:tabs>
        <w:tab w:val="clear" w:pos="720"/>
        <w:tab w:val="left" w:pos="1440" w:leader="none"/>
      </w:tabs>
      <w:ind w:hanging="360" w:start="1440" w:end="0"/>
    </w:pPr>
    <w:rPr/>
  </w:style>
  <w:style w:type="paragraph" w:styleId="BodyTextBulletL1">
    <w:name w:val="Body Text Bullet L1"/>
    <w:basedOn w:val="Normal"/>
    <w:qFormat/>
    <w:pPr>
      <w:numPr>
        <w:ilvl w:val="0"/>
        <w:numId w:val="17"/>
      </w:numPr>
      <w:ind w:hanging="360" w:start="0" w:end="0"/>
    </w:pPr>
    <w:rPr/>
  </w:style>
  <w:style w:type="paragraph" w:styleId="BodyTextBulletL2">
    <w:name w:val="Body Text Bullet L2"/>
    <w:basedOn w:val="Normal"/>
    <w:qFormat/>
    <w:pPr>
      <w:numPr>
        <w:ilvl w:val="0"/>
        <w:numId w:val="12"/>
      </w:numPr>
      <w:ind w:hanging="367" w:start="0" w:end="0"/>
    </w:pPr>
    <w:rPr/>
  </w:style>
  <w:style w:type="paragraph" w:styleId="BodyTextBulletL3">
    <w:name w:val="Body Text Bullet L3"/>
    <w:basedOn w:val="Normal"/>
    <w:qFormat/>
    <w:pPr>
      <w:numPr>
        <w:ilvl w:val="0"/>
        <w:numId w:val="18"/>
      </w:numPr>
      <w:ind w:hanging="360" w:start="0" w:end="0"/>
    </w:pPr>
    <w:rPr/>
  </w:style>
  <w:style w:type="paragraph" w:styleId="BodyTextIndent">
    <w:name w:val="Body Text Indent"/>
    <w:basedOn w:val="BodyText"/>
    <w:pPr>
      <w:ind w:hanging="0" w:start="1080" w:end="0"/>
    </w:pPr>
    <w:rPr/>
  </w:style>
  <w:style w:type="paragraph" w:styleId="TableTextBullet">
    <w:name w:val="Table Text Bullet"/>
    <w:basedOn w:val="Normal"/>
    <w:qFormat/>
    <w:pPr>
      <w:numPr>
        <w:ilvl w:val="0"/>
        <w:numId w:val="14"/>
      </w:numPr>
    </w:pPr>
    <w:rPr/>
  </w:style>
  <w:style w:type="paragraph" w:styleId="Bullet1Table">
    <w:name w:val="Bullet 1 Table"/>
    <w:basedOn w:val="TableTextBullet"/>
    <w:next w:val="TableTextBullet"/>
    <w:qFormat/>
    <w:pPr>
      <w:numPr>
        <w:ilvl w:val="0"/>
        <w:numId w:val="14"/>
      </w:numPr>
    </w:pPr>
    <w:rPr/>
  </w:style>
  <w:style w:type="paragraph" w:styleId="Datum">
    <w:name w:val="Datum"/>
    <w:basedOn w:val="Normal"/>
    <w:next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ing1Numbered">
    <w:name w:val="Heading 1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caps/>
      <w:sz w:val="28"/>
    </w:rPr>
  </w:style>
  <w:style w:type="paragraph" w:styleId="Head1-NoTOC">
    <w:name w:val="Head 1 # - No TOC"/>
    <w:basedOn w:val="Heading1Numbered"/>
    <w:next w:val="BodyText"/>
    <w:qFormat/>
    <w:pPr>
      <w:numPr>
        <w:ilvl w:val="0"/>
        <w:numId w:val="13"/>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ing2Numbered">
    <w:name w:val="Heading 2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8"/>
    </w:rPr>
  </w:style>
  <w:style w:type="paragraph" w:styleId="Head2-NoTOC">
    <w:name w:val="Head 2 # - No TOC"/>
    <w:basedOn w:val="Heading2Numbered"/>
    <w:next w:val="BodyText"/>
    <w:qFormat/>
    <w:pPr>
      <w:numPr>
        <w:ilvl w:val="0"/>
        <w:numId w:val="13"/>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1"/>
      </w:numPr>
    </w:pPr>
    <w:rPr/>
  </w:style>
  <w:style w:type="paragraph" w:styleId="Head3-NoTOC">
    <w:name w:val="Head 3 # - No TOC"/>
    <w:basedOn w:val="Heading3Numbered"/>
    <w:next w:val="BodyText"/>
    <w:qFormat/>
    <w:pPr>
      <w:numPr>
        <w:ilvl w:val="0"/>
        <w:numId w:val="13"/>
      </w:numPr>
    </w:pPr>
    <w:rPr/>
  </w:style>
  <w:style w:type="paragraph" w:styleId="Head4-NoTOCor">
    <w:name w:val="Head 4 - No TOC or #"/>
    <w:basedOn w:val="Heading4"/>
    <w:next w:val="TableText"/>
    <w:qFormat/>
    <w:pPr>
      <w:numPr>
        <w:ilvl w:val="0"/>
        <w:numId w:val="0"/>
      </w:numPr>
      <w:outlineLvl w:val="9"/>
    </w:pPr>
    <w:rPr/>
  </w:style>
  <w:style w:type="paragraph" w:styleId="Heading4Numbered">
    <w:name w:val="Heading 4 Numbered"/>
    <w:basedOn w:val="Normal"/>
    <w:next w:val="TableText"/>
    <w:qFormat/>
    <w:pPr>
      <w:keepNext w:val="true"/>
      <w:keepLines/>
      <w:numPr>
        <w:ilvl w:val="0"/>
        <w:numId w:val="11"/>
      </w:numPr>
      <w:spacing w:before="240" w:after="240"/>
    </w:pPr>
    <w:rPr>
      <w:rFonts w:ascii="Times New Roman Bold;Times New Roman" w:hAnsi="Times New Roman Bold;Times New Roman" w:cs="Times New Roman Bold;Times New Roman"/>
      <w:b/>
      <w:sz w:val="24"/>
    </w:rPr>
  </w:style>
  <w:style w:type="paragraph" w:styleId="Head4-NoTOC">
    <w:name w:val="Head 4 # - No TOC"/>
    <w:basedOn w:val="Heading4Numbered"/>
    <w:next w:val="BodyText"/>
    <w:qFormat/>
    <w:pPr>
      <w:numPr>
        <w:ilvl w:val="0"/>
        <w:numId w:val="13"/>
      </w:numPr>
    </w:pPr>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4">
    <w:name w:val="toc 4"/>
    <w:basedOn w:val="Normal"/>
    <w:next w:val="Normal"/>
    <w:pPr>
      <w:ind w:hanging="0" w:start="660" w:end="0"/>
    </w:pPr>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ableLevel1Numbered">
    <w:name w:val="Table Level 1 Numbered"/>
    <w:basedOn w:val="Normal"/>
    <w:qFormat/>
    <w:pPr>
      <w:numPr>
        <w:ilvl w:val="0"/>
        <w:numId w:val="8"/>
      </w:numPr>
    </w:pPr>
    <w:rPr/>
  </w:style>
  <w:style w:type="paragraph" w:styleId="TableLevel1-2Bullet">
    <w:name w:val="Table Level 1-2 Bullet"/>
    <w:basedOn w:val="Normal"/>
    <w:qFormat/>
    <w:pPr>
      <w:numPr>
        <w:ilvl w:val="0"/>
        <w:numId w:val="15"/>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4Bullet">
    <w:name w:val="Table Level 3-4 Bullet"/>
    <w:basedOn w:val="Normal"/>
    <w:qFormat/>
    <w:pPr>
      <w:numPr>
        <w:ilvl w:val="0"/>
        <w:numId w:val="10"/>
      </w:numPr>
    </w:pPr>
    <w:rPr/>
  </w:style>
  <w:style w:type="paragraph" w:styleId="TableLevel3-4Indent">
    <w:name w:val="Table Level 3-4 Indent"/>
    <w:basedOn w:val="Normal"/>
    <w:qFormat/>
    <w:pPr>
      <w:ind w:hanging="0" w:start="1296" w:end="0"/>
    </w:pPr>
    <w:rPr/>
  </w:style>
  <w:style w:type="paragraph" w:styleId="TableLevel3Numbered">
    <w:name w:val="Table Level 3 Numbered"/>
    <w:basedOn w:val="Normal"/>
    <w:qFormat/>
    <w:pPr>
      <w:numPr>
        <w:ilvl w:val="0"/>
        <w:numId w:val="8"/>
      </w:numPr>
    </w:pPr>
    <w:rPr/>
  </w:style>
  <w:style w:type="paragraph" w:styleId="TableText">
    <w:name w:val="Table Text"/>
    <w:basedOn w:val="Normal"/>
    <w:qFormat/>
    <w:pPr/>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caps/>
    </w:rPr>
  </w:style>
  <w:style w:type="paragraph" w:styleId="TOC2">
    <w:name w:val="toc 2"/>
    <w:basedOn w:val="Normal"/>
    <w:next w:val="Normal"/>
    <w:pPr>
      <w:ind w:hanging="0" w:start="220" w:end="0"/>
    </w:pPr>
    <w:rPr/>
  </w:style>
  <w:style w:type="paragraph" w:styleId="TOC3">
    <w:name w:val="toc 3"/>
    <w:basedOn w:val="Normal"/>
    <w:next w:val="Normal"/>
    <w:pPr>
      <w:ind w:hanging="0" w:start="440" w:end="0"/>
    </w:pPr>
    <w:rPr/>
  </w:style>
  <w:style w:type="paragraph" w:styleId="Bullet1Body">
    <w:name w:val="Bullet 1 Body"/>
    <w:basedOn w:val="BodyTextBullet"/>
    <w:next w:val="BodyTextBullet"/>
    <w:qFormat/>
    <w:pPr/>
    <w:rPr/>
  </w:style>
  <w:style w:type="paragraph" w:styleId="TableLevel4Numbered">
    <w:name w:val="Table Level 4 Numbered"/>
    <w:basedOn w:val="Normal"/>
    <w:qFormat/>
    <w:pPr>
      <w:numPr>
        <w:ilvl w:val="0"/>
        <w:numId w:val="8"/>
      </w:numPr>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1"/>
      </w:numPr>
    </w:pPr>
    <w:rPr>
      <w:b/>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2007-01-29T20:10:00Z</dcterms:created>
  <dc:creator>TPI</dc:creator>
  <dc:description>RFP8 Attachment 6-B to Exhibit 6 (Governance Model). Contains the Policies &amp; Procedures Manual content.</dc:description>
  <dc:language>en-US</dc:language>
  <cp:lastModifiedBy>Wenger Plattner</cp:lastModifiedBy>
  <cp:lastPrinted>2007-01-30T10:09:00Z</cp:lastPrinted>
  <dcterms:modified xsi:type="dcterms:W3CDTF">2007-01-30T14:39:00Z</dcterms:modified>
  <cp:revision>3</cp:revision>
  <dc:subject/>
  <dc:title>RFP8 Attachment 6-B Policies Procedures Manual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Project">
    <vt:lpwstr>RFP8</vt:lpwstr>
  </property>
  <property fmtid="{D5CDD505-2E9C-101B-9397-08002B2CF9AE}" pid="5" name="Status">
    <vt:lpwstr>Released</vt:lpwstr>
  </property>
</Properties>
</file>