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GlobalPharma</w:t>
      </w:r>
    </w:p>
    <w:p>
      <w:pPr>
        <w:pStyle w:val="Titel"/>
        <w:rPr>
          <w:lang w:val="en-GB"/>
        </w:rPr>
      </w:pPr>
      <w:r>
        <w:rPr>
          <w:lang w:val="en-GB"/>
        </w:rPr>
      </w:r>
    </w:p>
    <w:p>
      <w:pPr>
        <w:pStyle w:val="Titel"/>
        <w:rPr>
          <w:lang w:val="en-GB"/>
        </w:rPr>
      </w:pPr>
      <w:r>
        <w:rPr>
          <w:lang w:val="en-GB"/>
        </w:rPr>
        <w:t>Exhibit 1</w:t>
      </w:r>
    </w:p>
    <w:p>
      <w:pPr>
        <w:pStyle w:val="Titel"/>
        <w:rPr>
          <w:lang w:val="en-GB"/>
        </w:rPr>
      </w:pPr>
      <w:r>
        <w:rPr>
          <w:lang w:val="en-GB"/>
        </w:rPr>
      </w:r>
    </w:p>
    <w:p>
      <w:pPr>
        <w:pStyle w:val="Titel"/>
        <w:rPr>
          <w:lang w:val="en-GB"/>
        </w:rPr>
      </w:pPr>
      <w:r>
        <w:rPr>
          <w:lang w:val="en-GB"/>
        </w:rPr>
        <w:t>Definitions</w:t>
      </w:r>
    </w:p>
    <w:p>
      <w:pPr>
        <w:pStyle w:val="Titel"/>
        <w:rPr>
          <w:lang w:val="en-GB"/>
        </w:rPr>
      </w:pPr>
      <w:r>
        <w:rPr>
          <w:lang w:val="en-GB"/>
        </w:rPr>
      </w:r>
    </w:p>
    <w:p>
      <w:pPr>
        <w:pStyle w:val="Titel"/>
        <w:rPr>
          <w:lang w:val="en-GB"/>
        </w:rPr>
      </w:pPr>
      <w:r>
        <w:rPr>
          <w:lang w:val="en-GB"/>
        </w:rPr>
      </w:r>
    </w:p>
    <w:p>
      <w:pPr>
        <w:pStyle w:val="Titel"/>
        <w:rPr>
          <w:lang w:val="en-GB"/>
        </w:rPr>
      </w:pPr>
      <w:r>
        <w:rPr>
          <w:lang w:val="en-GB"/>
        </w:rPr>
      </w:r>
    </w:p>
    <w:tbl>
      <w:tblPr>
        <w:tblW w:w="10260" w:type="dxa"/>
        <w:jc w:val="center"/>
        <w:tblInd w:w="0"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lang w:val="en-GB"/>
              </w:rPr>
            </w:pPr>
            <w:r>
              <w:rPr>
                <w:lang w:val="en-GB"/>
              </w:rPr>
            </w:r>
          </w:p>
          <w:p>
            <w:pPr>
              <w:pStyle w:val="Normal"/>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lang w:val="en-GB"/>
              </w:rPr>
            </w:pPr>
            <w:r>
              <w:rPr>
                <w:lang w:val="en-GB"/>
              </w:rPr>
            </w:r>
          </w:p>
        </w:tc>
      </w:tr>
    </w:tbl>
    <w:p>
      <w:pPr>
        <w:pStyle w:val="Heading1Numbered"/>
        <w:numPr>
          <w:ilvl w:val="0"/>
          <w:numId w:val="0"/>
        </w:numPr>
        <w:ind w:hanging="0" w:start="0"/>
        <w:rPr>
          <w:lang w:val="en-GB"/>
        </w:rPr>
      </w:pPr>
      <w:r>
        <w:rPr>
          <w:lang w:val="en-GB"/>
        </w:rPr>
      </w:r>
    </w:p>
    <w:p>
      <w:pPr>
        <w:pStyle w:val="Heading1Numbered"/>
        <w:numPr>
          <w:ilvl w:val="0"/>
          <w:numId w:val="2"/>
        </w:numPr>
        <w:ind w:hanging="0" w:start="0"/>
        <w:rPr>
          <w:lang w:val="en-GB"/>
        </w:rPr>
      </w:pPr>
      <w:r>
        <w:rPr>
          <w:lang w:val="en-GB"/>
        </w:rPr>
        <w:t>Introduction</w:t>
      </w:r>
    </w:p>
    <w:p>
      <w:pPr>
        <w:pStyle w:val="BodyText"/>
        <w:rPr>
          <w:lang w:val="en-GB"/>
        </w:rPr>
      </w:pPr>
      <w:r>
        <w:rPr>
          <w:lang w:val="en-GB"/>
        </w:rPr>
        <w:t xml:space="preserve">Defined terms are the terms listed below as well as the defined terms contained in the MSA, the Exhibits and the Attachments to the MSA and are subject to requirements and changes from GlobalPharma or as otherwise mutually agreed by the Parties. In case of any inconsistency in definition or interpretation of the terms contained in this document or to understand the context in which the terms have been used, the MSA, its Exhibits and Attachments will prevail over this document.  </w:t>
      </w:r>
      <w:r>
        <w:rPr>
          <w:bCs/>
          <w:lang w:val="en-GB"/>
        </w:rPr>
      </w:r>
      <w:r>
        <w:rPr>
          <w:b/>
          <w:bCs/>
          <w:lang w:val="en-GB"/>
        </w:rPr>
      </w:r>
    </w:p>
    <w:p>
      <w:pPr>
        <w:pStyle w:val="BodyText"/>
        <w:rPr/>
      </w:pPr>
      <w:r>
        <w:rPr>
          <w:lang w:val="en-GB"/>
        </w:rPr>
        <w:t>In addition, common terms and acronyms are listed in Attachment 1-A (Common Terms and Acronyms) to this Exhibit.</w:t>
      </w:r>
    </w:p>
    <w:p>
      <w:pPr>
        <w:pStyle w:val="BodyText"/>
        <w:rPr>
          <w:i/>
          <w:i/>
          <w:iCs/>
          <w:lang w:val="en-GB"/>
        </w:rPr>
      </w:pPr>
      <w:r>
        <w:rPr>
          <w:i/>
          <w:iCs/>
          <w:lang w:val="en-GB"/>
        </w:rPr>
      </w:r>
    </w:p>
    <w:tbl>
      <w:tblPr>
        <w:tblW w:w="14684" w:type="dxa"/>
        <w:jc w:val="center"/>
        <w:tblInd w:w="0" w:type="dxa"/>
        <w:tblLayout w:type="fixed"/>
        <w:tblCellMar>
          <w:top w:w="0" w:type="dxa"/>
          <w:start w:w="108" w:type="dxa"/>
          <w:bottom w:w="0" w:type="dxa"/>
          <w:end w:w="108" w:type="dxa"/>
        </w:tblCellMar>
      </w:tblPr>
      <w:tblGrid>
        <w:gridCol w:w="4872"/>
        <w:gridCol w:w="9812"/>
      </w:tblGrid>
      <w:tr>
        <w:trPr>
          <w:tblHeader w:val="true"/>
        </w:trPr>
        <w:tc>
          <w:tcPr>
            <w:tcW w:w="4872" w:type="dxa"/>
            <w:tcBorders>
              <w:top w:val="single" w:sz="4" w:space="0" w:color="000000"/>
              <w:start w:val="single" w:sz="4" w:space="0" w:color="000000"/>
              <w:bottom w:val="single" w:sz="4" w:space="0" w:color="000000"/>
              <w:end w:val="single" w:sz="4" w:space="0" w:color="000000"/>
            </w:tcBorders>
          </w:tcPr>
          <w:p>
            <w:pPr>
              <w:pStyle w:val="HeadingTable"/>
              <w:spacing w:before="120" w:after="120"/>
              <w:rPr>
                <w:lang w:val="en-GB"/>
              </w:rPr>
            </w:pPr>
            <w:r>
              <w:rPr>
                <w:lang w:val="en-GB"/>
              </w:rPr>
              <w:t>Term</w:t>
            </w:r>
          </w:p>
        </w:tc>
        <w:tc>
          <w:tcPr>
            <w:tcW w:w="9812" w:type="dxa"/>
            <w:tcBorders>
              <w:top w:val="single" w:sz="4" w:space="0" w:color="000000"/>
              <w:start w:val="single" w:sz="4" w:space="0" w:color="000000"/>
              <w:bottom w:val="single" w:sz="4" w:space="0" w:color="000000"/>
              <w:end w:val="single" w:sz="4" w:space="0" w:color="000000"/>
            </w:tcBorders>
          </w:tcPr>
          <w:p>
            <w:pPr>
              <w:pStyle w:val="HeadingTable"/>
              <w:spacing w:before="120" w:after="120"/>
              <w:rPr>
                <w:lang w:val="en-GB"/>
              </w:rPr>
            </w:pPr>
            <w:r>
              <w:rPr>
                <w:lang w:val="en-GB"/>
              </w:rPr>
              <w:t>Definition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Additional Resource Charge (ARC)</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a charge added to the Base Charge for each Resource Unit utilized and authorized by GlobalPharma above the Resource Zurichine, and any Neutral Rate Band, for the applicable month.</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Affected Contractors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contract personnel providing services to GlobalPharma, and performing In-scope Services in lieu of GlobalPharma employees, where the contract personnel are paid based on billable hours or by means other than a long-term services contract.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Affected Employees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GlobalPharma employees performing In-scope Services who are to be considered for transition by the Service Provider or its subcontractors.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Affected Personnel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Affected Employees and Affected Contractors.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Affiliate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with respect to an entity, another entity Controlling, Controlled by or under common Control with that entity.</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Agreement(s), (The/the)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agreement including any Exhibits and Attachments referenced therein between GlobalPharma and/or GlobalPharma Affiliates and the Service Provider and/or the Service Provider's Affiliates relating to the subject matter of the provision of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Allocation of Pool Percentage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portion of the pool percentage available for allocation that is specified for a Performance Category in </w:t>
            </w:r>
            <w:r>
              <w:rPr>
                <w:bCs/>
                <w:szCs w:val="22"/>
                <w:lang w:val="en-GB" w:eastAsia="de-CH"/>
              </w:rPr>
              <w:t>Attachment 3-A</w:t>
            </w:r>
            <w:r>
              <w:rPr>
                <w:szCs w:val="22"/>
                <w:lang w:val="en-GB" w:eastAsia="de-CH"/>
              </w:rPr>
              <w:t xml:space="preserve"> (Service Levels Matrix), as the same may be changed in accordance with Section 8 of Exhibit 3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Application Server(s)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Server not otherwise defined as a Utility Server.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Applications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programs and other Software (including the supporting documentation, media, on-line help facilities and tutorials) that perform user or business related information processing functions. Application Software does not include the tools, utilities, or System Software used to deliver it. Applications include database management Software.</w:t>
            </w:r>
          </w:p>
          <w:p>
            <w:pPr>
              <w:pStyle w:val="TableText"/>
              <w:spacing w:before="120" w:after="120"/>
              <w:rPr>
                <w:lang w:val="en-GB"/>
              </w:rPr>
            </w:pPr>
            <w:r>
              <w:rPr>
                <w:lang w:val="en-GB"/>
              </w:rPr>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Applications Software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See Applications.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Applications Warranty Period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warranty period as set out in section 11.6 of the MSA pursuant to which the Service Provider warrants that Developed Materials shall be free from material errors in operation and performance, shall comply with the applicable documentation and specifications in all material respects and shall provide the functions and features and operate in the manner described in the applicable Work Order or as otherwise agreed to by the Parties.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Architecture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design, process, strategies and specification of the overall structure, logical components, and the logical interrelationships of Equipment and Software, including System Software, a Network, or other reasonably related conception.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At Risk Amount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for any month during the Term, twelve percent (12 %) of the Monthly Charges, which is the maximum amount that the Service Provider will have at risk for Service Level Credits as set forth in Attachment 3-A (Service Levels Matrix) to Exhibit 3 (Service Levels)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Attachment(s)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Attachments to the Exhibits and other attachments which form integral part of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Authorized User(s)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users of Services within and outside of GlobalPharma as designated by GlobalPharma, including, but not limited to, GlobalPharma employees, business units, vendors, customers, contractors, joint ventures, etc.</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Availability</w:t>
            </w:r>
          </w:p>
        </w:tc>
        <w:tc>
          <w:tcPr>
            <w:tcW w:w="981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980" w:leader="none"/>
              </w:tabs>
              <w:spacing w:before="120" w:after="120"/>
              <w:rPr>
                <w:lang w:val="en-GB"/>
              </w:rPr>
            </w:pPr>
            <w:r>
              <w:rPr>
                <w:lang w:val="en-GB"/>
              </w:rPr>
              <w:t xml:space="preserve">Means the actual uptime expressed as a percentage of the scheduled uptime for a particular system, Application, Software, hardware, Network or any other part of the Services (i.e., Availability % = ((actual uptime)/(scheduled uptime)) x 100%).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Base Charge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monthly fee for the provision of the Services associated with a specific Tower or sub-Tower at the number of Resource Units included within the Resource Zurichine for the applicable month as set out in Exhibit 4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Base Charges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The sum of each individual Base Charge.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Benchmarked Companies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statistically representative panel of companies as described in section 8.10 para. 1 of the MSA used for the Benchmarking Process.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Benchmarker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independent third party selected from the list of pre-approved benchmarked service providers as described in section 8.10 para. 3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Benchmarking Adjustment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adjustment made by agreement as specified in section 8.10, para. 7 of the MSA during the Determination Period in case of a Benchmarking Condition.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Benchmarking Condition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result of the Benchmarking Process revealing that the Services, the Service Level or the pricing for the Services are not competitive as specified in section 8.10 para. 5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Benchmarking Process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objective measurement and comparison process to measure the quality and cost effectiveness of the services as specified in section 8.10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Benchmarking Report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final report by the Benchmarker that summarises the results of the Benchmarking Process.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Business Continuity (Services)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overall, company-wide plans and activities of GlobalPharma that are intended to enable continued business operation in the event of any unforeseen interruption. (For example, plans and activities to move a department or business unit to a new location in the event of a business disruption).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Call Monitoring System</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part of the telephony system package that generates the reports on call statistics.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Calls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problems, questions, or requests submitted to the Service Provider by telephone, electronically, or other means approved by GlobalPharma.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Change Control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process and procedures used to identify and implement, if necessary, any proposed or required changes to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Change Management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processes relating to planning and performing all changes in GlobalPharma’s IT environment pertaining to the Services, including changes to individual components and coordination of changes across all components. The Change Management processes will support and include checkpoints to determine any potential or required Change Control procedures.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Change of Control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change in the Control of a Party after the Effective Date.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Change Request Authorization(s)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process and any related forms required to request and authorize changes requested by Authorized Users, where such changes are within the scope of the existing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Collaborative Applications</w:t>
            </w:r>
          </w:p>
          <w:p>
            <w:pPr>
              <w:pStyle w:val="TableText"/>
              <w:spacing w:before="120" w:after="120"/>
              <w:rPr>
                <w:lang w:val="en-GB"/>
              </w:rPr>
            </w:pPr>
            <w:r>
              <w:rPr>
                <w:lang w:val="en-GB"/>
              </w:rPr>
            </w:r>
          </w:p>
        </w:tc>
        <w:tc>
          <w:tcPr>
            <w:tcW w:w="9812"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Includes Applications containing functionality to enable electronic communication and messaging; work group collaboration; information transfers; frequently asked questions (FAQs); and similar Applications that allow collaborative interaction and receipt/transfer of data and information both within and outside of GlobalPharma. Examples of current and/or future Collaborative Applications include, but are not limited to, Lotus Notes, electronic mail, calendaring, and instant messaging.</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Commencement Date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w:t>
            </w:r>
            <w:r>
              <w:rPr>
                <w:szCs w:val="22"/>
                <w:lang w:val="en-GB"/>
              </w:rPr>
              <w:t>s</w:t>
            </w:r>
            <w:r>
              <w:rPr>
                <w:rFonts w:cs="sans-serif;Times New Roman" w:ascii="sans-serif;Times New Roman" w:hAnsi="sans-serif;Times New Roman"/>
                <w:szCs w:val="22"/>
              </w:rPr>
              <w:t>tart of Pilot Phase as defined in the worksheet contained in Section 2.2 of Exhibit 21 (Transition Plan) for each country</w:t>
            </w:r>
            <w:r>
              <w:rPr>
                <w:rFonts w:cs="sans-serif;Times New Roman" w:ascii="sans-serif;Times New Roman" w:hAnsi="sans-serif;Times New Roman"/>
                <w:sz w:val="20"/>
                <w:szCs w:val="20"/>
              </w:rPr>
              <w: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Control (and its derivatives)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with regard to an entity the legal, beneficial or equitable ownership, directly or indirectly, of fifty percent (50%) or more of the capital stock (or other ownership interest, if not a corporation) of such entity ordinarily having voting rights, or the equivalent right under contract to control management decisions with regard to relevant subjects.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Corporate Compliance Bullet 5 (CC5)</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ethical rules and associated processes which GlobalPharma applies as criteria for supplier selection and auditing for compliance.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Affected Personnel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limited number of Affected Personnel who are believed to be critical in the transition and initial provision of the Services by the Service Provider.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Deliverables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 xml:space="preserve">Means those deliverables performed on a one-time or periodic basis, for which a Deliverable Credit shall be payable to GlobalPharma in accordance with Exhibit 3 (Service Levels) and the Attachments thereto, notably Attachment 3-A (Service Level Matrix) and 3-C (Critical Deliverables). Critical Deliverables are not Critical Service Levels.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Events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events as specified in Exhibit 19 of the MSA that allow GlobalPharma to terminate The Agreements for cause at no additional costs and with no cure period.</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Service Level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those Service Levels specified in Exhibit 3 and the Attachments thereto, notably </w:t>
            </w:r>
            <w:r>
              <w:rPr>
                <w:bCs/>
                <w:szCs w:val="22"/>
                <w:lang w:val="en-GB" w:eastAsia="de-CH"/>
              </w:rPr>
              <w:t>Attachment 3-A</w:t>
            </w:r>
            <w:r>
              <w:rPr>
                <w:szCs w:val="22"/>
                <w:lang w:val="en-GB" w:eastAsia="de-CH"/>
              </w:rPr>
              <w:t xml:space="preserve"> (Service Levels Matrix) and Attachment 3-B as “Critical Service Levels” (as such classification may be changed in accordance with Section 8 of Exhibit 3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Systems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Critical systems comprise all software tools that are used by the Service Provider and are vital for the Service delivery to GlobalPharma according to the Agreement.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Cross Functional Services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Services as described in Exhibit 2.1 (Cross Functional – General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Current Projects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current projects as defined in Exhibit 9 to the MSA.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Deliverable Credits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Means the monetary amounts that the Service Provider will pay to GlobalPharma (or apply against Monthly Charges) in the event of a failure to achieve a Critical Deliverable as specified in Attachment 3-A (Service Levels Matrix).</w:t>
            </w:r>
            <w:r>
              <w:rPr>
                <w:bCs/>
                <w:szCs w:val="22"/>
                <w:lang w:val="en-GB" w:eastAsia="de-CH"/>
              </w:rPr>
            </w:r>
            <w:r>
              <w:rPr>
                <w:szCs w:val="22"/>
                <w:lang w:val="en-GB" w:eastAsia="de-CH"/>
              </w:rPr>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Derivative Work</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work based on one or more pre-existing works, including without limitation, condensation, transformation, expansion or adaption, which if prepared without authorization of the owner of the copyright of such pre-existing work would constitute a copyright infringement.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Determination Period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period as specified in section 8.10, 7. of the MSA during which the Parties seek an adjustment by agreement of the Services, Service Levels or pricing of the services in case of a Benchmarking Condition.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Developed Materials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developed under The Agreements as specified in section 7 of the MSA including Type I, Type II, Type III and Type IV Materials.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Digital Inward Dialing (DID)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Represents a number that can be reached from outside of the organization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Digital Signal-3 (DS3)</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a digital signal with a data rate for this type of signal of 44.736 Mbit/s.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Disaster Recovery (Services)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specific activities related to continue provisioning of the Services in the event of an unforeseen interruption. The Disaster Recovery activities include support and coordination with the Business Continuity activities.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Disaster Recovery Plan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plans to execute Disaster Recovery Services as set out in Exhibit 16 to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Downtime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time that a particular System, Application, Software, Hardware, Network or any other part of the Services is not available for rendering Services during the Measurement Window.</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Earnback</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methodology used to determine the potential elimination of a Service Credit as described in Section 7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Effective Date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17 January 2007.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18 Months Extension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extension of the Term of The Agreements for a period designated by GlobalPharma of up to 18 months as specified in section 2.3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E-invoice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An e-invoice means a bill converted to a predefined format, which is transmitted to the business partner electronically via the internet or a wide area network and can be read directly into the receivers accounting systems.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 Invoice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An electronic invoice means a bill converted to an image which is transmitted to the business partner electronically via the internet or a wide area network.</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 Procurement System (e-pro)</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front end procurement system which interfaces with SAP and facilitates the procurement process including purchase requisitions, ordering from catalogs. Current system used is Ariba.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Electronic-Requisition for X (e-RFX; X can stand for P for Proposal, I for Information, Q for Quotation)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tool and process that facilitates competitive bidding processes between GlobalPharma and supply market.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Equipment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computer, telecommunications, and Facility-related hardware, equipment and peripherals (i) owned or leased by GlobalPharma and/or its Affiliates or the Service Provider and/or its Affiliates and (ii) used by either the Service Provider or Authorized Users in conjunction with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Escrow Material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material put in escrow pursuant to the Escrow Agreement as defined in section 17.5 and Exhibit 36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Exhibit(s)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Shall mean the Exhibits to the MSA, SLA and LSLA's which form integral part of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bCs/>
                <w:lang w:val="en-GB"/>
              </w:rPr>
              <w:t>Expected Service Level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desired level of performance for a Service Level, as initially set forth in Attachment 3-A (Service Levels Matrix) for the Service Levels at the Effective Date, and as the same may be changed in accordance with Section 8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Expiration Date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ending date of the original Term or subsequent Term.</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Extraordinary Event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significant change in GlobalPharma’s business (for example, acquisitions, divestitures, general business downturn, etc.) which increases or decreases GlobalPharma’s utilization of any billable Resource Unit, based on Exhibit 4 - Pricing Forms Section 4 - ARC's and RRcs, by increasing more than 70 % or  decreasing more than 40 %, and such changes persist or are expected to continue for three (3) or more months.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Facilities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facilities where Services are provided.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Fees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all Service Provider charges including for example, Base Charges, One-Time Charges, ARCs/RRCs, COLA adjustments, incidental allowable expenses etc.</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Findings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findings of the arbiter expert as described in section 8.10 para. 7.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Or “Full Time Equivalent”, means a level of effort on specific tasks or projects expended by an employee or contractor, which contemplates an allocation of their time over various work efforts.  That is, it acknowledges that an individual may work part-time or spend time on various In-scope or out-of-scope activities.  A reasonable amount of overtime is included in the quantification of exempt labour allocated across multiple areas.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FTP</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Or “Full Time Person”, means a level of effort, excluding vacation and other non-productive time (but including a reasonable amount of overtime), equivalent to that which one person working full time would provide.  Without prior written approval, one individual’s total effort cannot amount to more than 1 FTP.</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ServicePro</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ServicePro International SaRl, 25 Avenue de la Liberté, L-1930 Luxembourg.</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Go Live Date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w:t>
            </w:r>
            <w:r>
              <w:rPr>
                <w:szCs w:val="22"/>
                <w:lang w:val="en-GB"/>
              </w:rPr>
              <w:t>the s</w:t>
            </w:r>
            <w:r>
              <w:rPr>
                <w:rFonts w:cs="sans-serif;Times New Roman" w:ascii="sans-serif;Times New Roman" w:hAnsi="sans-serif;Times New Roman"/>
                <w:szCs w:val="22"/>
              </w:rPr>
              <w:t>tart of Production Phase as defined in the worksheet contained in Section 2.2 of Exhibit 21 (Transition Plan) for each country.</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Help Desk</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facilities, associated technologies, and fully trained staff who respond to Calls, coordinate all Problem Management and Request Management activities, and act as a single point of contact for Authorized Users in regard to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Including (and its derivatives, such as "include" and "includes")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including without limitation.  This term is as defined, whether or not capitalized in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In-scope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those services which are defined in the The Agreements and in Exhibit 2  (Statement of Work) and subordinate Exhibits 2.1 through 2.8 and other services defined in the Agreements necessary to provide such services, and, by extension, the GlobalPharma personnel currently performing such services and the GlobalPharma costs included in the GlobalPharma Base Case related to such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Intermediate Document (IDOC)</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electronic documents exchanged between two or more SAP systems.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Key Measurements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Means those Service Levels that are not Critical Service Levels at the relevant time.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Key Milestone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determined dates and deliverables on the critical path of a project or plan to provide effective project/plan monitoring and control.</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Key Service Provider Personnel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limited number of personnel or positions in the Service Provider organization that GlobalPharma designates as being critical in the provision of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Level 1 Support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support that is provided as the entry point for inquiries or problem reports from Authorized Users. If Level 1 personnel cannot resolve the inquiry or problem, the inquiry or problem is directed to the appropriate Level 2 personnel or Third Party for resolution.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Level 2 Support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support that serves as a consolidation point for inquiries and problems between Level 1 and Level 3.  For example, Level 2 support might exist in a computer operations or a distribution/mail out centre. If Level 2 personnel cannot resolve the inquiry or problem, the inquiry or problem is directed to the appropriate Level 3 personnel or Third Party for resolution.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Level 3 Support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support provided by the personnel or Third Party that is most knowledgeable about the underlying problem or question and is utilized when efforts to resolve the problem or question by Level 1 and Level 2 Support have failed or are bypassed. Inquiries or problems are usually reported by Level 1 or Level 2 support personnel, but may be initiated directly by Authorized Users or the Service Provider.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Local Area Network (LAN)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computer network covering connection within a local area, like an office or a group of buildings.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Local Service Level Agreement(s) (LSLA'(s))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Local Service Level Agreement(s) attached to the MSA and as updated from time to time.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Master Service Agreement (MSA)</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Master Service Agreement between GlobalPharma and Service ServicePro.</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Materials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IP rights and know-how including patents, trademarks, trade names, designs, logos, copyrights, domain names, trade secrets, software, programs, program listings, programming tools, methodology, user manuals, reports, drawings, and other written documentation and machine-readable text and files, whether registered or not.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Maximum Tolerable Downtime (MTO)</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Maximum Tolerable Downtime indicates the time period for which a process or toll can be accepted to be unavailable.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Measurement Window</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time during, or frequency by, which a Service Level shall be measured.  The Measurement Window will exclude GlobalPharma approved scheduled maintenance.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Minimum Service Level(s)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minimum level of performance for a Service Level, as initially set forth in </w:t>
            </w:r>
            <w:r>
              <w:rPr>
                <w:bCs/>
                <w:szCs w:val="22"/>
                <w:lang w:val="en-GB" w:eastAsia="de-CH"/>
              </w:rPr>
              <w:t>Attachment 3-A</w:t>
            </w:r>
            <w:r>
              <w:rPr>
                <w:szCs w:val="22"/>
                <w:lang w:val="en-GB" w:eastAsia="de-CH"/>
              </w:rPr>
              <w:t xml:space="preserve"> (Service Levels Matrix) for the Service Levels at the Effective Date, and as the same may be changed in accordance with Section 8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MultiProtocol Label Switching (MPLS)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data-carrying mechanism which emulated some properties of a circuit-switched network over a packet-switched network.</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Network</w:t>
            </w:r>
          </w:p>
        </w:tc>
        <w:tc>
          <w:tcPr>
            <w:tcW w:w="9812"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Means collectively, GlobalPharma’s WAN and LAN's..</w:t>
            </w:r>
          </w:p>
          <w:p>
            <w:pPr>
              <w:pStyle w:val="TableText"/>
              <w:spacing w:before="120" w:after="120"/>
              <w:rPr>
                <w:lang w:val="en-GB"/>
              </w:rPr>
            </w:pPr>
            <w:r>
              <w:rPr>
                <w:lang w:val="en-GB"/>
              </w:rPr>
              <w:t>(Individually “a Network;” for example, “WAN” or “LAN”).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Neutral Rate Band</w:t>
            </w:r>
          </w:p>
        </w:tc>
        <w:tc>
          <w:tcPr>
            <w:tcW w:w="9812"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lang w:val="en-GB"/>
              </w:rPr>
              <w:t>Means a limit either positive or negative which is measured as a percentage. The percentage is calculated by taking the FTAs for the current month divided by the total FTAs from the original Resource Zurichine as defined in Exhibit 4-C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New Services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additional services that are materially different from the Services and not included within the Agreement, and are designated as such in accordance with Change Control procedures.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Nine Month Measurement Period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nine consecutive Months of measurements immediately preceding the Month in which DB provided written notice to the Service Provider to establish a Service Level in accordance with Section 8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GlobalPharma Ltd, Bahnhofstrasse 10, 4056 Zurich, a Swiss corporation.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Contract Executive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Persons(s) to be designed by GlobalPharma to act as executive of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Data</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information entered into Software or Equipment by or on behalf of GlobalPharma and/or its Affiliates , as well as information derived from this information, including any such information as stored in or processed through Equipment or Software.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Information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all information, in any form, furnished or made available directly or indirectly to the Service Provider by GlobalPharma, its Affiliates or Authorized Users or otherwise obtained by the Service Provider from GlobalPharma, its Affiliates or Authorized Users. GlobalPharma Information includes GlobalPharma confidential information, GlobalPharma Materials and GlobalPharma Data.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IP rights and know-how</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intellectual property rights and know-how as defined in section 7.1 of the MSA.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One-Year-Extensions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extension(s) of the of the Term of The Agreements for up to two additional successive periods after of up to one year as specified in section 2.3 of the MSA (after the 18 Months Extension).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One-Time Charges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fees that are specified by the Service Provider which are non-recurring and are typically associated with start-up and implementation costs.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Out-of-Pocket Expenses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reasonable and actual out-of-pocket expenses incurred by the Service Provider for Equipment, materials, supplies or other Services provided to GlobalPharma, but not including the Service Provider's overhead costs, administrative expenses or other mark-ups.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Party (Parties)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Service Provider (ServicePro) and/or GlobalPharma.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Pass Through Expense(s)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expenses as defined in Exhibit 4 (Pricing and Financial Provisions) to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Performance Category</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a grouping of Critical Service Levels as set forth in </w:t>
            </w:r>
            <w:r>
              <w:rPr>
                <w:bCs/>
                <w:szCs w:val="22"/>
                <w:lang w:val="en-GB" w:eastAsia="de-CH"/>
              </w:rPr>
              <w:t>Attachment 3-A</w:t>
            </w:r>
            <w:r>
              <w:rPr>
                <w:szCs w:val="22"/>
                <w:lang w:val="en-GB" w:eastAsia="de-CH"/>
              </w:rPr>
              <w:t xml:space="preserve"> (Service Levels Matrix), as such groupings may be changed in accordance with Section 8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Performance Credit(s)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 amount of payment withheld from payment to the Service Provider as a result of a Service Level.</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Planned Projects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projects as defined in Exhibit 9 to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Point-of-Presence (POP)</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 artificial demarcation point or interface point between communications entities.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Policy and Procedures Manual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manual developed and updated by Service Provider that describes how the Parties will work together and how the Services will be delivered as specified in section 8.5 of the MSA and Exhibit 6-B.</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Pool Percentage Available for Allocation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eastAsia="de-CH"/>
              </w:rPr>
              <w:t>Means the sum of the allocations of pool percentage for all the Performance Categories which shall equal 350 percent.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Price Delivery Note (PDN)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Price Delivery Note is created and printed when the order is captured in the system. The PDN is a picking list that goes with the driver and is delivered to the customer along with the goods ordered. The driver collects the cash or check upon delivery of the goods and the customer signs the PDN making it the proof of delivery.</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Problem Management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process of tracking and managing all problems arising in GlobalPharma’s information technology (IT) environment, and resolving those problems arising from or related to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Procurement Catalogue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list of EUC Equipment and Software that are the approved products for purchase or lease by Authorized Users for new deployments.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Public Company Accounting Oversight Board (PCAOB)</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Corporation created by the Sarbanes Oxley Act to oversee the auditors of public companies in order to protect the interests of investors and further the public interest in the preparation of informative, fair, and independent audit reports.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Point Objective (RPO)</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Point Objective describes the point in time at which data must be restored in order to successfully resume processing. This is the time between last backup and when outage occurred.</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Time Objective (RTO)</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Time Objective indicates the latest point in time at which the business operations must resume after disaster; it is determined based on the acceptable downtime.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Reduced Resource Credit (RRC)</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a credit (subtraction) from the Base Charge for reduced utilization of a Resource Unit below the Resource Zurichine, and any Neutral Rate Band, for the applicable month.</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Remediation Period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period as specified in section 8.10 para. 7.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Request for Proposal (RFP)</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Request for Proposal issued by GlobalPharma and includes the documents comprising the request, including the Term Sheet, exhibits, attachments, appendices, and instructions.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Request Management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process of tracking and managing all requests from Authorized Users arising in GlobalPharma’s information technology (IT) environment, and resolving those requests arising from or related to the Services.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Required Consent(s)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all consents required to implement any transfer of assets or to secure any rights of use of, or access to, any assets required by the Service Provider in providing the Services, including Equipment, Software or Third Party Contracts.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Resource Zurichine(s)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 xml:space="preserve">Means the estimated volume of Resource Units that will be required and utilized by GlobalPharma during the Term as defined in Exhibit 4 and the Attachments thereto (in particular Attachment 4-D).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Resource Unit(s)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measurable device, unit of consumption, staffing level, or other resource that is associated with the Services for a particular Tower or sub-Tower and is utilized as a volume measure and for pricing purposes.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Retained Expense(s)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Means the expense types or amounts retained by GlobalPharma as set out in Attachment 4-C (Financial Base Case)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Secure Sockets Layer (SSL)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cryptographic protocol which provides secure communications on the Internet.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Server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computer that provides shared processing or resources (e.g., printer, fax, Application processing, database, mail, proxy, firewalls, and backup capabilities) to Authorized Users or other computers over the Network.  A Server includes associated peripherals (e.g., local storage devices, attachments to centralized storage, monitor, keyboard, pointing device, tape drives and external disk arrays) and is identified by a unique manufacturer’s serial number.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Level Agreement(s) (SLA's)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service levels and the mechanism to baseline and mesure them as described in Exhibit 3 and the Attachments thereto.</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Level Credit</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monetary amount(s) that the Service Provider shall be obligated to pay to GlobalPharma (or apply against Monthly Charges) in the event of a Service Level Default, subject to Earnback.</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Level Credit Allocation Percentage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szCs w:val="22"/>
                <w:lang w:val="en-GB" w:eastAsia="de-CH"/>
              </w:rPr>
              <w:t xml:space="preserve">Means the percentage of the allocation of pool percentage allocated to a Critical Service Level within a Performance Category as set forth in </w:t>
            </w:r>
            <w:r>
              <w:rPr>
                <w:bCs/>
                <w:szCs w:val="22"/>
                <w:lang w:val="en-GB" w:eastAsia="de-CH"/>
              </w:rPr>
              <w:t>Attachment 3-A</w:t>
            </w:r>
            <w:r>
              <w:rPr>
                <w:szCs w:val="22"/>
                <w:lang w:val="en-GB" w:eastAsia="de-CH"/>
              </w:rPr>
              <w:t xml:space="preserve"> (Service Levels Matrix), as the same may be changed in accordance with Section 8 of this </w:t>
            </w:r>
            <w:r>
              <w:rPr>
                <w:bCs/>
                <w:szCs w:val="22"/>
                <w:lang w:val="en-GB" w:eastAsia="de-CH"/>
              </w:rPr>
              <w:t>Exhibit 3</w:t>
            </w:r>
            <w:r>
              <w:rPr>
                <w:szCs w:val="22"/>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Level Default</w:t>
            </w:r>
          </w:p>
        </w:tc>
        <w:tc>
          <w:tcPr>
            <w:tcW w:w="9812"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eastAsia="de-CH"/>
              </w:rPr>
            </w:pPr>
            <w:r>
              <w:rPr>
                <w:szCs w:val="22"/>
                <w:lang w:val="en-GB" w:eastAsia="de-CH"/>
              </w:rPr>
              <w:t>Means in respect of each Critical Service Level:</w:t>
            </w:r>
          </w:p>
          <w:p>
            <w:pPr>
              <w:pStyle w:val="Normal"/>
              <w:autoSpaceDE w:val="false"/>
              <w:ind w:hanging="482" w:start="482" w:end="0"/>
              <w:rPr>
                <w:szCs w:val="22"/>
                <w:lang w:val="en-GB" w:eastAsia="de-CH"/>
              </w:rPr>
            </w:pPr>
            <w:r>
              <w:rPr>
                <w:szCs w:val="22"/>
                <w:lang w:val="en-GB" w:eastAsia="de-CH"/>
              </w:rPr>
              <w:t>(i)</w:t>
              <w:tab/>
              <w:t>Any failure to meet a Minimum Service Level; or</w:t>
            </w:r>
          </w:p>
          <w:p>
            <w:pPr>
              <w:pStyle w:val="Normal"/>
              <w:autoSpaceDE w:val="false"/>
              <w:ind w:hanging="482" w:start="482" w:end="0"/>
              <w:rPr>
                <w:szCs w:val="22"/>
                <w:lang w:val="en-GB" w:eastAsia="de-CH"/>
              </w:rPr>
            </w:pPr>
            <w:r>
              <w:rPr>
                <w:szCs w:val="22"/>
                <w:lang w:val="en-GB" w:eastAsia="de-CH"/>
              </w:rPr>
              <w:t>(ii)</w:t>
              <w:tab/>
              <w:t>A failure to meet an Expected Service Level, while each time meeting the Minimum Service level, on four (4) or more occasions in the twelve (12) month period comprising the current month and the preceding eleven (11) months; or</w:t>
            </w:r>
          </w:p>
          <w:p>
            <w:pPr>
              <w:pStyle w:val="Normal"/>
              <w:autoSpaceDE w:val="false"/>
              <w:spacing w:before="120" w:after="120"/>
              <w:rPr/>
            </w:pPr>
            <w:r>
              <w:rPr>
                <w:szCs w:val="22"/>
                <w:lang w:val="en-GB" w:eastAsia="de-CH"/>
              </w:rPr>
              <w:t>(iii)</w:t>
              <w:tab/>
              <w:t>If measurement data for the Critical Service Level is not provided to GlobalPharma by Service Provider for the relevant month in accordance with Section 4.0 (Reporting) of this Exhibit 3.</w:t>
            </w:r>
            <w:r>
              <w:rPr>
                <w:bCs/>
                <w:szCs w:val="22"/>
                <w:lang w:val="en-GB" w:eastAsia="de-CH"/>
              </w:rPr>
            </w:r>
            <w:r>
              <w:rPr>
                <w:szCs w:val="22"/>
                <w:lang w:val="en-GB" w:eastAsia="de-CH"/>
              </w:rPr>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szCs w:val="22"/>
                <w:lang w:val="en-GB" w:eastAsia="de-CH"/>
              </w:rPr>
            </w:pPr>
            <w:r>
              <w:rPr>
                <w:bCs/>
                <w:szCs w:val="22"/>
                <w:lang w:val="en-GB" w:eastAsia="de-CH"/>
              </w:rPr>
              <w:t>Service-Level Performance</w:t>
            </w:r>
          </w:p>
        </w:tc>
        <w:tc>
          <w:tcPr>
            <w:tcW w:w="9812"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eastAsia="de-CH"/>
              </w:rPr>
            </w:pPr>
            <w:r>
              <w:rPr>
                <w:szCs w:val="22"/>
                <w:lang w:val="en-GB" w:eastAsia="de-CH"/>
              </w:rPr>
              <w:t>Means, in respect of each Service Level, the Service Provider’s actual performance of the Services against such Service Level in the relevant period.</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szCs w:val="22"/>
                <w:lang w:val="en-GB" w:eastAsia="de-CH"/>
              </w:rPr>
            </w:pPr>
            <w:r>
              <w:rPr>
                <w:lang w:val="en-GB"/>
              </w:rPr>
              <w:t>Service Levels</w:t>
            </w:r>
          </w:p>
        </w:tc>
        <w:tc>
          <w:tcPr>
            <w:tcW w:w="9812"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eastAsia="de-CH"/>
              </w:rPr>
            </w:pPr>
            <w:r>
              <w:rPr>
                <w:lang w:val="en-GB" w:eastAsia="de-CH"/>
              </w:rPr>
              <w:t xml:space="preserve">Means the service levels specified in </w:t>
            </w:r>
            <w:r>
              <w:rPr>
                <w:bCs/>
                <w:lang w:val="en-GB" w:eastAsia="de-CH"/>
              </w:rPr>
              <w:t>Attachment 3-B</w:t>
            </w:r>
            <w:r>
              <w:rPr>
                <w:lang w:val="en-GB" w:eastAsia="de-CH"/>
              </w:rPr>
              <w:t xml:space="preserve"> (Service Levels) as the same may be changed in accordance with Section 8 of this </w:t>
            </w:r>
            <w:r>
              <w:rPr>
                <w:bCs/>
                <w:lang w:val="en-GB" w:eastAsia="de-CH"/>
              </w:rPr>
              <w:t>Exhibit 3</w:t>
            </w:r>
            <w:r>
              <w:rPr>
                <w:lang w:val="en-GB" w:eastAsia="de-CH"/>
              </w:rPr>
              <w:t xml:space="preserve"> (Service Levels).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Provider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ServicePro.</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Provider IP Rights and Know-how</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intellectual property rights and know-how as defined in section 7.2 of the MSA.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services as set forth in The Agreements in particular in section 3.1 of the MSA, the Statement of Work and subordinate Exhibits and other services necessary to provide such services.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Severity Level</w:t>
            </w:r>
          </w:p>
        </w:tc>
        <w:tc>
          <w:tcPr>
            <w:tcW w:w="9812"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lang w:val="en-GB"/>
              </w:rPr>
              <w:t>Means the categorization of a problem associated with the Services based on the potential impact of the problem to GlobalPharma, and as further defined in Attachment 3-F (Severity Levels) to Exhibit 3 (Service Levels)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Site(s)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GlobalPharma and Service Provider locations where the Services will be performed or delivered as specified in Exhibit 7 (Sites) of the MSA and as may change during the Term.</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bCs/>
                <w:szCs w:val="22"/>
                <w:lang w:val="en-GB" w:eastAsia="de-CH"/>
              </w:rPr>
              <w:t>Six-Month Measurement Period</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eastAsia="de-CH"/>
              </w:rPr>
              <w:t>Means the six consecutive Months of measurements immediately preceding the Month in which GlobalPharma provided written notice to the Service Provider to establish a Service Level in accordance with Section 8 of this Exhibit 3 (Service Levels).</w:t>
            </w:r>
            <w:r>
              <w:rPr>
                <w:bCs/>
                <w:lang w:val="en-GB" w:eastAsia="de-CH"/>
              </w:rPr>
            </w:r>
            <w:r>
              <w:rPr>
                <w:lang w:val="en-GB" w:eastAsia="de-CH"/>
              </w:rPr>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Software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any Application Software or System Software.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Statement on Auditing Standard 70 (SAS 70)</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SAS 70 is a standard by The American Institute of Certified Public Accountants (AICPA), titled "Reports on the Processing of Transactions by Service Organizations". SAS 70 defines the professional standards used by a service auditor to assess the internal controls of a service organization and issue a service auditor's report.</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Successor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GlobalPharma or its designee.</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System(s) Software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those programs and Software, including documentation and materials, that perform tasks basic to the functioning of the computer hardware, or which are required to operate the Applications, or otherwise support the provision of Services by Service Provider.  Systems Software includes Operating Software, systems utilities, and any other Software not designated as Applications.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T-carrier 1</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leased line type used in the US with the maximum capacity of 1.544 Mbit/s.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term of the The Agreements as specified in section 2.2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Termination/Expiration Assistance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Means the assistance as described in Exhibit 18 of the MSA the Service Provider will provide to the Successor in order to allow the Services to continue without interruption or adverse effect and to facilitate the orderly transfer of the Services to the Successor.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Termination for Cause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 xml:space="preserve">Means the termination as specified in section 16.1 of the MSA.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Termination for Change of Control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termination as specified in section 16.4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Termination for Convenience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termination as specified in section 16.3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Termination for Regulatory Change</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Means the termination as specified in section 16.2 of the MSA. </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Third Party</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legal entity, company or person(s) that is not a Party to the Agreement, and is not an Affiliate of a Party.</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Third Party Contract(s)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those agreements where a Third Party is providing products or services to GlobalPharma prior to the Effective Date that relate to or support the Services, including any licenses, leases and service contracts.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Third Party Materials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of a Third Party delivered by Service Provider to GlobalPharma under The Agreements.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Third Party Vendor(s)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Third Party that provides products or services to any Party that is related to, or are in support of, the Services. Third Party Vendors do not include subcontractors of the Service Provider.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Time Division Multiplexing (TDM)</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standard technology for voice communication.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Tower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general grouping of related Services that are described within the Statement of Work, namely General Ledger, Fixed Assets, Accounts Payable, Requisition to Pay, Order to Cash, Travel &amp; Expense and SOX.</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Transitioned Employees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GlobalPharma In-scope employees that accept an employment offer from the Service Provider or its subcontractors.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Transitioned Personnel</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GlobalPharma In-scope employees or contractors that accept an employment offer from the Service Provider or its subcontractors.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Transition Plan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plan as defined in Exhibit 21 that describes the activities the Service Provider's activities regarding transition.</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Type I Materials </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as specified in section 7.3 of the MSA and in the IP Rights Listing of the Statement of Work (Exhibit 2.1 - 2.8).</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Type II Materials </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specified in section 7.3 of the MSA and in the IP Rights Listing of the Statement of Work (Exhibit 2.1 - 2.8).</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Type III Materials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specified in section 7.3 of the MSA and in the IP Rights Listing of the Statement of Work (Exhibit 2.1- 2.8).</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Type IV Materials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the Materials as specified in section 7.3 of the MSA and in the IP Rights Listing of the Statement of Work (Exhibit 2.1 - 2.8).</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color w:val="000000"/>
                <w:szCs w:val="22"/>
                <w:lang w:val="en-GB" w:eastAsia="de-CH"/>
              </w:rPr>
            </w:pPr>
            <w:r>
              <w:rPr>
                <w:bCs/>
                <w:color w:val="000000"/>
                <w:szCs w:val="22"/>
                <w:lang w:val="en-GB" w:eastAsia="de-CH"/>
              </w:rPr>
              <w:t>Unrelieved Service Credits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szCs w:val="22"/>
                <w:lang w:val="en-GB" w:eastAsia="de-CH"/>
              </w:rPr>
            </w:pPr>
            <w:r>
              <w:rPr>
                <w:szCs w:val="22"/>
                <w:lang w:val="en-GB" w:eastAsia="de-CH"/>
              </w:rPr>
              <w:t>Means those Service Credits that are not eliminated via Earnback.</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Virtual Privat Network (VPN)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private communications network used within a company, or by several companies or organizations, to communicate confidentially over a non-private network. VPN traffic can be carried over a public networking infrastructure (e.g. the Internet) on top of standard protocols, or over a service provider's private network with a defined Service Level Agreement (SLA) between the VPN customer and the VPN service provider.</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Viruses</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viruses as defined in section 11.11 of the MSA.</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Wide Area Network (WAN)</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network connecting different sites e.g. of a company or different companies using leased telecommunication lines.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Work Order</w:t>
            </w:r>
          </w:p>
        </w:tc>
        <w:tc>
          <w:tcPr>
            <w:tcW w:w="981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a written document authorizing and describing New Services, signed by duly authorized representatives of the Parties.</w:t>
            </w:r>
          </w:p>
        </w:tc>
      </w:tr>
      <w:tr>
        <w:trPr/>
        <w:tc>
          <w:tcPr>
            <w:tcW w:w="487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Yearly Performance Average</w:t>
            </w:r>
          </w:p>
        </w:tc>
        <w:tc>
          <w:tcPr>
            <w:tcW w:w="9812"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lang w:val="en-GB" w:eastAsia="de-CH"/>
              </w:rPr>
            </w:pPr>
            <w:r>
              <w:rPr>
                <w:lang w:val="en-GB" w:eastAsia="de-CH"/>
              </w:rPr>
              <w:t>Means, with respect to each Critical Service Level for which there was a Service-Level Default during the preceding contract year, the mean of the Service Provider’s monthly performances in the Critical Service Level during the preceding contract year.</w:t>
            </w:r>
          </w:p>
        </w:tc>
      </w:tr>
    </w:tbl>
    <w:p>
      <w:pPr>
        <w:pStyle w:val="Normal"/>
        <w:spacing w:before="120" w:after="120"/>
        <w:rPr>
          <w:lang w:val="en-GB"/>
        </w:rPr>
      </w:pPr>
      <w:r>
        <w:rPr>
          <w:lang w:val="en-GB"/>
        </w:rPr>
      </w:r>
    </w:p>
    <w:sectPr>
      <w:headerReference w:type="default" r:id="rId2"/>
      <w:footerReference w:type="default" r:id="rId3"/>
      <w:type w:val="nextPage"/>
      <w:pgSz w:orient="landscape" w:w="16838" w:h="11906"/>
      <w:pgMar w:left="720" w:right="1094" w:gutter="0" w:header="720" w:top="1728" w:footer="720" w:bottom="172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sans-serif">
    <w:altName w:val="Arial"/>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r>
      <mc:AlternateContent>
        <mc:Choice Requires="wps">
          <w:drawing>
            <wp:anchor behindDoc="0" distT="0" distB="0" distL="0" distR="0" simplePos="0" locked="0" layoutInCell="0" allowOverlap="1" relativeHeight="21">
              <wp:simplePos x="0" y="0"/>
              <wp:positionH relativeFrom="page">
                <wp:posOffset>4686935</wp:posOffset>
              </wp:positionH>
              <wp:positionV relativeFrom="paragraph">
                <wp:posOffset>-14605</wp:posOffset>
              </wp:positionV>
              <wp:extent cx="734060" cy="236855"/>
              <wp:effectExtent l="0" t="0" r="0" b="0"/>
              <wp:wrapSquare wrapText="bothSides"/>
              <wp:docPr id="3" name="Frame1"/>
              <a:graphic xmlns:a="http://schemas.openxmlformats.org/drawingml/2006/main">
                <a:graphicData uri="http://schemas.microsoft.com/office/word/2010/wordprocessingShape">
                  <wps:wsp>
                    <wps:cNvSpPr txBox="1"/>
                    <wps:spPr>
                      <a:xfrm>
                        <a:off x="0" y="0"/>
                        <a:ext cx="734060" cy="236855"/>
                      </a:xfrm>
                      <a:prstGeom prst="rect"/>
                      <a:solidFill>
                        <a:srgbClr val="FFFFFF">
                          <a:alpha val="0"/>
                        </a:srgbClr>
                      </a:solidFill>
                    </wps:spPr>
                    <wps:txbx>
                      <w:txbxContent>
                        <w:p>
                          <w:pPr>
                            <w:pStyle w:val="Footer"/>
                            <w:spacing w:before="120" w:after="120"/>
                            <w:rPr>
                              <w:sz w:val="22"/>
                            </w:rPr>
                          </w:pPr>
                          <w:r>
                            <w:rPr>
                              <w:sz w:val="18"/>
                            </w:rPr>
                            <w:t xml:space="preserve">E-1  Page </w:t>
                          </w:r>
                          <w:r>
                            <w:rPr>
                              <w:sz w:val="22"/>
                            </w:rPr>
                            <w:fldChar w:fldCharType="begin"/>
                          </w:r>
                          <w:r>
                            <w:rPr>
                              <w:sz w:val="22"/>
                            </w:rPr>
                            <w:instrText xml:space="preserve"> PAGE </w:instrText>
                          </w:r>
                          <w:r>
                            <w:rPr>
                              <w:sz w:val="22"/>
                            </w:rPr>
                            <w:fldChar w:fldCharType="separate"/>
                          </w:r>
                          <w:r>
                            <w:rPr>
                              <w:sz w:val="22"/>
                            </w:rPr>
                            <w:t>20</w:t>
                          </w:r>
                          <w:r>
                            <w:rPr>
                              <w:sz w:val="22"/>
                            </w:rPr>
                            <w:fldChar w:fldCharType="end"/>
                          </w:r>
                        </w:p>
                      </w:txbxContent>
                    </wps:txbx>
                    <wps:bodyPr anchor="t" lIns="0" tIns="0" rIns="0" bIns="0">
                      <a:noAutofit/>
                    </wps:bodyPr>
                  </wps:wsp>
                </a:graphicData>
              </a:graphic>
            </wp:anchor>
          </w:drawing>
        </mc:Choice>
        <mc:Fallback>
          <w:pict>
            <v:rect fillcolor="#FFFFFF" style="position:absolute;rotation:-0;width:57.8pt;height:18.65pt;mso-wrap-distance-left:0pt;mso-wrap-distance-right:0pt;mso-wrap-distance-top:0pt;mso-wrap-distance-bottom:0pt;margin-top:-1.15pt;mso-position-vertical-relative:text;margin-left:369.05pt;mso-position-horizontal-relative:page">
              <v:fill opacity="0f"/>
              <v:textbox inset="0in,0in,0in,0in">
                <w:txbxContent>
                  <w:p>
                    <w:pPr>
                      <w:pStyle w:val="Footer"/>
                      <w:spacing w:before="120" w:after="120"/>
                      <w:rPr>
                        <w:sz w:val="22"/>
                      </w:rPr>
                    </w:pPr>
                    <w:r>
                      <w:rPr>
                        <w:sz w:val="18"/>
                      </w:rPr>
                      <w:t xml:space="preserve">E-1  Page </w:t>
                    </w:r>
                    <w:r>
                      <w:rPr>
                        <w:sz w:val="22"/>
                      </w:rPr>
                      <w:fldChar w:fldCharType="begin"/>
                    </w:r>
                    <w:r>
                      <w:rPr>
                        <w:sz w:val="22"/>
                      </w:rPr>
                      <w:instrText xml:space="preserve"> PAGE </w:instrText>
                    </w:r>
                    <w:r>
                      <w:rPr>
                        <w:sz w:val="22"/>
                      </w:rPr>
                      <w:fldChar w:fldCharType="separate"/>
                    </w:r>
                    <w:r>
                      <w:rPr>
                        <w:sz w:val="22"/>
                      </w:rPr>
                      <w:t>20</w:t>
                    </w:r>
                    <w:r>
                      <w:rPr>
                        <w:sz w:val="22"/>
                      </w:rPr>
                      <w:fldChar w:fldCharType="end"/>
                    </w:r>
                  </w:p>
                </w:txbxContent>
              </v:textbox>
              <w10:wrap type="square"/>
            </v:rect>
          </w:pict>
        </mc:Fallback>
      </mc:AlternateContent>
    </w:r>
  </w:p>
  <w:p>
    <w:pPr>
      <w:pStyle w:val="Footer"/>
      <w:rPr/>
    </w:pPr>
    <w:r>
      <w:rPr/>
    </w:r>
  </w:p>
  <w:p>
    <w:pPr>
      <w:pStyle w:val="Footer"/>
      <w:tabs>
        <w:tab w:val="clear" w:pos="4320"/>
        <w:tab w:val="clear" w:pos="8640"/>
        <w:tab w:val="right" w:pos="14940" w:leader="none"/>
      </w:tabs>
      <w:spacing w:before="120" w:after="120"/>
      <w:rPr/>
    </w:pPr>
    <w:r>
      <w:rPr>
        <w:i/>
        <w:sz w:val="18"/>
        <w:szCs w:val="18"/>
      </w:rPr>
      <w:t>GlobalPharma</w:t>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4940" w:leader="none"/>
      </w:tabs>
      <w:spacing w:before="120" w:after="120"/>
      <w:rPr/>
    </w:pPr>
    <w:r>
      <w:drawing>
        <wp:anchor behindDoc="1" distT="0" distB="0" distL="114935" distR="114935" simplePos="0" locked="0" layoutInCell="1" allowOverlap="1" relativeHeight="61">
          <wp:simplePos x="0" y="0"/>
          <wp:positionH relativeFrom="column">
            <wp:posOffset>8524875</wp:posOffset>
          </wp:positionH>
          <wp:positionV relativeFrom="paragraph">
            <wp:posOffset>-26670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Absatz-Standardschriftart">
    <w:name w:val="Absatz-Standardschriftart"/>
    <w:qFormat/>
    <w:rPr/>
  </w:style>
  <w:style w:type="character" w:styleId="PageNumber">
    <w:name w:val="page number"/>
    <w:basedOn w:val="Absatz-Standardschriftar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4"/>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Sprechblasentext">
    <w:name w:val="Sprechblasentext"/>
    <w:basedOn w:val="Normal"/>
    <w:qFormat/>
    <w:pPr/>
    <w:rPr>
      <w:rFonts w:ascii="Tahoma" w:hAnsi="Tahoma" w:cs="Tahoma"/>
      <w:sz w:val="16"/>
      <w:szCs w:val="16"/>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6"/>
      </w:numPr>
    </w:pPr>
    <w:rPr>
      <w:bCs/>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2007-01-30T12:46:00Z</dcterms:created>
  <dc:creator>TPI</dc:creator>
  <dc:description>RFP8 Exhibit 1 (A4). Contains details of definitions in TPI's generic Request for Proposal (RFP).
Version 1 - 110402</dc:description>
  <dc:language>en-US</dc:language>
  <cp:lastModifiedBy>Wenger Plattner</cp:lastModifiedBy>
  <cp:lastPrinted>2007-01-29T19:08:00Z</cp:lastPrinted>
  <dcterms:modified xsi:type="dcterms:W3CDTF">2007-01-30T12:46:00Z</dcterms:modified>
  <cp:revision>2</cp:revision>
  <dc:subject/>
  <dc:title>RFP8 Exhibit 1 Definitions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Released</vt:lpwstr>
  </property>
</Properties>
</file>