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rStyle w:val="CharChar"/>
          <w:rFonts w:ascii="Arial" w:hAnsi="Arial" w:cs="Arial"/>
          <w:sz w:val="36"/>
          <w:szCs w:val="36"/>
        </w:rPr>
      </w:pPr>
      <w:bookmarkStart w:id="0" w:name="__RefHeading___Toc157779097"/>
      <w:bookmarkEnd w:id="0"/>
      <w:r>
        <w:rPr>
          <w:rStyle w:val="CharChar"/>
          <w:rFonts w:cs="Arial" w:ascii="Arial" w:hAnsi="Arial"/>
          <w:b/>
          <w:bCs/>
          <w:caps/>
          <w:sz w:val="36"/>
          <w:szCs w:val="36"/>
        </w:rPr>
        <w:t>GlobalPharma</w:t>
      </w:r>
    </w:p>
    <w:p>
      <w:pPr>
        <w:pStyle w:val="Titel"/>
        <w:rPr>
          <w:rStyle w:val="CharChar"/>
          <w:rFonts w:ascii="Arial" w:hAnsi="Arial" w:cs="Arial"/>
          <w:sz w:val="36"/>
          <w:szCs w:val="36"/>
        </w:rPr>
      </w:pPr>
      <w:r>
        <w:rPr/>
      </w:r>
    </w:p>
    <w:p>
      <w:pPr>
        <w:pStyle w:val="Titel"/>
        <w:rPr>
          <w:rStyle w:val="CharChar"/>
          <w:rFonts w:ascii="Arial" w:hAnsi="Arial" w:cs="Arial"/>
          <w:sz w:val="36"/>
          <w:szCs w:val="36"/>
        </w:rPr>
      </w:pPr>
      <w:bookmarkStart w:id="1" w:name="__RefHeading___Toc157779098"/>
      <w:bookmarkEnd w:id="1"/>
      <w:r>
        <w:rPr>
          <w:rStyle w:val="CharChar"/>
          <w:rFonts w:cs="Arial" w:ascii="Arial" w:hAnsi="Arial"/>
          <w:b/>
          <w:bCs/>
          <w:caps/>
          <w:sz w:val="36"/>
          <w:szCs w:val="36"/>
        </w:rPr>
        <w:t>Exhibit 13</w:t>
      </w:r>
    </w:p>
    <w:p>
      <w:pPr>
        <w:pStyle w:val="Titel"/>
        <w:rPr>
          <w:rStyle w:val="CharChar"/>
          <w:rFonts w:ascii="Arial" w:hAnsi="Arial" w:cs="Arial"/>
          <w:sz w:val="36"/>
          <w:szCs w:val="36"/>
        </w:rPr>
      </w:pPr>
      <w:bookmarkStart w:id="2" w:name="__RefHeading___Toc157779099"/>
      <w:bookmarkEnd w:id="2"/>
      <w:r>
        <w:rPr>
          <w:rStyle w:val="CharChar"/>
          <w:rFonts w:cs="Arial" w:ascii="Arial" w:hAnsi="Arial"/>
          <w:b/>
          <w:bCs/>
          <w:caps/>
          <w:sz w:val="36"/>
          <w:szCs w:val="36"/>
        </w:rPr>
        <w:t>Statement of work</w:t>
      </w:r>
    </w:p>
    <w:p>
      <w:pPr>
        <w:pStyle w:val="Titel"/>
        <w:rPr>
          <w:rStyle w:val="CharChar"/>
          <w:rFonts w:ascii="Arial" w:hAnsi="Arial" w:cs="Arial"/>
          <w:sz w:val="36"/>
          <w:szCs w:val="36"/>
        </w:rPr>
      </w:pPr>
      <w:bookmarkStart w:id="3" w:name="__RefHeading___Toc157779100"/>
      <w:bookmarkEnd w:id="3"/>
      <w:r>
        <w:rPr>
          <w:rStyle w:val="CharChar"/>
          <w:rFonts w:cs="Arial" w:ascii="Arial" w:hAnsi="Arial"/>
          <w:b/>
          <w:bCs/>
          <w:caps/>
          <w:sz w:val="36"/>
          <w:szCs w:val="36"/>
        </w:rPr>
        <w:t>Reports</w:t>
      </w:r>
    </w:p>
    <w:p>
      <w:pPr>
        <w:pStyle w:val="Titel"/>
        <w:rPr>
          <w:rStyle w:val="CharChar"/>
          <w:rFonts w:ascii="Arial" w:hAnsi="Arial" w:cs="Arial"/>
          <w:sz w:val="36"/>
          <w:szCs w:val="36"/>
        </w:rPr>
      </w:pPr>
      <w:r>
        <w:rPr/>
      </w:r>
    </w:p>
    <w:p>
      <w:pPr>
        <w:pStyle w:val="Titel"/>
        <w:rPr>
          <w:rStyle w:val="CharChar"/>
          <w:rFonts w:ascii="Arial" w:hAnsi="Arial" w:cs="Arial"/>
          <w:sz w:val="36"/>
          <w:szCs w:val="36"/>
        </w:rPr>
      </w:pPr>
      <w:r>
        <w:rPr/>
      </w:r>
    </w:p>
    <w:p>
      <w:pPr>
        <w:pStyle w:val="Norma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tbl>
      <w:tblPr>
        <w:tblW w:w="10260" w:type="dxa"/>
        <w:jc w:val="start"/>
        <w:tblInd w:w="288" w:type="dxa"/>
        <w:tblLayout w:type="fixed"/>
        <w:tblCellMar>
          <w:top w:w="0" w:type="dxa"/>
          <w:start w:w="108" w:type="dxa"/>
          <w:bottom w:w="0" w:type="dxa"/>
          <w:end w:w="108" w:type="dxa"/>
        </w:tblCellMar>
      </w:tblPr>
      <w:tblGrid>
        <w:gridCol w:w="10260"/>
      </w:tblGrid>
      <w:tr>
        <w:trPr/>
        <w:tc>
          <w:tcPr>
            <w:tcW w:w="1026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before="120" w:after="120"/>
              <w:ind w:start="72" w:end="0"/>
              <w:jc w:val="both"/>
              <w:rPr/>
            </w:pPr>
            <w:r>
              <w:rPr/>
            </w:r>
          </w:p>
          <w:p>
            <w:pPr>
              <w:pStyle w:val="Normal"/>
              <w:ind w:start="72" w:end="0"/>
              <w:jc w:val="both"/>
              <w:rPr/>
            </w:pPr>
            <w:r>
              <w:rPr>
                <w:rFonts w:cs="Arial" w:ascii="Arial" w:hAnsi="Arial"/>
                <w:sz w:val="24"/>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both"/>
              <w:rPr>
                <w:rFonts w:ascii="Arial" w:hAnsi="Arial" w:cs="Arial"/>
                <w:sz w:val="24"/>
              </w:rPr>
            </w:pPr>
            <w:r>
              <w:rPr>
                <w:rFonts w:cs="Arial" w:ascii="Arial" w:hAnsi="Arial"/>
                <w:sz w:val="24"/>
              </w:rPr>
            </w:r>
          </w:p>
        </w:tc>
      </w:tr>
    </w:tbl>
    <w:p>
      <w:pPr>
        <w:pStyle w:val="Normal"/>
        <w:jc w:val="both"/>
        <w:rPr>
          <w:lang w:val="en-GB"/>
        </w:rPr>
      </w:pPr>
      <w:r>
        <w:rPr>
          <w:lang w:val="en-GB"/>
        </w:rPr>
      </w:r>
    </w:p>
    <w:p>
      <w:pPr>
        <w:pStyle w:val="Titel"/>
        <w:rPr>
          <w:lang w:val="en-GB"/>
        </w:rPr>
      </w:pPr>
      <w:r>
        <w:rPr>
          <w:lang w:val="en-GB"/>
        </w:rPr>
      </w:r>
    </w:p>
    <w:p>
      <w:pPr>
        <w:pStyle w:val="Titel"/>
        <w:rPr>
          <w:sz w:val="22"/>
          <w:szCs w:val="20"/>
        </w:rPr>
      </w:pPr>
      <w:bookmarkStart w:id="4" w:name="__RefHeading___Toc157779101"/>
      <w:bookmarkEnd w:id="4"/>
      <w:r>
        <w:rPr>
          <w:sz w:val="22"/>
          <w:szCs w:val="20"/>
        </w:rPr>
        <w:t>Table of Contents</w:t>
      </w:r>
    </w:p>
    <w:sdt>
      <w:sdtPr>
        <w:docPartObj>
          <w:docPartGallery w:val="Table of Contents"/>
          <w:docPartUnique w:val="true"/>
        </w:docPartObj>
      </w:sdtPr>
      <w:sdtContent>
        <w:p>
          <w:pPr>
            <w:pStyle w:val="TOC1"/>
            <w:tabs>
              <w:tab w:val="clear" w:pos="720"/>
              <w:tab w:val="right" w:pos="10506" w:leader="dot"/>
            </w:tabs>
            <w:rPr>
              <w:b w:val="false"/>
              <w:bCs w:val="false"/>
              <w:caps w:val="false"/>
              <w:smallCaps w:val="false"/>
              <w:sz w:val="24"/>
              <w:szCs w:val="24"/>
              <w:lang w:val="de-CH" w:eastAsia="en-US"/>
            </w:rPr>
          </w:pPr>
          <w:r>
            <w:fldChar w:fldCharType="begin"/>
          </w:r>
          <w:r>
            <w:rPr>
              <w:rStyle w:val="IndexLink"/>
              <w:smallCaps/>
              <w:kern w:val="2"/>
              <w:iCs/>
              <w:rFonts w:cs="Arial" w:ascii="Arial" w:hAnsi="Arial"/>
              <w:lang w:val="en-US" w:eastAsia="en-US"/>
            </w:rPr>
            <w:instrText xml:space="preserve"> TOC \o "1-2" \h \z </w:instrText>
          </w:r>
          <w:r>
            <w:rPr>
              <w:rStyle w:val="IndexLink"/>
              <w:smallCaps/>
              <w:kern w:val="2"/>
              <w:iCs/>
              <w:rFonts w:cs="Arial" w:ascii="Arial" w:hAnsi="Arial"/>
              <w:lang w:val="en-US" w:eastAsia="en-US"/>
            </w:rPr>
            <w:fldChar w:fldCharType="separate"/>
          </w:r>
          <w:hyperlink w:anchor="__RefHeading___Toc157779097">
            <w:r>
              <w:rPr>
                <w:rStyle w:val="IndexLink"/>
                <w:rFonts w:cs="Arial" w:ascii="Arial" w:hAnsi="Arial"/>
                <w:iCs/>
                <w:smallCaps/>
                <w:kern w:val="2"/>
                <w:lang w:val="en-US" w:eastAsia="en-US"/>
              </w:rPr>
              <w:t>Novartis Pharma</w:t>
            </w:r>
            <w:r>
              <w:rPr>
                <w:rStyle w:val="IndexLink"/>
                <w:smallCaps/>
                <w:lang w:val="en-US" w:eastAsia="en-US"/>
              </w:rPr>
              <w:tab/>
              <w:t>1</w:t>
            </w:r>
          </w:hyperlink>
        </w:p>
        <w:p>
          <w:pPr>
            <w:pStyle w:val="TOC1"/>
            <w:tabs>
              <w:tab w:val="clear" w:pos="720"/>
              <w:tab w:val="right" w:pos="10506" w:leader="dot"/>
            </w:tabs>
            <w:rPr>
              <w:b w:val="false"/>
              <w:bCs w:val="false"/>
              <w:caps w:val="false"/>
              <w:smallCaps w:val="false"/>
              <w:sz w:val="24"/>
              <w:szCs w:val="24"/>
              <w:lang w:val="de-CH" w:eastAsia="en-US"/>
            </w:rPr>
          </w:pPr>
          <w:hyperlink w:anchor="__RefHeading___Toc157779098">
            <w:r>
              <w:rPr>
                <w:rStyle w:val="IndexLink"/>
                <w:rFonts w:cs="Arial" w:ascii="Arial" w:hAnsi="Arial"/>
                <w:iCs/>
                <w:kern w:val="2"/>
                <w:lang w:val="en-US" w:eastAsia="en-US"/>
              </w:rPr>
              <w:t>Exhibit 13</w:t>
            </w:r>
            <w:r>
              <w:rPr>
                <w:rStyle w:val="IndexLink"/>
                <w:lang w:val="en-US" w:eastAsia="en-US"/>
              </w:rPr>
              <w:tab/>
              <w:t>1</w:t>
            </w:r>
          </w:hyperlink>
        </w:p>
        <w:p>
          <w:pPr>
            <w:pStyle w:val="TOC1"/>
            <w:tabs>
              <w:tab w:val="clear" w:pos="720"/>
              <w:tab w:val="right" w:pos="10506" w:leader="dot"/>
            </w:tabs>
            <w:rPr>
              <w:b w:val="false"/>
              <w:bCs w:val="false"/>
              <w:caps w:val="false"/>
              <w:smallCaps w:val="false"/>
              <w:sz w:val="24"/>
              <w:szCs w:val="24"/>
              <w:lang w:val="de-CH" w:eastAsia="en-US"/>
            </w:rPr>
          </w:pPr>
          <w:hyperlink w:anchor="__RefHeading___Toc157779099">
            <w:r>
              <w:rPr>
                <w:rStyle w:val="IndexLink"/>
                <w:rFonts w:cs="Arial" w:ascii="Arial" w:hAnsi="Arial"/>
                <w:iCs/>
                <w:kern w:val="2"/>
                <w:lang w:val="en-US" w:eastAsia="en-US"/>
              </w:rPr>
              <w:t>Statement of work</w:t>
            </w:r>
            <w:r>
              <w:rPr>
                <w:rStyle w:val="IndexLink"/>
                <w:lang w:val="en-US" w:eastAsia="en-US"/>
              </w:rPr>
              <w:tab/>
              <w:t>1</w:t>
            </w:r>
          </w:hyperlink>
        </w:p>
        <w:p>
          <w:pPr>
            <w:pStyle w:val="TOC1"/>
            <w:tabs>
              <w:tab w:val="clear" w:pos="720"/>
              <w:tab w:val="right" w:pos="10506" w:leader="dot"/>
            </w:tabs>
            <w:rPr>
              <w:b w:val="false"/>
              <w:bCs w:val="false"/>
              <w:caps w:val="false"/>
              <w:smallCaps w:val="false"/>
              <w:sz w:val="24"/>
              <w:szCs w:val="24"/>
              <w:lang w:val="de-CH" w:eastAsia="en-US"/>
            </w:rPr>
          </w:pPr>
          <w:hyperlink w:anchor="__RefHeading___Toc157779100">
            <w:r>
              <w:rPr>
                <w:rStyle w:val="IndexLink"/>
                <w:rFonts w:cs="Arial" w:ascii="Arial" w:hAnsi="Arial"/>
                <w:iCs/>
                <w:kern w:val="2"/>
                <w:lang w:val="en-US" w:eastAsia="en-US"/>
              </w:rPr>
              <w:t>Reports</w:t>
            </w:r>
            <w:r>
              <w:rPr>
                <w:rStyle w:val="IndexLink"/>
                <w:lang w:val="en-US" w:eastAsia="en-US"/>
              </w:rPr>
              <w:tab/>
              <w:t>1</w:t>
            </w:r>
          </w:hyperlink>
        </w:p>
        <w:p>
          <w:pPr>
            <w:pStyle w:val="TOC1"/>
            <w:tabs>
              <w:tab w:val="clear" w:pos="720"/>
              <w:tab w:val="right" w:pos="10506" w:leader="dot"/>
            </w:tabs>
            <w:rPr>
              <w:b w:val="false"/>
              <w:bCs w:val="false"/>
              <w:caps w:val="false"/>
              <w:smallCaps w:val="false"/>
              <w:sz w:val="24"/>
              <w:szCs w:val="24"/>
              <w:lang w:val="de-CH" w:eastAsia="en-US"/>
            </w:rPr>
          </w:pPr>
          <w:hyperlink w:anchor="__RefHeading___Toc157779101">
            <w:r>
              <w:rPr>
                <w:rStyle w:val="IndexLink"/>
                <w:lang w:val="en-US" w:eastAsia="en-US"/>
              </w:rPr>
              <w:t>Table of Contents</w:t>
              <w:tab/>
              <w:t>2</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9102">
            <w:r>
              <w:rPr>
                <w:rStyle w:val="IndexLink"/>
                <w:lang w:val="en-US" w:eastAsia="en-US"/>
              </w:rPr>
              <w:t>1.</w:t>
            </w:r>
            <w:r>
              <w:rPr>
                <w:rStyle w:val="IndexLink"/>
                <w:b w:val="false"/>
                <w:bCs w:val="false"/>
                <w:caps w:val="false"/>
                <w:smallCaps w:val="false"/>
                <w:sz w:val="24"/>
                <w:szCs w:val="24"/>
                <w:lang w:val="de-CH" w:eastAsia="en-US"/>
              </w:rPr>
              <w:tab/>
            </w:r>
            <w:r>
              <w:rPr>
                <w:rStyle w:val="IndexLink"/>
                <w:lang w:val="en-US" w:eastAsia="en-US"/>
              </w:rPr>
              <w:t>Introduction</w:t>
              <w:tab/>
              <w:t>3</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9103">
            <w:r>
              <w:rPr>
                <w:rStyle w:val="IndexLink"/>
                <w:lang w:val="en-US" w:eastAsia="en-US"/>
              </w:rPr>
              <w:t>1.1.</w:t>
            </w:r>
            <w:r>
              <w:rPr>
                <w:rStyle w:val="IndexLink"/>
                <w:caps w:val="false"/>
                <w:smallCaps w:val="false"/>
                <w:sz w:val="24"/>
                <w:szCs w:val="24"/>
                <w:lang w:val="de-CH" w:eastAsia="en-US"/>
              </w:rPr>
              <w:tab/>
            </w:r>
            <w:r>
              <w:rPr>
                <w:rStyle w:val="IndexLink"/>
                <w:lang w:val="en-US" w:eastAsia="en-US"/>
              </w:rPr>
              <w:t>General</w:t>
              <w:tab/>
              <w:t>3</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9104">
            <w:r>
              <w:rPr>
                <w:rStyle w:val="IndexLink"/>
                <w:lang w:val="en-US" w:eastAsia="en-US"/>
              </w:rPr>
              <w:t>2.</w:t>
            </w:r>
            <w:r>
              <w:rPr>
                <w:rStyle w:val="IndexLink"/>
                <w:b w:val="false"/>
                <w:bCs w:val="false"/>
                <w:caps w:val="false"/>
                <w:smallCaps w:val="false"/>
                <w:sz w:val="24"/>
                <w:szCs w:val="24"/>
                <w:lang w:val="de-CH" w:eastAsia="en-US"/>
              </w:rPr>
              <w:tab/>
            </w:r>
            <w:r>
              <w:rPr>
                <w:rStyle w:val="IndexLink"/>
                <w:lang w:val="en-US" w:eastAsia="en-US"/>
              </w:rPr>
              <w:t>Reports</w:t>
              <w:tab/>
              <w:t>3</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9105">
            <w:r>
              <w:rPr>
                <w:rStyle w:val="IndexLink"/>
                <w:lang w:val="en-US" w:eastAsia="en-US"/>
              </w:rPr>
              <w:t>2.1.</w:t>
            </w:r>
            <w:r>
              <w:rPr>
                <w:rStyle w:val="IndexLink"/>
                <w:caps w:val="false"/>
                <w:smallCaps w:val="false"/>
                <w:sz w:val="24"/>
                <w:szCs w:val="24"/>
                <w:lang w:val="de-CH" w:eastAsia="en-US"/>
              </w:rPr>
              <w:tab/>
            </w:r>
            <w:r>
              <w:rPr>
                <w:rStyle w:val="IndexLink"/>
                <w:lang w:val="en-US" w:eastAsia="en-US"/>
              </w:rPr>
              <w:t>Existing Reports</w:t>
              <w:tab/>
              <w:t>3</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9106">
            <w:r>
              <w:rPr>
                <w:rStyle w:val="IndexLink"/>
                <w:lang w:val="en-US" w:eastAsia="en-US"/>
              </w:rPr>
              <w:t>2.2.</w:t>
            </w:r>
            <w:r>
              <w:rPr>
                <w:rStyle w:val="IndexLink"/>
                <w:caps w:val="false"/>
                <w:smallCaps w:val="false"/>
                <w:sz w:val="24"/>
                <w:szCs w:val="24"/>
                <w:lang w:val="de-CH" w:eastAsia="en-US"/>
              </w:rPr>
              <w:tab/>
            </w:r>
            <w:r>
              <w:rPr>
                <w:rStyle w:val="IndexLink"/>
                <w:lang w:val="en-US" w:eastAsia="en-US"/>
              </w:rPr>
              <w:t>Continuing reports</w:t>
              <w:tab/>
              <w:t>3</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9107">
            <w:r>
              <w:rPr>
                <w:rStyle w:val="IndexLink"/>
                <w:lang w:val="en-US" w:eastAsia="en-US"/>
              </w:rPr>
              <w:t>2.3.</w:t>
            </w:r>
            <w:r>
              <w:rPr>
                <w:rStyle w:val="IndexLink"/>
                <w:caps w:val="false"/>
                <w:smallCaps w:val="false"/>
                <w:sz w:val="24"/>
                <w:szCs w:val="24"/>
                <w:lang w:val="de-CH" w:eastAsia="en-US"/>
              </w:rPr>
              <w:tab/>
            </w:r>
            <w:r>
              <w:rPr>
                <w:rStyle w:val="IndexLink"/>
                <w:lang w:val="en-US" w:eastAsia="en-US"/>
              </w:rPr>
              <w:t>Prioritisation of Continuing Reports</w:t>
              <w:tab/>
              <w:t>4</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9108">
            <w:r>
              <w:rPr>
                <w:rStyle w:val="IndexLink"/>
                <w:lang w:val="en-US" w:eastAsia="en-US"/>
              </w:rPr>
              <w:t>2.4.</w:t>
            </w:r>
            <w:r>
              <w:rPr>
                <w:rStyle w:val="IndexLink"/>
                <w:caps w:val="false"/>
                <w:smallCaps w:val="false"/>
                <w:sz w:val="24"/>
                <w:szCs w:val="24"/>
                <w:lang w:val="de-CH" w:eastAsia="en-US"/>
              </w:rPr>
              <w:tab/>
            </w:r>
            <w:r>
              <w:rPr>
                <w:rStyle w:val="IndexLink"/>
                <w:lang w:val="en-US" w:eastAsia="en-US"/>
              </w:rPr>
              <w:t>Ad Hoc Reports</w:t>
              <w:tab/>
              <w:t>4</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9109">
            <w:r>
              <w:rPr>
                <w:rStyle w:val="IndexLink"/>
                <w:lang w:val="en-US" w:eastAsia="en-US"/>
              </w:rPr>
              <w:t>2.5.</w:t>
            </w:r>
            <w:r>
              <w:rPr>
                <w:rStyle w:val="IndexLink"/>
                <w:caps w:val="false"/>
                <w:smallCaps w:val="false"/>
                <w:sz w:val="24"/>
                <w:szCs w:val="24"/>
                <w:lang w:val="de-CH" w:eastAsia="en-US"/>
              </w:rPr>
              <w:tab/>
            </w:r>
            <w:r>
              <w:rPr>
                <w:rStyle w:val="IndexLink"/>
                <w:lang w:val="en-US" w:eastAsia="en-US"/>
              </w:rPr>
              <w:t>New Reporting Methods</w:t>
              <w:tab/>
              <w:t>4</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9110">
            <w:r>
              <w:rPr>
                <w:rStyle w:val="IndexLink"/>
                <w:lang w:val="en-US" w:eastAsia="en-US"/>
              </w:rPr>
              <w:t>2.6.</w:t>
            </w:r>
            <w:r>
              <w:rPr>
                <w:rStyle w:val="IndexLink"/>
                <w:caps w:val="false"/>
                <w:smallCaps w:val="false"/>
                <w:sz w:val="24"/>
                <w:szCs w:val="24"/>
                <w:lang w:val="de-CH" w:eastAsia="en-US"/>
              </w:rPr>
              <w:tab/>
            </w:r>
            <w:r>
              <w:rPr>
                <w:rStyle w:val="IndexLink"/>
                <w:lang w:val="en-US" w:eastAsia="en-US"/>
              </w:rPr>
              <w:t>Delivery of Reports</w:t>
              <w:tab/>
              <w:t>5</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9111">
            <w:r>
              <w:rPr>
                <w:rStyle w:val="IndexLink"/>
                <w:lang w:val="en-US" w:eastAsia="en-US"/>
              </w:rPr>
              <w:t>2.7.</w:t>
            </w:r>
            <w:r>
              <w:rPr>
                <w:rStyle w:val="IndexLink"/>
                <w:caps w:val="false"/>
                <w:smallCaps w:val="false"/>
                <w:sz w:val="24"/>
                <w:szCs w:val="24"/>
                <w:lang w:val="de-CH" w:eastAsia="en-US"/>
              </w:rPr>
              <w:tab/>
            </w:r>
            <w:r>
              <w:rPr>
                <w:rStyle w:val="IndexLink"/>
                <w:lang w:val="en-US" w:eastAsia="en-US"/>
              </w:rPr>
              <w:t>Raw Data</w:t>
              <w:tab/>
              <w:t>5</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9112">
            <w:r>
              <w:rPr>
                <w:rStyle w:val="IndexLink"/>
                <w:lang w:val="en-US" w:eastAsia="en-US"/>
              </w:rPr>
              <w:t>3.</w:t>
            </w:r>
            <w:r>
              <w:rPr>
                <w:rStyle w:val="IndexLink"/>
                <w:b w:val="false"/>
                <w:bCs w:val="false"/>
                <w:caps w:val="false"/>
                <w:smallCaps w:val="false"/>
                <w:sz w:val="24"/>
                <w:szCs w:val="24"/>
                <w:lang w:val="de-CH" w:eastAsia="en-US"/>
              </w:rPr>
              <w:tab/>
            </w:r>
            <w:r>
              <w:rPr>
                <w:rStyle w:val="IndexLink"/>
                <w:lang w:val="en-US" w:eastAsia="en-US"/>
              </w:rPr>
              <w:t>Transition STATus reports</w:t>
              <w:tab/>
              <w:t>5</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9113">
            <w:r>
              <w:rPr>
                <w:rStyle w:val="IndexLink"/>
                <w:lang w:val="en-US" w:eastAsia="en-US"/>
              </w:rPr>
              <w:t>3.1.</w:t>
            </w:r>
            <w:r>
              <w:rPr>
                <w:rStyle w:val="IndexLink"/>
                <w:caps w:val="false"/>
                <w:smallCaps w:val="false"/>
                <w:sz w:val="24"/>
                <w:szCs w:val="24"/>
                <w:lang w:val="de-CH" w:eastAsia="en-US"/>
              </w:rPr>
              <w:tab/>
            </w:r>
            <w:r>
              <w:rPr>
                <w:rStyle w:val="IndexLink"/>
                <w:lang w:val="en-US" w:eastAsia="en-US"/>
              </w:rPr>
              <w:t>The Service Provider’s responsibilities include, but are not limited to:</w:t>
              <w:tab/>
              <w:t>5</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9114">
            <w:r>
              <w:rPr>
                <w:rStyle w:val="IndexLink"/>
                <w:lang w:val="en-US" w:eastAsia="en-US"/>
              </w:rPr>
              <w:t>3.2.</w:t>
            </w:r>
            <w:r>
              <w:rPr>
                <w:rStyle w:val="IndexLink"/>
                <w:caps w:val="false"/>
                <w:smallCaps w:val="false"/>
                <w:sz w:val="24"/>
                <w:szCs w:val="24"/>
                <w:lang w:val="de-CH" w:eastAsia="en-US"/>
              </w:rPr>
              <w:tab/>
            </w:r>
            <w:r>
              <w:rPr>
                <w:rStyle w:val="IndexLink"/>
                <w:lang w:val="en-US" w:eastAsia="en-US"/>
              </w:rPr>
              <w:t>Bi-weekly during each month during the transition period (and continuing until the transition is complete) the Service Provider’s transition manager shall provide Novartis Pharma with a written transition status report including the following:</w:t>
              <w:tab/>
              <w:t>5</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9115">
            <w:r>
              <w:rPr>
                <w:rStyle w:val="IndexLink"/>
                <w:lang w:val="en-US" w:eastAsia="en-US"/>
              </w:rPr>
              <w:t>4.</w:t>
            </w:r>
            <w:r>
              <w:rPr>
                <w:rStyle w:val="IndexLink"/>
                <w:b w:val="false"/>
                <w:bCs w:val="false"/>
                <w:caps w:val="false"/>
                <w:smallCaps w:val="false"/>
                <w:sz w:val="24"/>
                <w:szCs w:val="24"/>
                <w:lang w:val="de-CH" w:eastAsia="en-US"/>
              </w:rPr>
              <w:tab/>
            </w:r>
            <w:r>
              <w:rPr>
                <w:rStyle w:val="IndexLink"/>
                <w:lang w:val="en-US" w:eastAsia="en-US"/>
              </w:rPr>
              <w:t>MonthlY performance reports</w:t>
              <w:tab/>
              <w:t>6</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9116">
            <w:r>
              <w:rPr>
                <w:rStyle w:val="IndexLink"/>
                <w:lang w:val="en-US" w:eastAsia="en-US"/>
              </w:rPr>
              <w:t>4.1.</w:t>
            </w:r>
            <w:r>
              <w:rPr>
                <w:rStyle w:val="IndexLink"/>
                <w:caps w:val="false"/>
                <w:smallCaps w:val="false"/>
                <w:sz w:val="24"/>
                <w:szCs w:val="24"/>
                <w:lang w:val="de-CH" w:eastAsia="en-US"/>
              </w:rPr>
              <w:tab/>
            </w:r>
            <w:r>
              <w:rPr>
                <w:rStyle w:val="IndexLink"/>
                <w:lang w:val="en-US" w:eastAsia="en-US"/>
              </w:rPr>
              <w:t>The Service Provider’s responsibilities include, but are not limited to:</w:t>
              <w:tab/>
              <w:t>6</w:t>
            </w:r>
          </w:hyperlink>
        </w:p>
        <w:p>
          <w:pPr>
            <w:pStyle w:val="TOC2"/>
            <w:tabs>
              <w:tab w:val="clear" w:pos="720"/>
              <w:tab w:val="left" w:pos="880" w:leader="none"/>
              <w:tab w:val="right" w:pos="10506" w:leader="dot"/>
            </w:tabs>
            <w:rPr>
              <w:sz w:val="24"/>
              <w:szCs w:val="24"/>
              <w:lang w:val="de-CH" w:eastAsia="en-US"/>
            </w:rPr>
          </w:pPr>
          <w:hyperlink w:anchor="__RefHeading___Toc157779117">
            <w:r>
              <w:rPr>
                <w:rStyle w:val="IndexLink"/>
                <w:caps w:val="false"/>
                <w:smallCaps w:val="false"/>
                <w:lang w:val="en-US" w:eastAsia="en-US"/>
              </w:rPr>
              <w:t>4.2.</w:t>
            </w:r>
            <w:r>
              <w:rPr>
                <w:rStyle w:val="IndexLink"/>
                <w:caps w:val="false"/>
                <w:smallCaps w:val="false"/>
                <w:sz w:val="24"/>
                <w:szCs w:val="24"/>
                <w:lang w:val="de-CH" w:eastAsia="en-US"/>
              </w:rPr>
              <w:tab/>
            </w:r>
            <w:r>
              <w:rPr>
                <w:rStyle w:val="IndexLink"/>
                <w:caps w:val="false"/>
                <w:smallCaps w:val="false"/>
                <w:lang w:val="en-US" w:eastAsia="en-US"/>
              </w:rPr>
              <w:t>The Service Provider shall provide monthly performance reporting required to support the Governance framework as described in Exhibit 6 and any other report necessary to support the Agreement which shall be delivered to Novartis Pharma within six (6) business days after the end of each month, describing the Service Provider’s performance of the Services in the preceding month (the “Monthly Performance Report”). Such Monthly Performance Report, shall:</w:t>
              <w:tab/>
              <w:t>6</w:t>
            </w:r>
          </w:hyperlink>
          <w:r>
            <w:rPr>
              <w:rStyle w:val="IndexLink"/>
              <w:smallCaps w:val="false"/>
              <w:caps w:val="false"/>
              <w:lang w:val="en-US" w:eastAsia="en-US"/>
            </w:rPr>
            <w:fldChar w:fldCharType="end"/>
          </w:r>
        </w:p>
      </w:sdtContent>
    </w:sdt>
    <w:p>
      <w:pPr>
        <w:pStyle w:val="Normal"/>
        <w:tabs>
          <w:tab w:val="clear" w:pos="720"/>
          <w:tab w:val="left" w:pos="360" w:leader="none"/>
          <w:tab w:val="left" w:pos="425" w:leader="none"/>
        </w:tabs>
        <w:jc w:val="both"/>
        <w:rPr>
          <w:b/>
          <w:bCs/>
          <w:caps/>
          <w:sz w:val="20"/>
          <w:szCs w:val="20"/>
          <w:lang w:val="de-CH" w:eastAsia="en-US"/>
        </w:rPr>
      </w:pPr>
      <w:r>
        <w:rPr>
          <w:b/>
          <w:bCs/>
          <w:caps/>
          <w:sz w:val="20"/>
          <w:szCs w:val="20"/>
          <w:lang w:val="de-CH" w:eastAsia="en-US"/>
        </w:rPr>
      </w:r>
      <w:r>
        <w:br w:type="page"/>
      </w:r>
    </w:p>
    <w:p>
      <w:pPr>
        <w:pStyle w:val="Heading1"/>
        <w:numPr>
          <w:ilvl w:val="0"/>
          <w:numId w:val="18"/>
        </w:numPr>
        <w:ind w:hanging="0" w:start="0"/>
        <w:rPr/>
      </w:pPr>
      <w:bookmarkStart w:id="5" w:name="__RefHeading___Toc157779102"/>
      <w:bookmarkEnd w:id="5"/>
      <w:r>
        <w:rPr/>
        <w:t>Introduction</w:t>
      </w:r>
    </w:p>
    <w:p>
      <w:pPr>
        <w:pStyle w:val="Heading2"/>
        <w:numPr>
          <w:ilvl w:val="1"/>
          <w:numId w:val="18"/>
        </w:numPr>
        <w:rPr/>
      </w:pPr>
      <w:bookmarkStart w:id="6" w:name="__RefHeading___Toc157779103"/>
      <w:bookmarkEnd w:id="6"/>
      <w:r>
        <w:rPr/>
        <w:t>General</w:t>
      </w:r>
    </w:p>
    <w:p>
      <w:pPr>
        <w:pStyle w:val="Heading3"/>
        <w:numPr>
          <w:ilvl w:val="2"/>
          <w:numId w:val="18"/>
        </w:numPr>
        <w:ind w:hanging="1134" w:start="1134"/>
        <w:rPr/>
      </w:pPr>
      <w:r>
        <w:rPr/>
        <w:t>The Service Provider’s responsibilities include:</w:t>
      </w:r>
    </w:p>
    <w:p>
      <w:pPr>
        <w:pStyle w:val="Heading3"/>
        <w:numPr>
          <w:ilvl w:val="2"/>
          <w:numId w:val="18"/>
        </w:numPr>
        <w:ind w:hanging="1134" w:start="1134"/>
        <w:rPr/>
      </w:pPr>
      <w:r>
        <w:rPr/>
        <w:t>Perform all services, tasks, obligations and responsibilities described in this Exhibit at or above applicable Service Levels and in accordance with the terms of the Agreement as of the Commencement Date unless otherwise specified.</w:t>
      </w:r>
    </w:p>
    <w:p>
      <w:pPr>
        <w:pStyle w:val="Heading3"/>
        <w:numPr>
          <w:ilvl w:val="2"/>
          <w:numId w:val="18"/>
        </w:numPr>
        <w:ind w:hanging="1134" w:start="1134"/>
        <w:rPr/>
      </w:pPr>
      <w:r>
        <w:rPr/>
        <w:t>As part of the Services and the Base Charges, and at no additional charge, fee, cost or expense to GlobalPharma, the Service Provider shall provide all of the services described in this Exhibit including all in-scope activities performed by Affected Employees.</w:t>
      </w:r>
    </w:p>
    <w:p>
      <w:pPr>
        <w:pStyle w:val="Heading1"/>
        <w:numPr>
          <w:ilvl w:val="0"/>
          <w:numId w:val="18"/>
        </w:numPr>
        <w:ind w:hanging="0" w:start="0"/>
        <w:rPr/>
      </w:pPr>
      <w:bookmarkStart w:id="7" w:name="__RefHeading___Toc157779104"/>
      <w:bookmarkEnd w:id="7"/>
      <w:r>
        <w:rPr/>
        <w:t>Reports</w:t>
      </w:r>
    </w:p>
    <w:p>
      <w:pPr>
        <w:pStyle w:val="Heading2"/>
        <w:numPr>
          <w:ilvl w:val="1"/>
          <w:numId w:val="18"/>
        </w:numPr>
        <w:rPr/>
      </w:pPr>
      <w:bookmarkStart w:id="8" w:name="__RefHeading___Toc157779105"/>
      <w:bookmarkEnd w:id="8"/>
      <w:r>
        <w:rPr/>
        <w:t>Existing Reports</w:t>
      </w:r>
    </w:p>
    <w:p>
      <w:pPr>
        <w:pStyle w:val="Heading3"/>
        <w:numPr>
          <w:ilvl w:val="2"/>
          <w:numId w:val="18"/>
        </w:numPr>
        <w:ind w:hanging="1134" w:start="1134"/>
        <w:rPr/>
      </w:pPr>
      <w:r>
        <w:rPr/>
        <w:t>The Service Provider’s responsibilities include, but are not limited to:</w:t>
      </w:r>
    </w:p>
    <w:p>
      <w:pPr>
        <w:pStyle w:val="Heading3"/>
        <w:numPr>
          <w:ilvl w:val="2"/>
          <w:numId w:val="18"/>
        </w:numPr>
        <w:ind w:hanging="1134" w:start="1134"/>
        <w:rPr/>
      </w:pPr>
      <w:r>
        <w:rPr/>
        <w:t>Provide all reports as indicated in Attachment 13-A and any other report to support the Agreement (“Existing Reports “) as of the Commencement Date to GlobalPharma within the same format, content, and frequency to the extent provided by the in-scope FTEs prior to the Effective Date.</w:t>
      </w:r>
      <w:r>
        <w:rPr>
          <w:b/>
        </w:rPr>
      </w:r>
      <w:r>
        <w:rPr/>
      </w:r>
      <w:r>
        <w:rPr>
          <w:b/>
        </w:rPr>
      </w:r>
      <w:r>
        <w:rPr/>
      </w:r>
    </w:p>
    <w:p>
      <w:pPr>
        <w:pStyle w:val="Heading3"/>
        <w:numPr>
          <w:ilvl w:val="2"/>
          <w:numId w:val="18"/>
        </w:numPr>
        <w:ind w:hanging="1134" w:start="1134"/>
        <w:rPr/>
      </w:pPr>
      <w:r>
        <w:rPr/>
        <w:t>Do not change or discontinue the provision of any of the Existing Reports without the prior written approval of GlobalPharma.</w:t>
      </w:r>
    </w:p>
    <w:p>
      <w:pPr>
        <w:pStyle w:val="Heading3"/>
        <w:numPr>
          <w:ilvl w:val="2"/>
          <w:numId w:val="18"/>
        </w:numPr>
        <w:ind w:hanging="1134" w:start="1134"/>
        <w:rPr/>
      </w:pPr>
      <w:r>
        <w:rPr/>
        <w:t>Modify the format, content and frequency of any report as requested by GlobalPharma during the Term.</w:t>
      </w:r>
    </w:p>
    <w:p>
      <w:pPr>
        <w:pStyle w:val="Heading2"/>
        <w:numPr>
          <w:ilvl w:val="1"/>
          <w:numId w:val="18"/>
        </w:numPr>
        <w:rPr/>
      </w:pPr>
      <w:bookmarkStart w:id="9" w:name="__RefHeading___Toc157779106"/>
      <w:bookmarkEnd w:id="9"/>
      <w:r>
        <w:rPr/>
        <w:t>Continuing reports</w:t>
      </w:r>
    </w:p>
    <w:p>
      <w:pPr>
        <w:pStyle w:val="Heading3"/>
        <w:numPr>
          <w:ilvl w:val="2"/>
          <w:numId w:val="18"/>
        </w:numPr>
        <w:ind w:hanging="1134" w:start="1134"/>
        <w:rPr/>
      </w:pPr>
      <w:r>
        <w:rPr/>
        <w:t>The Service Provider’s responsibilities include, but are not limited to:</w:t>
      </w:r>
    </w:p>
    <w:p>
      <w:pPr>
        <w:pStyle w:val="Heading3"/>
        <w:numPr>
          <w:ilvl w:val="2"/>
          <w:numId w:val="18"/>
        </w:numPr>
        <w:ind w:hanging="1134" w:start="1134"/>
        <w:rPr/>
      </w:pPr>
      <w:r>
        <w:rPr/>
        <w:t>Work with GlobalPharma to develop continuing reports (“Continuing Reports”) in order to enable GlobalPharma to manage the relationship under the Agreement.</w:t>
      </w:r>
    </w:p>
    <w:p>
      <w:pPr>
        <w:pStyle w:val="Heading3"/>
        <w:numPr>
          <w:ilvl w:val="2"/>
          <w:numId w:val="18"/>
        </w:numPr>
        <w:ind w:hanging="1134" w:start="1134"/>
        <w:rPr/>
      </w:pPr>
      <w:r>
        <w:rPr/>
        <w:t>Within 30 days of the Effective Date, GlobalPharma and the Service Provider shall work together in good faith and agree upon a final detailed list of the Continuing Reports, including descriptions, timeframes and priorities and delivery methods, which shall include those reports as agreed by the Governance Committees and Teams as described in Exhibit 6.</w:t>
      </w:r>
    </w:p>
    <w:p>
      <w:pPr>
        <w:pStyle w:val="Heading3"/>
        <w:numPr>
          <w:ilvl w:val="2"/>
          <w:numId w:val="18"/>
        </w:numPr>
        <w:ind w:hanging="1134" w:start="1134"/>
        <w:rPr/>
      </w:pPr>
      <w:r>
        <w:rPr/>
        <w:t>Work with GlobalPharma to determine the means and formats by which to deliver the Continuing Reports, including options such as web access, on-line graphical reports and file transfer.</w:t>
      </w:r>
    </w:p>
    <w:p>
      <w:pPr>
        <w:pStyle w:val="Heading2"/>
        <w:numPr>
          <w:ilvl w:val="1"/>
          <w:numId w:val="18"/>
        </w:numPr>
        <w:rPr/>
      </w:pPr>
      <w:bookmarkStart w:id="10" w:name="__RefHeading___Toc157779107"/>
      <w:bookmarkEnd w:id="10"/>
      <w:r>
        <w:rPr/>
        <w:t>Prioritisation of Continuing Reports</w:t>
      </w:r>
    </w:p>
    <w:p>
      <w:pPr>
        <w:pStyle w:val="Heading3"/>
        <w:numPr>
          <w:ilvl w:val="2"/>
          <w:numId w:val="18"/>
        </w:numPr>
        <w:ind w:hanging="1134" w:start="1134"/>
        <w:rPr/>
      </w:pPr>
      <w:r>
        <w:rPr/>
        <w:t>The Service Provider’s responsibilities include, but are not limited to:</w:t>
      </w:r>
    </w:p>
    <w:p>
      <w:pPr>
        <w:pStyle w:val="Heading3"/>
        <w:numPr>
          <w:ilvl w:val="2"/>
          <w:numId w:val="18"/>
        </w:numPr>
        <w:ind w:hanging="1134" w:start="1134"/>
        <w:rPr/>
      </w:pPr>
      <w:r>
        <w:rPr/>
        <w:t>Develop the formats of the Continuing Reports based upon the priority assigned to each of the Continuing Reports by GlobalPharma.</w:t>
      </w:r>
    </w:p>
    <w:p>
      <w:pPr>
        <w:pStyle w:val="Heading3"/>
        <w:numPr>
          <w:ilvl w:val="2"/>
          <w:numId w:val="18"/>
        </w:numPr>
        <w:ind w:hanging="1134" w:start="1134"/>
        <w:rPr/>
      </w:pPr>
      <w:r>
        <w:rPr/>
        <w:t>The Service Provider agrees that some of the Existing Reports may, if asked by GlobalPharma, be progressively migrated to the Continuing Reports through the Transition as data collection and reporting systems that enable such migration become available.</w:t>
      </w:r>
    </w:p>
    <w:p>
      <w:pPr>
        <w:pStyle w:val="Heading2"/>
        <w:numPr>
          <w:ilvl w:val="1"/>
          <w:numId w:val="18"/>
        </w:numPr>
        <w:rPr/>
      </w:pPr>
      <w:bookmarkStart w:id="11" w:name="__RefHeading___Toc157779108"/>
      <w:bookmarkEnd w:id="11"/>
      <w:r>
        <w:rPr/>
        <w:t>Ad Hoc Reports</w:t>
      </w:r>
    </w:p>
    <w:p>
      <w:pPr>
        <w:pStyle w:val="Heading3"/>
        <w:numPr>
          <w:ilvl w:val="2"/>
          <w:numId w:val="18"/>
        </w:numPr>
        <w:ind w:hanging="1134" w:start="1134"/>
        <w:rPr/>
      </w:pPr>
      <w:r>
        <w:rPr/>
        <w:t>The Service Provider’s responsibilities include, but are not limited to:</w:t>
      </w:r>
    </w:p>
    <w:p>
      <w:pPr>
        <w:pStyle w:val="Heading3"/>
        <w:numPr>
          <w:ilvl w:val="2"/>
          <w:numId w:val="18"/>
        </w:numPr>
        <w:ind w:hanging="1134" w:start="1134"/>
        <w:rPr/>
      </w:pPr>
      <w:r>
        <w:rPr/>
        <w:t>Support ad hoc reporting (“Ad Hoc Reports”), including the creation and production of non-routine reports and queries or assisting GlobalPharma in performing this activity where appropriate.</w:t>
      </w:r>
    </w:p>
    <w:p>
      <w:pPr>
        <w:pStyle w:val="Heading2"/>
        <w:numPr>
          <w:ilvl w:val="1"/>
          <w:numId w:val="18"/>
        </w:numPr>
        <w:rPr/>
      </w:pPr>
      <w:bookmarkStart w:id="12" w:name="__RefHeading___Toc157779109"/>
      <w:bookmarkEnd w:id="12"/>
      <w:r>
        <w:rPr/>
        <w:t>New Reporting Methods</w:t>
      </w:r>
    </w:p>
    <w:p>
      <w:pPr>
        <w:pStyle w:val="Heading3"/>
        <w:numPr>
          <w:ilvl w:val="2"/>
          <w:numId w:val="18"/>
        </w:numPr>
        <w:ind w:hanging="1134" w:start="1134"/>
        <w:rPr/>
      </w:pPr>
      <w:r>
        <w:rPr/>
        <w:t>The Service Provider’s responsibilities include, but are not limited to:</w:t>
      </w:r>
    </w:p>
    <w:p>
      <w:pPr>
        <w:pStyle w:val="Heading3"/>
        <w:numPr>
          <w:ilvl w:val="2"/>
          <w:numId w:val="18"/>
        </w:numPr>
        <w:ind w:hanging="1134" w:start="1134"/>
        <w:rPr/>
      </w:pPr>
      <w:r>
        <w:rPr/>
        <w:t>As the Service Provider develops new methods of managing and optimizing the effectiveness and value of the Services, e.g. web-based reporting, the Service Provider will move to these new reporting methods (if agreed by GlobalPharma) and implement those at no additional costs for GlobalPharma.</w:t>
      </w:r>
    </w:p>
    <w:p>
      <w:pPr>
        <w:pStyle w:val="Heading3"/>
        <w:numPr>
          <w:ilvl w:val="2"/>
          <w:numId w:val="18"/>
        </w:numPr>
        <w:ind w:hanging="1134" w:start="1134"/>
        <w:rPr/>
      </w:pPr>
      <w:r>
        <w:rPr/>
        <w:t>Costs incurred by GlobalPharma are borne by the Service Provider at rates to be agreed.</w:t>
      </w:r>
    </w:p>
    <w:p>
      <w:pPr>
        <w:pStyle w:val="Heading3"/>
        <w:numPr>
          <w:ilvl w:val="2"/>
          <w:numId w:val="18"/>
        </w:numPr>
        <w:ind w:hanging="1134" w:start="1134"/>
        <w:rPr/>
      </w:pPr>
      <w:r>
        <w:rPr/>
        <w:t>The Service Provider shall, as such new reporting methods are developed or proposed, provide business analysis and implementation plan for the migration to such reporting methods to GlobalPharma.</w:t>
      </w:r>
    </w:p>
    <w:p>
      <w:pPr>
        <w:pStyle w:val="Heading3"/>
        <w:numPr>
          <w:ilvl w:val="2"/>
          <w:numId w:val="18"/>
        </w:numPr>
        <w:ind w:hanging="1134" w:start="1134"/>
        <w:rPr/>
      </w:pPr>
      <w:r>
        <w:rPr/>
        <w:t>The new reporting methods shall be implemented in accordance with the Change Control Procedure.</w:t>
      </w:r>
    </w:p>
    <w:p>
      <w:pPr>
        <w:pStyle w:val="Heading2"/>
        <w:numPr>
          <w:ilvl w:val="1"/>
          <w:numId w:val="18"/>
        </w:numPr>
        <w:rPr/>
      </w:pPr>
      <w:bookmarkStart w:id="13" w:name="__RefHeading___Toc157779110"/>
      <w:bookmarkEnd w:id="13"/>
      <w:r>
        <w:rPr/>
        <w:t>Delivery of Reports</w:t>
      </w:r>
    </w:p>
    <w:p>
      <w:pPr>
        <w:pStyle w:val="Heading3"/>
        <w:numPr>
          <w:ilvl w:val="2"/>
          <w:numId w:val="18"/>
        </w:numPr>
        <w:ind w:hanging="1134" w:start="1134"/>
        <w:rPr/>
      </w:pPr>
      <w:r>
        <w:rPr/>
        <w:t>The Service Provider’s responsibilities include, but are not limited to:</w:t>
      </w:r>
    </w:p>
    <w:p>
      <w:pPr>
        <w:pStyle w:val="Heading3"/>
        <w:numPr>
          <w:ilvl w:val="2"/>
          <w:numId w:val="18"/>
        </w:numPr>
        <w:ind w:hanging="1134" w:start="1134"/>
        <w:rPr/>
      </w:pPr>
      <w:r>
        <w:rPr/>
        <w:t>Deliver reports within the following time frames:</w:t>
      </w:r>
    </w:p>
    <w:p>
      <w:pPr>
        <w:pStyle w:val="Heading3"/>
        <w:numPr>
          <w:ilvl w:val="2"/>
          <w:numId w:val="15"/>
        </w:numPr>
        <w:ind w:hanging="360" w:start="1440" w:end="0"/>
        <w:rPr/>
      </w:pPr>
      <w:r>
        <w:rPr/>
        <w:t>(1) for daily reports, by noon of the following business day</w:t>
      </w:r>
    </w:p>
    <w:p>
      <w:pPr>
        <w:pStyle w:val="Heading3"/>
        <w:numPr>
          <w:ilvl w:val="2"/>
          <w:numId w:val="15"/>
        </w:numPr>
        <w:ind w:hanging="360" w:start="1440" w:end="0"/>
        <w:rPr/>
      </w:pPr>
      <w:r>
        <w:rPr/>
        <w:t>(2) for weekly reports, by close of business on the first business day of the following week of the scheduled interval</w:t>
      </w:r>
    </w:p>
    <w:p>
      <w:pPr>
        <w:pStyle w:val="Heading3"/>
        <w:numPr>
          <w:ilvl w:val="2"/>
          <w:numId w:val="15"/>
        </w:numPr>
        <w:ind w:hanging="360" w:start="1440" w:end="0"/>
        <w:rPr/>
      </w:pPr>
      <w:r>
        <w:rPr/>
        <w:t>(3) for monthly, quarterly and annual reports, within seven (7) business days of the applicable scheduled interval.</w:t>
      </w:r>
    </w:p>
    <w:p>
      <w:pPr>
        <w:pStyle w:val="Heading3"/>
        <w:numPr>
          <w:ilvl w:val="2"/>
          <w:numId w:val="18"/>
        </w:numPr>
        <w:ind w:hanging="1134" w:start="1134"/>
        <w:rPr/>
      </w:pPr>
      <w:r>
        <w:rPr/>
        <w:t>Deliver reports in electronic format in printable format, as well as hard copy, if required by GlobalPharma.</w:t>
      </w:r>
    </w:p>
    <w:p>
      <w:pPr>
        <w:pStyle w:val="Heading3"/>
        <w:numPr>
          <w:ilvl w:val="2"/>
          <w:numId w:val="18"/>
        </w:numPr>
        <w:ind w:hanging="1134" w:start="1134"/>
        <w:rPr/>
      </w:pPr>
      <w:r>
        <w:rPr/>
        <w:t>Store and archive reports as agreed upon by the Parties.</w:t>
      </w:r>
    </w:p>
    <w:p>
      <w:pPr>
        <w:pStyle w:val="Heading2"/>
        <w:numPr>
          <w:ilvl w:val="1"/>
          <w:numId w:val="18"/>
        </w:numPr>
        <w:rPr/>
      </w:pPr>
      <w:bookmarkStart w:id="14" w:name="__RefHeading___Toc157779111"/>
      <w:bookmarkEnd w:id="14"/>
      <w:r>
        <w:rPr/>
        <w:t>Raw Data</w:t>
      </w:r>
    </w:p>
    <w:p>
      <w:pPr>
        <w:pStyle w:val="Heading3"/>
        <w:numPr>
          <w:ilvl w:val="2"/>
          <w:numId w:val="18"/>
        </w:numPr>
        <w:ind w:hanging="1134" w:start="1134"/>
        <w:rPr/>
      </w:pPr>
      <w:r>
        <w:rPr/>
        <w:t>The Service Provider’s responsibilities include, but are not limited to:</w:t>
      </w:r>
    </w:p>
    <w:p>
      <w:pPr>
        <w:pStyle w:val="Heading3"/>
        <w:numPr>
          <w:ilvl w:val="2"/>
          <w:numId w:val="18"/>
        </w:numPr>
        <w:ind w:hanging="1134" w:start="1134"/>
        <w:rPr/>
      </w:pPr>
      <w:r>
        <w:rPr/>
        <w:t>Retain relevant raw data by the Service Provider to allow GlobalPharma to verify any report.</w:t>
      </w:r>
    </w:p>
    <w:p>
      <w:pPr>
        <w:pStyle w:val="Heading3"/>
        <w:numPr>
          <w:ilvl w:val="2"/>
          <w:numId w:val="18"/>
        </w:numPr>
        <w:ind w:hanging="1134" w:start="1134"/>
        <w:rPr/>
      </w:pPr>
      <w:r>
        <w:rPr/>
        <w:t>Nothing contained in any report shall constrain GlobalPharma from requesting data from the Service Provider on an ad-hoc basis, irrespective of whether such data is listed in the appendices hereto, and the Service Provider agrees to provide such data at no additional Charge to GlobalPharma.</w:t>
      </w:r>
    </w:p>
    <w:p>
      <w:pPr>
        <w:pStyle w:val="Heading1"/>
        <w:numPr>
          <w:ilvl w:val="0"/>
          <w:numId w:val="18"/>
        </w:numPr>
        <w:ind w:hanging="0" w:start="0"/>
        <w:rPr>
          <w:rFonts w:ascii="Times New Roman" w:hAnsi="Times New Roman" w:cs="Times New Roman"/>
          <w:color w:val="000000"/>
          <w:sz w:val="32"/>
        </w:rPr>
      </w:pPr>
      <w:bookmarkStart w:id="15" w:name="__RefHeading___Toc157779112"/>
      <w:bookmarkEnd w:id="15"/>
      <w:r>
        <w:rPr/>
        <w:t>Transition STATus reports</w:t>
      </w:r>
    </w:p>
    <w:p>
      <w:pPr>
        <w:pStyle w:val="Heading2"/>
        <w:numPr>
          <w:ilvl w:val="1"/>
          <w:numId w:val="18"/>
        </w:numPr>
        <w:rPr/>
      </w:pPr>
      <w:bookmarkStart w:id="16" w:name="__RefHeading___Toc157779113"/>
      <w:bookmarkEnd w:id="16"/>
      <w:r>
        <w:rPr/>
        <w:t>The Service Provider’s responsibilities include, but are not limited to:</w:t>
      </w:r>
    </w:p>
    <w:p>
      <w:pPr>
        <w:pStyle w:val="Heading2"/>
        <w:numPr>
          <w:ilvl w:val="1"/>
          <w:numId w:val="18"/>
        </w:numPr>
        <w:rPr/>
      </w:pPr>
      <w:bookmarkStart w:id="17" w:name="__RefHeading___Toc157779114"/>
      <w:bookmarkEnd w:id="17"/>
      <w:r>
        <w:rPr/>
        <w:t>Bi-weekly during each month during the transition period (and continuing until the transition is complete) the Service Provider’s transition manager shall provide GlobalPharma with a written transition status report including the following:</w:t>
      </w:r>
    </w:p>
    <w:p>
      <w:pPr>
        <w:pStyle w:val="Heading3"/>
        <w:numPr>
          <w:ilvl w:val="2"/>
          <w:numId w:val="18"/>
        </w:numPr>
        <w:ind w:hanging="1134" w:start="1134"/>
        <w:rPr>
          <w:sz w:val="16"/>
          <w:szCs w:val="16"/>
        </w:rPr>
      </w:pPr>
      <w:r>
        <w:rPr/>
        <w:t>An updated bar chart that illustrates the transition schedule (so-called Gantt Chart) down to the work level of activities to be done by individuals of both the Service Provider and GlobalPharma detailing the status of all transition tasks;</w:t>
      </w:r>
      <w:r>
        <w:rPr>
          <w:rStyle w:val="FootnoteCharacters"/>
          <w:rStyle w:val="FootnoteReference"/>
        </w:rPr>
      </w:r>
      <w:r>
        <w:rPr/>
      </w:r>
    </w:p>
    <w:p>
      <w:pPr>
        <w:pStyle w:val="Heading3"/>
        <w:numPr>
          <w:ilvl w:val="2"/>
          <w:numId w:val="18"/>
        </w:numPr>
        <w:ind w:hanging="1134" w:start="1134"/>
        <w:rPr>
          <w:sz w:val="16"/>
          <w:szCs w:val="16"/>
        </w:rPr>
      </w:pPr>
      <w:r>
        <w:rPr/>
        <w:t>An executive level summary of transition progress-to-date, including an updated summary project plan and project highlights;</w:t>
      </w:r>
    </w:p>
    <w:p>
      <w:pPr>
        <w:pStyle w:val="Heading3"/>
        <w:numPr>
          <w:ilvl w:val="2"/>
          <w:numId w:val="18"/>
        </w:numPr>
        <w:ind w:hanging="1134" w:start="1134"/>
        <w:rPr/>
      </w:pPr>
      <w:r>
        <w:rPr/>
        <w:t>A listing of all critical milestones (which are to be agreed with GlobalPharma) as set forth in Exhibit 21 and the Attachments to it (“Transition Plan”) including detailed description of required deliverables and estimated time to completion, days overdue, target completion date, actual completion date and comments for all critical milestones.</w:t>
      </w:r>
      <w:r>
        <w:rPr>
          <w:b/>
        </w:rPr>
      </w:r>
      <w:r>
        <w:rPr/>
      </w:r>
    </w:p>
    <w:p>
      <w:pPr>
        <w:pStyle w:val="Heading3"/>
        <w:numPr>
          <w:ilvl w:val="2"/>
          <w:numId w:val="18"/>
        </w:numPr>
        <w:ind w:hanging="1134" w:start="1134"/>
        <w:rPr/>
      </w:pPr>
      <w:r>
        <w:rPr/>
        <w:t>A listing of all unresolved issues related to the Transition Plan execution, including those for which GlobalPharma has primary responsibility, along with due dates, priority, responsible party, recommended fixes, potential/actual business and transition Plan impact assessment; and</w:t>
      </w:r>
    </w:p>
    <w:p>
      <w:pPr>
        <w:pStyle w:val="Heading3"/>
        <w:numPr>
          <w:ilvl w:val="2"/>
          <w:numId w:val="18"/>
        </w:numPr>
        <w:ind w:hanging="1134" w:start="1134"/>
        <w:rPr/>
      </w:pPr>
      <w:r>
        <w:rPr/>
        <w:t xml:space="preserve">A description of any staff changes that deviate from the agreed estimate as described in </w:t>
      </w:r>
      <w:r>
        <w:rPr>
          <w:b/>
        </w:rPr>
        <w:t>Attachment 4-D</w:t>
      </w:r>
      <w:r>
        <w:rPr/>
        <w:t xml:space="preserve"> to </w:t>
      </w:r>
      <w:r>
        <w:rPr>
          <w:b/>
        </w:rPr>
        <w:t>Exhibit 4</w:t>
      </w:r>
      <w:r>
        <w:rPr/>
        <w:t xml:space="preserve"> with the rationale and recommendations of the next steps.</w:t>
      </w:r>
    </w:p>
    <w:p>
      <w:pPr>
        <w:pStyle w:val="Heading1"/>
        <w:numPr>
          <w:ilvl w:val="0"/>
          <w:numId w:val="18"/>
        </w:numPr>
        <w:ind w:hanging="0" w:start="0"/>
        <w:rPr>
          <w:rFonts w:ascii="Times New Roman" w:hAnsi="Times New Roman" w:cs="Times New Roman"/>
          <w:sz w:val="32"/>
        </w:rPr>
      </w:pPr>
      <w:bookmarkStart w:id="18" w:name="__RefHeading___Toc157779115"/>
      <w:bookmarkEnd w:id="18"/>
      <w:r>
        <w:rPr/>
        <w:t>MonthlY performance reports</w:t>
      </w:r>
    </w:p>
    <w:p>
      <w:pPr>
        <w:pStyle w:val="Heading2"/>
        <w:numPr>
          <w:ilvl w:val="1"/>
          <w:numId w:val="18"/>
        </w:numPr>
        <w:rPr/>
      </w:pPr>
      <w:bookmarkStart w:id="19" w:name="__RefHeading___Toc157779116"/>
      <w:bookmarkEnd w:id="19"/>
      <w:r>
        <w:rPr/>
        <w:t>The Service Provider’s responsibilities include, but are not limited to:</w:t>
      </w:r>
    </w:p>
    <w:p>
      <w:pPr>
        <w:pStyle w:val="Heading2"/>
        <w:numPr>
          <w:ilvl w:val="1"/>
          <w:numId w:val="18"/>
        </w:numPr>
        <w:rPr/>
      </w:pPr>
      <w:bookmarkStart w:id="20" w:name="__RefHeading___Toc157779117"/>
      <w:r>
        <w:rPr/>
        <w:t xml:space="preserve">The Service Provider shall provide monthly performance reporting required to support the Governance framework as described in Exhibit 6 and any other report necessary to support the Agreement which shall be delivered to GlobalPharma within six (6) business days after the end of each month, describing the Service Provider’s performance of the Services in the preceding month (the “Monthly Performance Report”). Such Monthly Performance Report, shall: </w:t>
      </w:r>
      <w:bookmarkEnd w:id="20"/>
      <w:r>
        <w:rPr/>
      </w:r>
    </w:p>
    <w:p>
      <w:pPr>
        <w:pStyle w:val="Heading3"/>
        <w:numPr>
          <w:ilvl w:val="2"/>
          <w:numId w:val="18"/>
        </w:numPr>
        <w:ind w:hanging="1134" w:start="1134"/>
        <w:rPr/>
      </w:pPr>
      <w:r>
        <w:rPr/>
        <w:t xml:space="preserve">Separately address the Service Provider’s performance in each area of the Services; </w:t>
      </w:r>
    </w:p>
    <w:p>
      <w:pPr>
        <w:pStyle w:val="Heading3"/>
        <w:numPr>
          <w:ilvl w:val="2"/>
          <w:numId w:val="18"/>
        </w:numPr>
        <w:ind w:hanging="1134" w:start="1134"/>
        <w:rPr/>
      </w:pPr>
      <w:r>
        <w:rPr/>
        <w:t xml:space="preserve">For each area of the Services, assess the degree to which the Service Provider has attained or failed to attain the pertinent objectives in that area, including with respect to the Service Levels; </w:t>
      </w:r>
    </w:p>
    <w:p>
      <w:pPr>
        <w:pStyle w:val="Heading3"/>
        <w:numPr>
          <w:ilvl w:val="2"/>
          <w:numId w:val="18"/>
        </w:numPr>
        <w:ind w:hanging="1134" w:start="1134"/>
        <w:rPr/>
      </w:pPr>
      <w:r>
        <w:rPr/>
        <w:t xml:space="preserve">Explain deviations from the performance standards and include a plan for corrective action where appropriate; </w:t>
      </w:r>
    </w:p>
    <w:p>
      <w:pPr>
        <w:pStyle w:val="Heading3"/>
        <w:numPr>
          <w:ilvl w:val="2"/>
          <w:numId w:val="18"/>
        </w:numPr>
        <w:ind w:hanging="1134" w:start="1134"/>
        <w:rPr/>
      </w:pPr>
      <w:r>
        <w:rPr/>
        <w:t xml:space="preserve">Describe the status of problem resolution efforts, ongoing projects, and other initiatives; </w:t>
      </w:r>
    </w:p>
    <w:p>
      <w:pPr>
        <w:pStyle w:val="Heading3"/>
        <w:numPr>
          <w:ilvl w:val="2"/>
          <w:numId w:val="18"/>
        </w:numPr>
        <w:ind w:hanging="1134" w:start="1134"/>
        <w:rPr/>
      </w:pPr>
      <w:r>
        <w:rPr/>
        <w:t>Set forth a record of the material Intellectual Property, business process, systems and personnel changes that pertain to the Services and describe planned changes during the upcoming month that may affect the Services;</w:t>
      </w:r>
    </w:p>
    <w:p>
      <w:pPr>
        <w:pStyle w:val="Heading3"/>
        <w:numPr>
          <w:ilvl w:val="2"/>
          <w:numId w:val="18"/>
        </w:numPr>
        <w:ind w:hanging="1134" w:start="1134"/>
        <w:rPr/>
      </w:pPr>
      <w:r>
        <w:rPr/>
        <w:t>Set forth the utilization of resources for the month and report on utilization trends and statistics; include such documentation and other information as GlobalPharma may reasonably request to verify compliance with, and meeting the objectives of, the Agreement; and</w:t>
      </w:r>
    </w:p>
    <w:p>
      <w:pPr>
        <w:pStyle w:val="Heading3"/>
        <w:numPr>
          <w:ilvl w:val="2"/>
          <w:numId w:val="18"/>
        </w:numPr>
        <w:ind w:hanging="1134" w:start="1134"/>
        <w:rPr/>
      </w:pPr>
      <w:r>
        <w:rPr/>
        <w:t>Update on progress of any joint process improvement efforts.</w:t>
      </w:r>
    </w:p>
    <w:p>
      <w:pPr>
        <w:pStyle w:val="Heading3"/>
        <w:numPr>
          <w:ilvl w:val="2"/>
          <w:numId w:val="18"/>
        </w:numPr>
        <w:spacing w:before="240" w:after="240"/>
        <w:ind w:hanging="1134" w:start="1134"/>
        <w:rPr/>
      </w:pPr>
      <w:r>
        <w:rPr/>
        <w:t xml:space="preserve">As part of the Monthly Performance Report, the Service Provider shall report with respect to Service Levels beginning on the Effective Date and shall conform to the requirements described in Exhibit 3 (Service Levels) and its Attachments. Service Level reporting shall be sufficient to enable GlobalPharma to monitor all Service Levels. </w:t>
      </w:r>
      <w:r>
        <w:rPr>
          <w:b/>
        </w:rPr>
      </w:r>
      <w:r>
        <w:rPr/>
      </w:r>
    </w:p>
    <w:sectPr>
      <w:headerReference w:type="default" r:id="rId2"/>
      <w:footerReference w:type="default" r:id="rId3"/>
      <w:footnotePr>
        <w:numFmt w:val="decimal"/>
      </w:footnotePr>
      <w:type w:val="nextPage"/>
      <w:pgSz w:w="12240" w:h="15840"/>
      <w:pgMar w:left="862" w:right="862" w:gutter="0" w:header="720" w:top="2516" w:footer="32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center"/>
      <w:rPr>
        <w:rFonts w:ascii="Arial" w:hAnsi="Arial" w:cs="Arial"/>
        <w:sz w:val="20"/>
        <w:szCs w:val="22"/>
      </w:rPr>
    </w:pPr>
    <w:r>
      <w:rPr>
        <w:rFonts w:cs="Arial" w:ascii="Arial" w:hAnsi="Arial"/>
        <w:sz w:val="20"/>
        <w:szCs w:val="22"/>
      </w:rPr>
      <w:t>GlobalPharma and ServicePro Confidential</w:t>
    </w:r>
  </w:p>
  <w:p>
    <w:pPr>
      <w:pStyle w:val="Footer"/>
      <w:spacing w:before="120" w:after="120"/>
      <w:jc w:val="center"/>
      <w:rPr>
        <w:rFonts w:ascii="Arial" w:hAnsi="Arial" w:cs="Arial"/>
        <w:sz w:val="20"/>
        <w:szCs w:val="22"/>
      </w:rPr>
    </w:pPr>
    <w:r>
      <w:rPr>
        <w:rFonts w:cs="Arial" w:ascii="Arial" w:hAnsi="Arial"/>
        <w:sz w:val="20"/>
        <w:szCs w:val="22"/>
      </w:rPr>
      <w:fldChar w:fldCharType="begin"/>
    </w:r>
    <w:r>
      <w:rPr>
        <w:sz w:val="20"/>
        <w:szCs w:val="22"/>
        <w:rFonts w:cs="Arial" w:ascii="Arial" w:hAnsi="Arial"/>
      </w:rPr>
      <w:instrText xml:space="preserve"> PAGE </w:instrText>
    </w:r>
    <w:r>
      <w:rPr>
        <w:sz w:val="20"/>
        <w:szCs w:val="22"/>
        <w:rFonts w:cs="Arial" w:ascii="Arial" w:hAnsi="Arial"/>
      </w:rPr>
      <w:fldChar w:fldCharType="separate"/>
    </w:r>
    <w:r>
      <w:rPr>
        <w:sz w:val="20"/>
        <w:szCs w:val="22"/>
        <w:rFonts w:cs="Arial" w:ascii="Arial" w:hAnsi="Arial"/>
      </w:rPr>
      <w:t>7</w:t>
    </w:r>
    <w:r>
      <w:rPr>
        <w:sz w:val="20"/>
        <w:szCs w:val="22"/>
        <w:rFonts w:cs="Arial" w:ascii="Arial" w:hAnsi="Arial"/>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keepLines/>
        <w:spacing w:before="0" w:after="240"/>
        <w:jc w:val="both"/>
        <w:rPr/>
      </w:pPr>
      <w:r>
        <w:rPr>
          <w:rStyle w:val="FootnoteCharacters"/>
        </w:rPr>
        <w:footnoteRef/>
      </w:r>
      <w:r>
        <w:rPr/>
        <w:t xml:space="preserve"> </w:t>
      </w:r>
      <w:r>
        <w:rPr/>
        <w:t>After Henry Gantt (1861-1919) in 1910 (see „Work, Wages and Profit“ by H.L. Gantt, published by the Engineering Magazine NY, 1910).</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15">
          <wp:simplePos x="0" y="0"/>
          <wp:positionH relativeFrom="column">
            <wp:posOffset>7886700</wp:posOffset>
          </wp:positionH>
          <wp:positionV relativeFrom="paragraph">
            <wp:posOffset>45720</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anchor behindDoc="1" distT="0" distB="0" distL="114935" distR="114935" simplePos="0" locked="0" layoutInCell="1" allowOverlap="1" relativeHeight="22">
          <wp:simplePos x="0" y="0"/>
          <wp:positionH relativeFrom="column">
            <wp:posOffset>5676900</wp:posOffset>
          </wp:positionH>
          <wp:positionV relativeFrom="paragraph">
            <wp:posOffset>-31115</wp:posOffset>
          </wp:positionV>
          <wp:extent cx="1028700" cy="385445"/>
          <wp:effectExtent l="0" t="0" r="0" b="0"/>
          <wp:wrapNone/>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371600" cy="34798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3"/>
                  <a:srcRect l="-24" t="-104" r="-24" b="-104"/>
                  <a:stretch>
                    <a:fillRect/>
                  </a:stretch>
                </pic:blipFill>
                <pic:spPr bwMode="auto">
                  <a:xfrm>
                    <a:off x="0" y="0"/>
                    <a:ext cx="1371600" cy="347980"/>
                  </a:xfrm>
                  <a:prstGeom prst="rect">
                    <a:avLst/>
                  </a:prstGeom>
                  <a:noFill/>
                </pic:spPr>
              </pic:pic>
            </a:graphicData>
          </a:graphic>
        </wp:inline>
      </w:drawing>
    </w:r>
  </w:p>
  <w:p>
    <w:pPr>
      <w:pStyle w:val="Header"/>
      <w:pBdr>
        <w:bottom w:val="single" w:sz="4" w:space="1" w:color="000000"/>
      </w:pBdr>
      <w:tabs>
        <w:tab w:val="clear" w:pos="14400"/>
        <w:tab w:val="right" w:pos="9360" w:leader="none"/>
        <w:tab w:val="right" w:pos="14760" w:leader="none"/>
      </w:tabs>
      <w:spacing w:before="120" w:after="120"/>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1800"/>
        </w:tabs>
        <w:ind w:start="1800" w:hanging="360"/>
      </w:pPr>
      <w:rPr>
        <w:rFonts w:ascii="Symbol" w:hAnsi="Symbol" w:cs="Symbol" w:hint="default"/>
      </w:rPr>
    </w:lvl>
  </w:abstractNum>
  <w:abstractNum w:abstractNumId="12">
    <w:lvl w:ilvl="0">
      <w:start w:val="1"/>
      <w:numFmt w:val="bullet"/>
      <w:lvlText w:val=""/>
      <w:lvlJc w:val="start"/>
      <w:pPr>
        <w:tabs>
          <w:tab w:val="num" w:pos="1080"/>
        </w:tabs>
        <w:ind w:start="1080" w:hanging="360"/>
      </w:pPr>
      <w:rPr>
        <w:rFonts w:ascii="Symbol" w:hAnsi="Symbol" w:cs="Symbol" w:hint="default"/>
      </w:rPr>
    </w:lvl>
  </w:abstractNum>
  <w:abstractNum w:abstractNumId="13">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4"/>
        <w:i w:val="false"/>
        <w:b/>
        <w:rFonts w:ascii="Times New Roman Bold;Times New Roman" w:hAnsi="Times New Roman Bold;Times New Roman" w:cs="Times New Roman Bold;Times New Roman"/>
        <w:lang w:val="en-US"/>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4">
    <w:lvl w:ilvl="0">
      <w:start w:val="1"/>
      <w:numFmt w:val="bullet"/>
      <w:lvlText w:val=""/>
      <w:lvlJc w:val="start"/>
      <w:pPr>
        <w:tabs>
          <w:tab w:val="num" w:pos="2707"/>
        </w:tabs>
        <w:ind w:start="2707" w:hanging="547"/>
      </w:pPr>
      <w:rPr>
        <w:rFonts w:ascii="Symbol" w:hAnsi="Symbol" w:cs="Symbol" w:hint="default"/>
      </w:rPr>
    </w:lvl>
  </w:abstractNum>
  <w:abstractNum w:abstractNumId="15">
    <w:lvl w:ilvl="0">
      <w:start w:val="1"/>
      <w:numFmt w:val="decimal"/>
      <w:lvlText w:val="%1."/>
      <w:lvlJc w:val="start"/>
      <w:pPr>
        <w:tabs>
          <w:tab w:val="num" w:pos="504"/>
        </w:tabs>
        <w:ind w:start="504" w:hanging="504"/>
      </w:pPr>
      <w:rPr>
        <w:sz w:val="24"/>
        <w:i w:val="false"/>
        <w:b/>
        <w:rFonts w:ascii="Times New Roman Bold;Times New Roman" w:hAnsi="Times New Roman Bold;Times New Roman" w:cs="Times New Roman"/>
        <w:color w:val="000000"/>
      </w:rPr>
    </w:lvl>
    <w:lvl w:ilvl="1">
      <w:start w:val="1"/>
      <w:numFmt w:val="decimal"/>
      <w:lvlText w:val="%1.%2."/>
      <w:lvlJc w:val="start"/>
      <w:pPr>
        <w:tabs>
          <w:tab w:val="num" w:pos="504"/>
        </w:tabs>
        <w:ind w:start="504" w:hanging="504"/>
      </w:pPr>
      <w:rPr>
        <w:sz w:val="24"/>
        <w:i w:val="false"/>
        <w:b/>
        <w:rFonts w:ascii="Times New Roman Bold;Times New Roman" w:hAnsi="Times New Roman Bold;Times New Roman" w:cs="Times New Roman"/>
      </w:rPr>
    </w:lvl>
    <w:lvl w:ilvl="2">
      <w:start w:val="1"/>
      <w:numFmt w:val="bullet"/>
      <w:lvlText w:val=""/>
      <w:lvlJc w:val="start"/>
      <w:pPr>
        <w:tabs>
          <w:tab w:val="num" w:pos="360"/>
        </w:tabs>
        <w:ind w:start="360" w:hanging="360"/>
      </w:pPr>
      <w:rPr>
        <w:rFonts w:ascii="Wingdings" w:hAnsi="Wingdings" w:cs="Wingdings" w:hint="default"/>
        <w:sz w:val="24"/>
        <w:i w:val="false"/>
        <w:b/>
        <w:color w:val="000000"/>
      </w:rPr>
    </w:lvl>
    <w:lvl w:ilvl="3">
      <w:start w:val="1"/>
      <w:numFmt w:val="decimal"/>
      <w:lvlText w:val="%1.%2.%3.%4."/>
      <w:lvlJc w:val="start"/>
      <w:pPr>
        <w:tabs>
          <w:tab w:val="num" w:pos="1080"/>
        </w:tabs>
        <w:ind w:start="1080" w:hanging="1080"/>
      </w:pPr>
      <w:rPr>
        <w:sz w:val="22"/>
        <w:i/>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abstractNum w:abstractNumId="16">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decimal"/>
      <w:lvlText w:val="%1."/>
      <w:lvlJc w:val="start"/>
      <w:pPr>
        <w:tabs>
          <w:tab w:val="num" w:pos="504"/>
        </w:tabs>
        <w:ind w:start="504" w:hanging="504"/>
      </w:pPr>
      <w:rPr>
        <w:sz w:val="24"/>
        <w:i w:val="false"/>
        <w:b/>
        <w:rFonts w:ascii="Times New Roman Bold;Times New Roman" w:hAnsi="Times New Roman Bold;Times New Roman" w:cs="Times New Roman"/>
        <w:color w:val="000000"/>
      </w:rPr>
    </w:lvl>
    <w:lvl w:ilvl="1">
      <w:start w:val="1"/>
      <w:numFmt w:val="decimal"/>
      <w:lvlText w:val="%1.%2."/>
      <w:lvlJc w:val="start"/>
      <w:pPr>
        <w:tabs>
          <w:tab w:val="num" w:pos="504"/>
        </w:tabs>
        <w:ind w:start="504" w:hanging="504"/>
      </w:pPr>
      <w:rPr>
        <w:sz w:val="24"/>
        <w:i w:val="false"/>
        <w:b/>
        <w:rFonts w:ascii="Times New Roman Bold;Times New Roman" w:hAnsi="Times New Roman Bold;Times New Roman" w:cs="Times New Roman"/>
      </w:rPr>
    </w:lvl>
    <w:lvl w:ilvl="2">
      <w:start w:val="1"/>
      <w:numFmt w:val="decimal"/>
      <w:lvlText w:val="%1.%2.%3."/>
      <w:lvlJc w:val="start"/>
      <w:pPr>
        <w:tabs>
          <w:tab w:val="num" w:pos="1080"/>
        </w:tabs>
        <w:ind w:start="1080" w:hanging="1080"/>
      </w:pPr>
      <w:rPr>
        <w:sz w:val="22"/>
        <w:i w:val="false"/>
        <w:b w:val="false"/>
        <w:rFonts w:ascii="Times New Roman" w:hAnsi="Times New Roman" w:cs="Times New Roman"/>
        <w:lang w:val="en-US"/>
      </w:rPr>
    </w:lvl>
    <w:lvl w:ilvl="3">
      <w:start w:val="1"/>
      <w:numFmt w:val="decimal"/>
      <w:lvlText w:val="%1.%2.%3.%4."/>
      <w:lvlJc w:val="start"/>
      <w:pPr>
        <w:tabs>
          <w:tab w:val="num" w:pos="1080"/>
        </w:tabs>
        <w:ind w:start="1080" w:hanging="1080"/>
      </w:pPr>
      <w:rPr>
        <w:sz w:val="22"/>
        <w:i/>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abstractNum w:abstractNumId="19">
    <w:lvl w:ilvl="0">
      <w:start w:val="1"/>
      <w:numFmt w:val="bullet"/>
      <w:lvlText w:val=""/>
      <w:lvlJc w:val="start"/>
      <w:pPr>
        <w:tabs>
          <w:tab w:val="num" w:pos="1440"/>
        </w:tabs>
        <w:ind w:start="1440" w:hanging="360"/>
      </w:pPr>
      <w:rPr>
        <w:rFonts w:ascii="Symbol" w:hAnsi="Symbol" w:cs="Symbol" w:hint="default"/>
      </w:rPr>
    </w:lvl>
  </w:abstractNum>
  <w:abstractNum w:abstractNumId="20">
    <w:lvl w:ilvl="0">
      <w:start w:val="1"/>
      <w:numFmt w:val="bullet"/>
      <w:lvlText w:val=""/>
      <w:lvlJc w:val="start"/>
      <w:pPr>
        <w:tabs>
          <w:tab w:val="num" w:pos="1627"/>
        </w:tabs>
        <w:ind w:start="1627" w:hanging="547"/>
      </w:pPr>
      <w:rPr>
        <w:rFonts w:ascii="Symbol" w:hAnsi="Symbol" w:cs="Symbol" w:hint="default"/>
      </w:rPr>
    </w:lvl>
  </w:abstractNum>
  <w:abstractNum w:abstractNumId="21">
    <w:lvl w:ilvl="0">
      <w:start w:val="1"/>
      <w:numFmt w:val="bullet"/>
      <w:lvlText w:val=""/>
      <w:lvlJc w:val="start"/>
      <w:pPr>
        <w:tabs>
          <w:tab w:val="num" w:pos="2160"/>
        </w:tabs>
        <w:ind w:start="2160" w:hanging="533"/>
      </w:pPr>
      <w:rPr>
        <w:rFonts w:ascii="Symbol" w:hAnsi="Symbol" w:cs="Symbol" w:hint="default"/>
      </w:rPr>
    </w:lvl>
  </w:abstractNum>
  <w:abstractNum w:abstractNumId="22">
    <w:lvl w:ilvl="0">
      <w:start w:val="1"/>
      <w:isLgl/>
      <w:numFmt w:val="decimal"/>
      <w:lvlText w:val="%1.0"/>
      <w:lvlJc w:val="start"/>
      <w:pPr>
        <w:tabs>
          <w:tab w:val="num" w:pos="0"/>
        </w:tabs>
        <w:ind w:start="0" w:hanging="0"/>
      </w:pPr>
      <w:rPr>
        <w:sz w:val="28"/>
        <w:i w:val="false"/>
        <w:b/>
        <w:szCs w:val="28"/>
        <w:rFonts w:ascii="Times New Roman Bold;Times New Roman" w:hAnsi="Times New Roman Bold;Times New Roman" w:cs="Times New Roman Bold;Times New Roman"/>
        <w:color w:val="000000"/>
      </w:rPr>
    </w:lvl>
    <w:lvl w:ilvl="1">
      <w:start w:val="1"/>
      <w:numFmt w:val="decimal"/>
      <w:lvlText w:val="%1.%2."/>
      <w:lvlJc w:val="start"/>
      <w:pPr>
        <w:tabs>
          <w:tab w:val="num" w:pos="288"/>
        </w:tabs>
        <w:ind w:start="288" w:hanging="619"/>
      </w:pPr>
      <w:rPr>
        <w:sz w:val="22"/>
        <w:i w:val="false"/>
        <w:b w:val="false"/>
        <w:rFonts w:ascii="Times New Roman" w:hAnsi="Times New Roman" w:cs="Times New Roman"/>
      </w:rPr>
    </w:lvl>
    <w:lvl w:ilvl="2">
      <w:start w:val="1"/>
      <w:numFmt w:val="decimal"/>
      <w:lvlText w:val="%1.%2.%3."/>
      <w:lvlJc w:val="start"/>
      <w:pPr>
        <w:tabs>
          <w:tab w:val="num" w:pos="576"/>
        </w:tabs>
        <w:ind w:start="576" w:hanging="878"/>
      </w:pPr>
      <w:rPr>
        <w:sz w:val="22"/>
        <w:i w:val="false"/>
        <w:b w:val="false"/>
        <w:rFonts w:ascii="Times New Roman" w:hAnsi="Times New Roman" w:cs="Times New Roman"/>
      </w:rPr>
    </w:lvl>
    <w:lvl w:ilvl="3">
      <w:start w:val="1"/>
      <w:numFmt w:val="decimal"/>
      <w:lvlText w:val="%1.%2.%3.%4."/>
      <w:lvlJc w:val="start"/>
      <w:pPr>
        <w:tabs>
          <w:tab w:val="num" w:pos="720"/>
        </w:tabs>
        <w:ind w:start="720" w:hanging="994"/>
      </w:pPr>
      <w:rPr>
        <w:sz w:val="22"/>
        <w:i w:val="false"/>
        <w:b w:val="false"/>
        <w:rFonts w:ascii="Times New Roman" w:hAnsi="Times New Roman" w:cs="Times New Roman"/>
      </w:rPr>
    </w:lvl>
    <w:lvl w:ilvl="4">
      <w:start w:val="1"/>
      <w:numFmt w:val="none"/>
      <w:suff w:val="nothing"/>
      <w:lvlText w:val=""/>
      <w:lvlJc w:val="start"/>
      <w:pPr>
        <w:ind w:start="720" w:hanging="0"/>
      </w:pPr>
      <w:rPr/>
    </w:lvl>
    <w:lvl w:ilvl="5">
      <w:start w:val="1"/>
      <w:numFmt w:val="none"/>
      <w:suff w:val="nothing"/>
      <w:lvlText w:val=""/>
      <w:lvlJc w:val="start"/>
      <w:pPr>
        <w:ind w:start="720" w:hanging="0"/>
      </w:pPr>
      <w:rPr/>
    </w:lvl>
    <w:lvl w:ilvl="6">
      <w:start w:val="1"/>
      <w:numFmt w:val="none"/>
      <w:suff w:val="nothing"/>
      <w:lvlText w:val=""/>
      <w:lvlJc w:val="start"/>
      <w:pPr>
        <w:ind w:start="720" w:hanging="0"/>
      </w:pPr>
      <w:rPr/>
    </w:lvl>
    <w:lvl w:ilvl="7">
      <w:start w:val="1"/>
      <w:numFmt w:val="none"/>
      <w:suff w:val="nothing"/>
      <w:lvlText w:val=""/>
      <w:lvlJc w:val="start"/>
      <w:pPr>
        <w:ind w:start="720" w:hanging="0"/>
      </w:pPr>
      <w:rPr/>
    </w:lvl>
    <w:lvl w:ilvl="8">
      <w:start w:val="1"/>
      <w:numFmt w:val="none"/>
      <w:suff w:val="nothing"/>
      <w:lvlText w:val=""/>
      <w:lvlJc w:val="start"/>
      <w:pPr>
        <w:ind w:start="720" w:hanging="0"/>
      </w:pPr>
      <w:rPr/>
    </w:lvl>
  </w:abstractNum>
  <w:abstractNum w:abstractNumId="23">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4.%2"/>
      <w:lvlJc w:val="start"/>
      <w:pPr>
        <w:tabs>
          <w:tab w:val="num" w:pos="1008"/>
        </w:tabs>
        <w:ind w:start="1008" w:hanging="619"/>
      </w:pPr>
      <w:rPr>
        <w:sz w:val="28"/>
        <w:i w:val="false"/>
        <w:b/>
        <w:szCs w:val="28"/>
        <w:rFonts w:ascii="Times New Roman Bold;Times New Roman" w:hAnsi="Times New Roman Bold;Times New Roman" w:cs="Times New Roman Bold;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24">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8"/>
      </w:numPr>
      <w:spacing w:before="48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keepNext w:val="false"/>
      <w:numPr>
        <w:ilvl w:val="0"/>
        <w:numId w:val="18"/>
      </w:numPr>
      <w:tabs>
        <w:tab w:val="clear" w:pos="720"/>
        <w:tab w:val="left" w:pos="1134" w:leader="none"/>
      </w:tabs>
      <w:ind w:hanging="1134" w:start="1134" w:end="0"/>
      <w:outlineLvl w:val="1"/>
    </w:pPr>
    <w:rPr>
      <w:bCs w:val="false"/>
      <w:iCs/>
      <w:caps w:val="false"/>
      <w:smallCaps w:val="false"/>
      <w:sz w:val="24"/>
      <w:szCs w:val="28"/>
    </w:rPr>
  </w:style>
  <w:style w:type="paragraph" w:styleId="Heading3">
    <w:name w:val="heading 3"/>
    <w:basedOn w:val="Heading2"/>
    <w:next w:val="TableText"/>
    <w:qFormat/>
    <w:pPr>
      <w:keepLines w:val="false"/>
      <w:numPr>
        <w:ilvl w:val="0"/>
        <w:numId w:val="18"/>
      </w:numPr>
      <w:spacing w:before="240" w:after="240"/>
      <w:outlineLvl w:val="2"/>
    </w:pPr>
    <w:rPr>
      <w:rFonts w:ascii="Times New Roman" w:hAnsi="Times New Roman" w:cs="Times New Roman"/>
      <w:b w:val="false"/>
      <w:bCs/>
      <w:szCs w:val="26"/>
    </w:rPr>
  </w:style>
  <w:style w:type="paragraph" w:styleId="Heading4">
    <w:name w:val="heading 4"/>
    <w:basedOn w:val="Heading3"/>
    <w:next w:val="TableText"/>
    <w:qFormat/>
    <w:pPr>
      <w:numPr>
        <w:ilvl w:val="0"/>
        <w:numId w:val="18"/>
      </w:numPr>
      <w:spacing w:before="120" w:after="0"/>
      <w:outlineLvl w:val="3"/>
    </w:pPr>
    <w:rPr>
      <w:bCs w:val="false"/>
      <w:i/>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b w:val="false"/>
    </w:rPr>
  </w:style>
  <w:style w:type="character" w:styleId="WW8Num8z0">
    <w:name w:val="WW8Num8z0"/>
    <w:qFormat/>
    <w:rPr>
      <w:rFonts w:ascii="Times New Roman" w:hAnsi="Times New Roman" w:cs="Times New Roman"/>
      <w:b w:val="false"/>
      <w:i w:val="false"/>
      <w:color w:val="000000"/>
      <w:sz w:val="22"/>
    </w:rPr>
  </w:style>
  <w:style w:type="character" w:styleId="WW8Num8z1">
    <w:name w:val="WW8Num8z1"/>
    <w:qFormat/>
    <w:rPr>
      <w:rFonts w:ascii="Times New Roman" w:hAnsi="Times New Roman" w:cs="Times New Roman"/>
      <w:b w:val="false"/>
      <w:i w:val="false"/>
      <w:sz w:val="22"/>
    </w:rPr>
  </w:style>
  <w:style w:type="character" w:styleId="WW8Num8z4">
    <w:name w:val="WW8Num8z4"/>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Times New Roman" w:hAnsi="Times New Roman" w:cs="Times New Roman"/>
      <w:b w:val="false"/>
      <w:i w:val="false"/>
      <w:color w:val="000000"/>
      <w:sz w:val="22"/>
    </w:rPr>
  </w:style>
  <w:style w:type="character" w:styleId="WW8Num10z1">
    <w:name w:val="WW8Num10z1"/>
    <w:qFormat/>
    <w:rPr>
      <w:rFonts w:ascii="Times New Roman" w:hAnsi="Times New Roman" w:cs="Times New Roman"/>
      <w:b w:val="false"/>
      <w:i w:val="false"/>
      <w:sz w:val="22"/>
    </w:rPr>
  </w:style>
  <w:style w:type="character" w:styleId="WW8Num10z4">
    <w:name w:val="WW8Num10z4"/>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style>
  <w:style w:type="character" w:styleId="WW8Num12z1">
    <w:name w:val="WW8Num12z1"/>
    <w:qFormat/>
    <w:rPr>
      <w:sz w:val="18"/>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Times New Roman Bold;Times New Roman" w:hAnsi="Times New Roman Bold;Times New Roman" w:cs="Times New Roman Bold;Times New Roman"/>
      <w:b/>
      <w:i w:val="false"/>
      <w:sz w:val="28"/>
    </w:rPr>
  </w:style>
  <w:style w:type="character" w:styleId="WW8Num14z1">
    <w:name w:val="WW8Num14z1"/>
    <w:qFormat/>
    <w:rPr>
      <w:rFonts w:ascii="Times New Roman Bold;Times New Roman" w:hAnsi="Times New Roman Bold;Times New Roman" w:cs="Times New Roman Bold;Times New Roman"/>
      <w:b/>
      <w:i w:val="false"/>
      <w:sz w:val="24"/>
      <w:lang w:val="en-US"/>
    </w:rPr>
  </w:style>
  <w:style w:type="character" w:styleId="WW8Num14z2">
    <w:name w:val="WW8Num14z2"/>
    <w:qFormat/>
    <w:rPr>
      <w:rFonts w:ascii="Times New Roman" w:hAnsi="Times New Roman" w:cs="Times New Roman"/>
      <w:b/>
      <w:i w:val="false"/>
      <w:sz w:val="24"/>
    </w:rPr>
  </w:style>
  <w:style w:type="character" w:styleId="WW8Num14z4">
    <w:name w:val="WW8Num14z4"/>
    <w:qFormat/>
    <w:rPr>
      <w:rFonts w:ascii="Times New Roman Bold;Times New Roman" w:hAnsi="Times New Roman Bold;Times New Roman" w:cs="Times New Roman Bold;Times New Roman"/>
      <w:b/>
      <w:i w:val="false"/>
      <w:sz w:val="22"/>
      <w:szCs w:val="22"/>
    </w:rPr>
  </w:style>
  <w:style w:type="character" w:styleId="WW8Num14z5">
    <w:name w:val="WW8Num14z5"/>
    <w:qFormat/>
    <w:rPr>
      <w:rFonts w:ascii="Times New Roman" w:hAnsi="Times New Roman" w:cs="Times New Roman"/>
      <w:b w:val="false"/>
      <w:i w:val="false"/>
      <w:sz w:val="22"/>
    </w:rPr>
  </w:style>
  <w:style w:type="character" w:styleId="WW8Num14z8">
    <w:name w:val="WW8Num14z8"/>
    <w:qFormat/>
    <w:rPr/>
  </w:style>
  <w:style w:type="character" w:styleId="WW8Num15z0">
    <w:name w:val="WW8Num15z0"/>
    <w:qFormat/>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Times New Roman Bold;Times New Roman" w:hAnsi="Times New Roman Bold;Times New Roman" w:cs="Times New Roman"/>
      <w:b/>
      <w:i w:val="false"/>
      <w:color w:val="000000"/>
      <w:sz w:val="24"/>
    </w:rPr>
  </w:style>
  <w:style w:type="character" w:styleId="WW8Num18z1">
    <w:name w:val="WW8Num18z1"/>
    <w:qFormat/>
    <w:rPr>
      <w:rFonts w:ascii="Times New Roman Bold;Times New Roman" w:hAnsi="Times New Roman Bold;Times New Roman" w:cs="Times New Roman"/>
      <w:b/>
      <w:i w:val="false"/>
      <w:sz w:val="24"/>
    </w:rPr>
  </w:style>
  <w:style w:type="character" w:styleId="WW8Num18z2">
    <w:name w:val="WW8Num18z2"/>
    <w:qFormat/>
    <w:rPr>
      <w:rFonts w:ascii="Wingdings" w:hAnsi="Wingdings" w:cs="Wingdings"/>
      <w:b/>
      <w:i w:val="false"/>
      <w:color w:val="000000"/>
      <w:sz w:val="24"/>
    </w:rPr>
  </w:style>
  <w:style w:type="character" w:styleId="WW8Num18z3">
    <w:name w:val="WW8Num18z3"/>
    <w:qFormat/>
    <w:rPr>
      <w:rFonts w:ascii="Times New Roman" w:hAnsi="Times New Roman" w:cs="Times New Roman"/>
      <w:b w:val="false"/>
      <w:i/>
      <w:sz w:val="22"/>
    </w:rPr>
  </w:style>
  <w:style w:type="character" w:styleId="WW8Num18z4">
    <w:name w:val="WW8Num18z4"/>
    <w:qFormat/>
    <w:rPr/>
  </w:style>
  <w:style w:type="character" w:styleId="WW8Num19z0">
    <w:name w:val="WW8Num19z0"/>
    <w:qFormat/>
    <w:rPr>
      <w:rFonts w:ascii="Times New Roman Bold;Times New Roman" w:hAnsi="Times New Roman Bold;Times New Roman" w:cs="Times New Roman Bold;Times New Roman"/>
      <w:b/>
      <w:i w:val="false"/>
      <w:sz w:val="28"/>
    </w:rPr>
  </w:style>
  <w:style w:type="character" w:styleId="WW8Num19z2">
    <w:name w:val="WW8Num19z2"/>
    <w:qFormat/>
    <w:rPr>
      <w:rFonts w:ascii="Times New Roman" w:hAnsi="Times New Roman" w:cs="Times New Roman"/>
      <w:b/>
      <w:i w:val="false"/>
      <w:sz w:val="24"/>
    </w:rPr>
  </w:style>
  <w:style w:type="character" w:styleId="WW8Num19z4">
    <w:name w:val="WW8Num19z4"/>
    <w:qFormat/>
    <w:rPr>
      <w:rFonts w:ascii="Times New Roman" w:hAnsi="Times New Roman" w:cs="Times New Roman"/>
      <w:b w:val="false"/>
      <w:i w:val="false"/>
      <w:sz w:val="22"/>
    </w:rPr>
  </w:style>
  <w:style w:type="character" w:styleId="WW8Num19z8">
    <w:name w:val="WW8Num19z8"/>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Times New Roman" w:hAnsi="Times New Roman" w:cs="Times New Roman"/>
      <w:b w:val="false"/>
      <w:i w:val="false"/>
      <w:sz w:val="18"/>
    </w:rPr>
  </w:style>
  <w:style w:type="character" w:styleId="WW8Num22z0">
    <w:name w:val="WW8Num22z0"/>
    <w:qFormat/>
    <w:rPr>
      <w:rFonts w:ascii="Times New Roman Bold;Times New Roman" w:hAnsi="Times New Roman Bold;Times New Roman" w:cs="Times New Roman"/>
      <w:b/>
      <w:i w:val="false"/>
      <w:color w:val="000000"/>
      <w:sz w:val="24"/>
    </w:rPr>
  </w:style>
  <w:style w:type="character" w:styleId="WW8Num22z1">
    <w:name w:val="WW8Num22z1"/>
    <w:qFormat/>
    <w:rPr>
      <w:rFonts w:ascii="Times New Roman Bold;Times New Roman" w:hAnsi="Times New Roman Bold;Times New Roman" w:cs="Times New Roman"/>
      <w:b/>
      <w:i w:val="false"/>
      <w:sz w:val="24"/>
    </w:rPr>
  </w:style>
  <w:style w:type="character" w:styleId="WW8Num22z2">
    <w:name w:val="WW8Num22z2"/>
    <w:qFormat/>
    <w:rPr>
      <w:rFonts w:ascii="Times New Roman" w:hAnsi="Times New Roman" w:cs="Times New Roman"/>
      <w:b w:val="false"/>
      <w:i w:val="false"/>
      <w:sz w:val="22"/>
      <w:lang w:val="en-US"/>
    </w:rPr>
  </w:style>
  <w:style w:type="character" w:styleId="WW8Num22z3">
    <w:name w:val="WW8Num22z3"/>
    <w:qFormat/>
    <w:rPr>
      <w:rFonts w:ascii="Times New Roman" w:hAnsi="Times New Roman" w:cs="Times New Roman"/>
      <w:b w:val="false"/>
      <w:i/>
      <w:sz w:val="22"/>
    </w:rPr>
  </w:style>
  <w:style w:type="character" w:styleId="WW8Num22z4">
    <w:name w:val="WW8Num22z4"/>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sz w:val="18"/>
    </w:rPr>
  </w:style>
  <w:style w:type="character" w:styleId="WW8Num25z0">
    <w:name w:val="WW8Num25z0"/>
    <w:qFormat/>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30z0">
    <w:name w:val="WW8Num30z0"/>
    <w:qFormat/>
    <w:rPr>
      <w:rFonts w:ascii="Times New Roman Bold;Times New Roman" w:hAnsi="Times New Roman Bold;Times New Roman" w:cs="Times New Roman Bold;Times New Roman"/>
      <w:b/>
      <w:i w:val="false"/>
      <w:color w:val="000000"/>
      <w:sz w:val="28"/>
      <w:szCs w:val="28"/>
    </w:rPr>
  </w:style>
  <w:style w:type="character" w:styleId="WW8Num30z1">
    <w:name w:val="WW8Num30z1"/>
    <w:qFormat/>
    <w:rPr>
      <w:rFonts w:ascii="Times New Roman" w:hAnsi="Times New Roman" w:cs="Times New Roman"/>
      <w:b w:val="false"/>
      <w:i w:val="false"/>
      <w:sz w:val="22"/>
    </w:rPr>
  </w:style>
  <w:style w:type="character" w:styleId="WW8Num30z4">
    <w:name w:val="WW8Num30z4"/>
    <w:qFormat/>
    <w:rPr/>
  </w:style>
  <w:style w:type="character" w:styleId="WW8Num31z0">
    <w:name w:val="WW8Num31z0"/>
    <w:qFormat/>
    <w:rPr/>
  </w:style>
  <w:style w:type="character" w:styleId="WW8Num31z1">
    <w:name w:val="WW8Num31z1"/>
    <w:qFormat/>
    <w:rPr>
      <w:sz w:val="18"/>
    </w:rPr>
  </w:style>
  <w:style w:type="character" w:styleId="WW8Num32z0">
    <w:name w:val="WW8Num32z0"/>
    <w:qFormat/>
    <w:rPr/>
  </w:style>
  <w:style w:type="character" w:styleId="WW8Num35z0">
    <w:name w:val="WW8Num35z0"/>
    <w:qFormat/>
    <w:rPr>
      <w:rFonts w:ascii="Times New Roman" w:hAnsi="Times New Roman" w:cs="Times New Roman"/>
      <w:b w:val="false"/>
      <w:i w:val="false"/>
      <w:color w:val="000000"/>
      <w:sz w:val="22"/>
    </w:rPr>
  </w:style>
  <w:style w:type="character" w:styleId="WW8Num35z1">
    <w:name w:val="WW8Num35z1"/>
    <w:qFormat/>
    <w:rPr>
      <w:rFonts w:ascii="Times New Roman Bold;Times New Roman" w:hAnsi="Times New Roman Bold;Times New Roman" w:cs="Times New Roman Bold;Times New Roman"/>
      <w:b/>
      <w:i w:val="false"/>
      <w:sz w:val="28"/>
      <w:szCs w:val="28"/>
    </w:rPr>
  </w:style>
  <w:style w:type="character" w:styleId="WW8Num35z2">
    <w:name w:val="WW8Num35z2"/>
    <w:qFormat/>
    <w:rPr>
      <w:rFonts w:ascii="Times New Roman" w:hAnsi="Times New Roman" w:cs="Times New Roman"/>
      <w:b w:val="false"/>
      <w:i w:val="false"/>
      <w:sz w:val="22"/>
    </w:rPr>
  </w:style>
  <w:style w:type="character" w:styleId="WW8Num35z4">
    <w:name w:val="WW8Num35z4"/>
    <w:qFormat/>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b w:val="false"/>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Char3">
    <w:name w:val=" Char3"/>
    <w:basedOn w:val="Absatz-Standardschriftart"/>
    <w:qFormat/>
    <w:rPr>
      <w:rFonts w:ascii="Times New Roman Bold;Times New Roman" w:hAnsi="Times New Roman Bold;Times New Roman" w:cs="Arial"/>
      <w:b/>
      <w:bCs/>
      <w:caps/>
      <w:kern w:val="2"/>
      <w:sz w:val="28"/>
      <w:szCs w:val="32"/>
      <w:lang w:val="en-US" w:bidi="ar-SA"/>
    </w:rPr>
  </w:style>
  <w:style w:type="character" w:styleId="Char2">
    <w:name w:val=" Char2"/>
    <w:basedOn w:val="Char3"/>
    <w:qFormat/>
    <w:rPr>
      <w:iCs/>
      <w:sz w:val="24"/>
      <w:szCs w:val="28"/>
    </w:rPr>
  </w:style>
  <w:style w:type="character" w:styleId="TableTextCharCharChar">
    <w:name w:val="Table Text Char Char Char"/>
    <w:basedOn w:val="Absatz-Standardschriftart"/>
    <w:qFormat/>
    <w:rPr>
      <w:sz w:val="22"/>
      <w:szCs w:val="24"/>
      <w:lang w:val="en-US" w:bidi="ar-SA"/>
    </w:rPr>
  </w:style>
  <w:style w:type="character" w:styleId="PageNumber">
    <w:name w:val="page number"/>
    <w:basedOn w:val="Absatz-Standardschriftart"/>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TableTextChar">
    <w:name w:val="Table Text Char"/>
    <w:basedOn w:val="Absatz-Standardschriftart"/>
    <w:qFormat/>
    <w:rPr>
      <w:sz w:val="22"/>
      <w:szCs w:val="24"/>
      <w:lang w:val="en-US" w:bidi="ar-SA"/>
    </w:rPr>
  </w:style>
  <w:style w:type="character" w:styleId="Char1">
    <w:name w:val=" Char1"/>
    <w:basedOn w:val="Char2"/>
    <w:qFormat/>
    <w:rPr>
      <w:bCs/>
      <w:szCs w:val="26"/>
    </w:rPr>
  </w:style>
  <w:style w:type="character" w:styleId="Heading2Char">
    <w:name w:val="Heading 2 Char"/>
    <w:basedOn w:val="Absatz-Standardschriftart"/>
    <w:qFormat/>
    <w:rPr>
      <w:rFonts w:ascii="Times New Roman Bold;Times New Roman" w:hAnsi="Times New Roman Bold;Times New Roman" w:cs="Arial"/>
      <w:b/>
      <w:bCs/>
      <w:iCs/>
      <w:caps/>
      <w:kern w:val="2"/>
      <w:sz w:val="28"/>
      <w:szCs w:val="28"/>
      <w:lang w:val="en-US" w:bidi="ar-SA"/>
    </w:rPr>
  </w:style>
  <w:style w:type="character" w:styleId="CharChar1">
    <w:name w:val=" Char Char1"/>
    <w:basedOn w:val="Absatz-Standardschriftart"/>
    <w:qFormat/>
    <w:rPr>
      <w:rFonts w:ascii="Times New Roman Bold;Times New Roman" w:hAnsi="Times New Roman Bold;Times New Roman" w:cs="Arial"/>
      <w:b/>
      <w:bCs/>
      <w:caps/>
      <w:kern w:val="2"/>
      <w:sz w:val="28"/>
      <w:szCs w:val="32"/>
      <w:lang w:val="en-US" w:bidi="ar-SA"/>
    </w:rPr>
  </w:style>
  <w:style w:type="character" w:styleId="CharChar">
    <w:name w:val=" Char Char"/>
    <w:basedOn w:val="CharChar1"/>
    <w:qFormat/>
    <w:rPr>
      <w:iCs/>
      <w:szCs w:val="28"/>
    </w:rPr>
  </w:style>
  <w:style w:type="character" w:styleId="Kommentarzeichen">
    <w:name w:val="Kommentarzeichen"/>
    <w:basedOn w:val="Absatz-Standardschriftart"/>
    <w:qFormat/>
    <w:rPr>
      <w:sz w:val="16"/>
      <w:szCs w:val="16"/>
    </w:rPr>
  </w:style>
  <w:style w:type="character" w:styleId="FootnoteCharacters">
    <w:name w:val="Footnote Characters"/>
    <w:basedOn w:val="Absatz-Standardschriftart"/>
    <w:qFormat/>
    <w:rPr>
      <w:vertAlign w:val="superscript"/>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TOC4">
    <w:name w:val="toc 4"/>
    <w:basedOn w:val="Normal"/>
    <w:next w:val="Normal"/>
    <w:pPr>
      <w:spacing w:before="0" w:after="0"/>
      <w:ind w:hanging="0" w:start="660" w:end="0"/>
    </w:pPr>
    <w:rPr>
      <w:sz w:val="18"/>
      <w:szCs w:val="18"/>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9"/>
      </w:numPr>
      <w:spacing w:before="240" w:after="240"/>
    </w:pPr>
    <w:rPr/>
  </w:style>
  <w:style w:type="paragraph" w:styleId="TableLevel1Numbered">
    <w:name w:val="Table Level 1 Numbered"/>
    <w:basedOn w:val="Normal"/>
    <w:qFormat/>
    <w:pPr>
      <w:numPr>
        <w:ilvl w:val="0"/>
        <w:numId w:val="8"/>
      </w:numPr>
    </w:pPr>
    <w:rPr/>
  </w:style>
  <w:style w:type="paragraph" w:styleId="TableTextBullet">
    <w:name w:val="Table Text Bullet"/>
    <w:basedOn w:val="Normal"/>
    <w:qFormat/>
    <w:pPr>
      <w:numPr>
        <w:ilvl w:val="0"/>
        <w:numId w:val="17"/>
      </w:numPr>
    </w:pPr>
    <w:rPr/>
  </w:style>
  <w:style w:type="paragraph" w:styleId="Bullet1Table">
    <w:name w:val="Bullet 1 Table"/>
    <w:basedOn w:val="TableTextBullet"/>
    <w:next w:val="TableTextBullet"/>
    <w:qFormat/>
    <w:pPr/>
    <w:rPr/>
  </w:style>
  <w:style w:type="paragraph" w:styleId="Heading1Numbered">
    <w:name w:val="Heading 1 Numbered"/>
    <w:basedOn w:val="Normal"/>
    <w:next w:val="TableText"/>
    <w:qFormat/>
    <w:pPr>
      <w:keepNext w:val="true"/>
      <w:keepLines/>
      <w:spacing w:before="48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Heading3Numbered">
    <w:name w:val="Heading 3 Numbered"/>
    <w:basedOn w:val="Heading2Numbered"/>
    <w:next w:val="TableText"/>
    <w:qFormat/>
    <w:pPr>
      <w:numPr>
        <w:ilvl w:val="0"/>
        <w:numId w:val="13"/>
      </w:numPr>
    </w:pPr>
    <w:rPr/>
  </w:style>
  <w:style w:type="paragraph" w:styleId="Heading4Numbered">
    <w:name w:val="Heading 4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8"/>
      </w:numPr>
    </w:pPr>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0"/>
      </w:numPr>
      <w:spacing w:before="180" w:after="180"/>
    </w:pPr>
    <w:rPr/>
  </w:style>
  <w:style w:type="paragraph" w:styleId="BodyLevel2Numbered">
    <w:name w:val="Body Level 2 Numbered"/>
    <w:basedOn w:val="Normal"/>
    <w:qFormat/>
    <w:pPr>
      <w:numPr>
        <w:ilvl w:val="0"/>
        <w:numId w:val="10"/>
      </w:numPr>
      <w:spacing w:before="180" w:after="180"/>
    </w:pPr>
    <w:rPr/>
  </w:style>
  <w:style w:type="paragraph" w:styleId="BodyLevel3Numbered">
    <w:name w:val="Body Level 3 Numbered"/>
    <w:basedOn w:val="Normal"/>
    <w:qFormat/>
    <w:pPr>
      <w:numPr>
        <w:ilvl w:val="0"/>
        <w:numId w:val="10"/>
      </w:numPr>
      <w:spacing w:before="180" w:after="180"/>
    </w:pPr>
    <w:rPr/>
  </w:style>
  <w:style w:type="paragraph" w:styleId="BodyLevel4Numbered">
    <w:name w:val="Body Level 4 Numbered"/>
    <w:basedOn w:val="Normal"/>
    <w:qFormat/>
    <w:pPr>
      <w:numPr>
        <w:ilvl w:val="0"/>
        <w:numId w:val="10"/>
      </w:numPr>
      <w:spacing w:before="180" w:after="180"/>
    </w:pPr>
    <w:rPr/>
  </w:style>
  <w:style w:type="paragraph" w:styleId="BodyLevel1Text">
    <w:name w:val="Body Level 1 Text"/>
    <w:basedOn w:val="BodyText"/>
    <w:qFormat/>
    <w:pPr>
      <w:ind w:hanging="0" w:start="1620" w:end="0"/>
    </w:pPr>
    <w:rPr/>
  </w:style>
  <w:style w:type="paragraph" w:styleId="BodyLevel2Text">
    <w:name w:val="Body Level 2 Text"/>
    <w:basedOn w:val="BodyText"/>
    <w:qFormat/>
    <w:pPr>
      <w:ind w:hanging="0" w:start="2160" w:end="0"/>
    </w:pPr>
    <w:rPr/>
  </w:style>
  <w:style w:type="paragraph" w:styleId="BodyLevel3Text">
    <w:name w:val="Body Level 3 Text"/>
    <w:basedOn w:val="BodyText"/>
    <w:qFormat/>
    <w:pPr>
      <w:ind w:hanging="0" w:start="2700" w:end="0"/>
    </w:pPr>
    <w:rPr/>
  </w:style>
  <w:style w:type="paragraph" w:styleId="BodyLevel4Text">
    <w:name w:val="Body Level 4 Text"/>
    <w:basedOn w:val="BodyText"/>
    <w:qFormat/>
    <w:pPr>
      <w:ind w:hanging="0" w:start="3240" w:end="0"/>
    </w:pPr>
    <w:rPr/>
  </w:style>
  <w:style w:type="paragraph" w:styleId="Bullet1Level1">
    <w:name w:val="Bullet 1 Level 1"/>
    <w:basedOn w:val="Normal"/>
    <w:qFormat/>
    <w:pPr>
      <w:numPr>
        <w:ilvl w:val="0"/>
        <w:numId w:val="12"/>
      </w:numPr>
    </w:pPr>
    <w:rPr/>
  </w:style>
  <w:style w:type="paragraph" w:styleId="Level1Numbered">
    <w:name w:val="Level 1 Numbered"/>
    <w:basedOn w:val="Normal"/>
    <w:qFormat/>
    <w:pPr>
      <w:numPr>
        <w:ilvl w:val="0"/>
        <w:numId w:val="23"/>
      </w:numPr>
    </w:pPr>
    <w:rPr>
      <w:bCs/>
    </w:rPr>
  </w:style>
  <w:style w:type="paragraph" w:styleId="Sprechblasentext">
    <w:name w:val="Sprechblasentext"/>
    <w:basedOn w:val="Normal"/>
    <w:qFormat/>
    <w:pPr/>
    <w:rPr>
      <w:rFonts w:ascii="Tahoma" w:hAnsi="Tahoma" w:cs="Tahoma"/>
      <w:sz w:val="16"/>
      <w:szCs w:val="16"/>
    </w:rPr>
  </w:style>
  <w:style w:type="paragraph" w:styleId="TableTextCharChar">
    <w:name w:val="Table Text Char Char"/>
    <w:basedOn w:val="Normal"/>
    <w:qFormat/>
    <w:pPr/>
    <w:rPr/>
  </w:style>
  <w:style w:type="paragraph" w:styleId="StyleHeading1NumberedJustified">
    <w:name w:val="Style Heading 1 Numbered + Justified"/>
    <w:basedOn w:val="Heading1Numbered"/>
    <w:qFormat/>
    <w:pPr>
      <w:numPr>
        <w:ilvl w:val="0"/>
        <w:numId w:val="0"/>
      </w:numPr>
      <w:ind w:hanging="0" w:start="0" w:end="0"/>
      <w:jc w:val="both"/>
    </w:pPr>
    <w:rPr>
      <w:bCs/>
      <w:szCs w:val="20"/>
    </w:rPr>
  </w:style>
  <w:style w:type="paragraph" w:styleId="FootnoteText">
    <w:name w:val="footnote text"/>
    <w:basedOn w:val="Normal"/>
    <w:pPr>
      <w:keepLines/>
      <w:spacing w:before="0" w:after="240"/>
      <w:jc w:val="both"/>
    </w:pPr>
    <w:rPr>
      <w:sz w:val="20"/>
      <w:szCs w:val="20"/>
    </w:rPr>
  </w:style>
  <w:style w:type="paragraph" w:styleId="BodyTextBullet">
    <w:name w:val="Body Text Bullet"/>
    <w:basedOn w:val="Normal"/>
    <w:qFormat/>
    <w:pPr>
      <w:numPr>
        <w:ilvl w:val="0"/>
        <w:numId w:val="20"/>
      </w:numPr>
      <w:tabs>
        <w:tab w:val="clear" w:pos="720"/>
        <w:tab w:val="left" w:pos="1440" w:leader="none"/>
      </w:tabs>
      <w:ind w:hanging="360" w:start="1440" w:end="0"/>
    </w:pPr>
    <w:rPr/>
  </w:style>
  <w:style w:type="paragraph" w:styleId="BodyTextBulletL1">
    <w:name w:val="Body Text Bullet L1"/>
    <w:basedOn w:val="Normal"/>
    <w:qFormat/>
    <w:pPr>
      <w:numPr>
        <w:ilvl w:val="0"/>
        <w:numId w:val="21"/>
      </w:numPr>
      <w:ind w:hanging="360" w:start="0" w:end="0"/>
    </w:pPr>
    <w:rPr/>
  </w:style>
  <w:style w:type="paragraph" w:styleId="BodyTextBulletL2">
    <w:name w:val="Body Text Bullet L2"/>
    <w:basedOn w:val="Normal"/>
    <w:qFormat/>
    <w:pPr>
      <w:numPr>
        <w:ilvl w:val="0"/>
        <w:numId w:val="14"/>
      </w:numPr>
      <w:ind w:hanging="367" w:start="0" w:end="0"/>
    </w:pPr>
    <w:rPr/>
  </w:style>
  <w:style w:type="paragraph" w:styleId="BodyTextBulletL3">
    <w:name w:val="Body Text Bullet L3"/>
    <w:basedOn w:val="Normal"/>
    <w:qFormat/>
    <w:pPr>
      <w:numPr>
        <w:ilvl w:val="0"/>
        <w:numId w:val="24"/>
      </w:numPr>
      <w:ind w:hanging="360" w:start="0" w:end="0"/>
    </w:pPr>
    <w:rPr/>
  </w:style>
  <w:style w:type="paragraph" w:styleId="Datum">
    <w:name w:val="Datum"/>
    <w:basedOn w:val="Normal"/>
    <w:next w:val="Normal"/>
    <w:qFormat/>
    <w:pPr/>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1-NoTOC">
    <w:name w:val="Head 1 # - No TOC"/>
    <w:basedOn w:val="Heading1Numbered"/>
    <w:next w:val="BodyText"/>
    <w:qFormat/>
    <w:pPr>
      <w:numPr>
        <w:ilvl w:val="0"/>
        <w:numId w:val="16"/>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2-NoTOC">
    <w:name w:val="Head 2 # - No TOC"/>
    <w:basedOn w:val="Heading2Numbered"/>
    <w:next w:val="BodyText"/>
    <w:qFormat/>
    <w:pPr>
      <w:numPr>
        <w:ilvl w:val="0"/>
        <w:numId w:val="16"/>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3-NoTOC">
    <w:name w:val="Head 3 # - No TOC"/>
    <w:basedOn w:val="Heading3Numbered"/>
    <w:next w:val="BodyText"/>
    <w:qFormat/>
    <w:pPr>
      <w:numPr>
        <w:ilvl w:val="0"/>
        <w:numId w:val="16"/>
      </w:numPr>
    </w:pPr>
    <w:rPr/>
  </w:style>
  <w:style w:type="paragraph" w:styleId="Head4-NoTOCor">
    <w:name w:val="Head 4 - No TOC or #"/>
    <w:basedOn w:val="Heading4"/>
    <w:next w:val="TableText"/>
    <w:qFormat/>
    <w:pPr>
      <w:numPr>
        <w:ilvl w:val="0"/>
        <w:numId w:val="18"/>
      </w:numPr>
    </w:pPr>
    <w:rPr/>
  </w:style>
  <w:style w:type="paragraph" w:styleId="Head4-NoTOC">
    <w:name w:val="Head 4 # - No TOC"/>
    <w:basedOn w:val="Heading4Numbered"/>
    <w:next w:val="BodyText"/>
    <w:qFormat/>
    <w:pPr>
      <w:numPr>
        <w:ilvl w:val="0"/>
        <w:numId w:val="16"/>
      </w:numPr>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TableLevel1-2Bullet">
    <w:name w:val="Table Level 1-2 Bullet"/>
    <w:basedOn w:val="Normal"/>
    <w:qFormat/>
    <w:pPr>
      <w:numPr>
        <w:ilvl w:val="0"/>
        <w:numId w:val="19"/>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3-4Bullet">
    <w:name w:val="Table Level 3-4 Bullet"/>
    <w:basedOn w:val="Normal"/>
    <w:qFormat/>
    <w:pPr>
      <w:numPr>
        <w:ilvl w:val="0"/>
        <w:numId w:val="11"/>
      </w:numPr>
    </w:pPr>
    <w:rPr/>
  </w:style>
  <w:style w:type="paragraph" w:styleId="TableLevel3-4Indent">
    <w:name w:val="Table Level 3-4 Indent"/>
    <w:basedOn w:val="Normal"/>
    <w:qFormat/>
    <w:pPr>
      <w:ind w:hanging="0" w:start="1296" w:end="0"/>
    </w:pPr>
    <w:rPr/>
  </w:style>
  <w:style w:type="paragraph" w:styleId="Bullet1Body">
    <w:name w:val="Bullet 1 Body"/>
    <w:basedOn w:val="BodyTextBullet"/>
    <w:next w:val="BodyTextBullet"/>
    <w:qFormat/>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3"/>
      </w:numPr>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CharCharCharChar">
    <w:name w:val=" Char Char Char Char"/>
    <w:basedOn w:val="Normal"/>
    <w:qFormat/>
    <w:pPr>
      <w:spacing w:lineRule="exact" w:line="240" w:before="0" w:after="160"/>
    </w:pPr>
    <w:rPr>
      <w:rFonts w:ascii="Verdana" w:hAnsi="Verdana" w:cs="Verdana"/>
      <w:sz w:val="20"/>
      <w:szCs w:val="20"/>
    </w:rPr>
  </w:style>
  <w:style w:type="paragraph" w:styleId="CharCharCharCharCharCharCharCharCharChar">
    <w:name w:val=" Char Char Char Char Char Char Char Char Char Char"/>
    <w:basedOn w:val="Normal"/>
    <w:qFormat/>
    <w:pPr>
      <w:spacing w:lineRule="exact" w:line="240" w:before="0" w:after="160"/>
      <w:jc w:val="both"/>
    </w:pPr>
    <w:rPr>
      <w:rFonts w:ascii="Arial" w:hAnsi="Arial" w:cs="Arial"/>
      <w:sz w:val="20"/>
      <w:szCs w:val="20"/>
    </w:rPr>
  </w:style>
  <w:style w:type="paragraph" w:styleId="TableRef1">
    <w:name w:val="Table Ref # +1"/>
    <w:basedOn w:val="TableRef"/>
    <w:qFormat/>
    <w:pPr/>
    <w:rPr>
      <w:lang w:val="en-GB"/>
    </w:rPr>
  </w:style>
  <w:style w:type="paragraph" w:styleId="TableRef11">
    <w:name w:val="Table Ref #+1"/>
    <w:basedOn w:val="TableRef"/>
    <w:qFormat/>
    <w:pPr/>
    <w:rPr>
      <w:lang w:val="en-GB"/>
    </w:rPr>
  </w:style>
  <w:style w:type="paragraph" w:styleId="StyleTableLevel1NumberedLeft102cm">
    <w:name w:val="Style Table Level 1 Numbered + Left:  102 cm"/>
    <w:basedOn w:val="TableLevel1Numbered"/>
    <w:qFormat/>
    <w:pPr>
      <w:numPr>
        <w:ilvl w:val="0"/>
        <w:numId w:val="22"/>
      </w:numPr>
    </w:pPr>
    <w:rPr>
      <w:szCs w:val="20"/>
    </w:rPr>
  </w:style>
  <w:style w:type="paragraph" w:styleId="Kommentartext">
    <w:name w:val="Kommentartext"/>
    <w:basedOn w:val="Normal"/>
    <w:qFormat/>
    <w:pPr/>
    <w:rPr>
      <w:sz w:val="20"/>
      <w:szCs w:val="20"/>
    </w:rPr>
  </w:style>
  <w:style w:type="paragraph" w:styleId="Kommentarthema">
    <w:name w:val="Kommentarthema"/>
    <w:basedOn w:val="Kommentartext"/>
    <w:next w:val="Kommentartext"/>
    <w:qFormat/>
    <w:pPr/>
    <w:rPr>
      <w:b/>
      <w:bCs/>
    </w:rPr>
  </w:style>
  <w:style w:type="paragraph" w:styleId="Char">
    <w:name w:val=" Char"/>
    <w:basedOn w:val="Normal"/>
    <w:qFormat/>
    <w:pPr>
      <w:spacing w:lineRule="exact" w:line="240" w:before="0" w:after="160"/>
      <w:jc w:val="both"/>
    </w:pPr>
    <w:rPr>
      <w:rFonts w:ascii="Arial" w:hAnsi="Arial" w:cs="Arial"/>
      <w:sz w:val="20"/>
      <w:szCs w:val="20"/>
    </w:rPr>
  </w:style>
  <w:style w:type="paragraph" w:styleId="Char1CharCharChar">
    <w:name w:val=" Char1 Char Char Char"/>
    <w:basedOn w:val="Normal"/>
    <w:qFormat/>
    <w:pPr>
      <w:spacing w:lineRule="exact" w:line="240" w:before="0" w:after="160"/>
      <w:jc w:val="both"/>
    </w:pPr>
    <w:rPr>
      <w:rFonts w:ascii="Arial" w:hAnsi="Arial" w:cs="Arial"/>
      <w:sz w:val="20"/>
      <w:szCs w:val="20"/>
    </w:rPr>
  </w:style>
  <w:style w:type="paragraph" w:styleId="StyleTableTextCentered">
    <w:name w:val="Style Table Text + Centered"/>
    <w:basedOn w:val="TableText"/>
    <w:qFormat/>
    <w:pPr>
      <w:jc w:val="center"/>
    </w:pPr>
    <w:rPr>
      <w:szCs w:val="20"/>
    </w:rPr>
  </w:style>
  <w:style w:type="paragraph" w:styleId="Legal2L4">
    <w:name w:val="Legal2_L4"/>
    <w:basedOn w:val="Normal"/>
    <w:next w:val="BodyText"/>
    <w:qFormat/>
    <w:pPr>
      <w:tabs>
        <w:tab w:val="clear" w:pos="720"/>
        <w:tab w:val="left" w:pos="2160" w:leader="none"/>
        <w:tab w:val="left" w:pos="2520" w:leader="none"/>
      </w:tabs>
      <w:spacing w:before="0" w:after="240"/>
      <w:ind w:firstLine="2160" w:start="2160" w:end="0"/>
      <w:jc w:val="both"/>
      <w:outlineLvl w:val="3"/>
    </w:pPr>
    <w:rPr>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1.wmf"/><Relationship Id="rId3"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2007-01-29T20:08:00Z</dcterms:created>
  <dc:creator>Bob Szambelan</dc:creator>
  <dc:description/>
  <cp:keywords>General Accounting</cp:keywords>
  <dc:language>en-US</dc:language>
  <cp:lastModifiedBy>Wenger Platter</cp:lastModifiedBy>
  <cp:lastPrinted>2007-01-30T13:29:00Z</cp:lastPrinted>
  <dcterms:modified xsi:type="dcterms:W3CDTF">2007-01-30T17:59:00Z</dcterms:modified>
  <cp:revision>3</cp:revision>
  <dc:subject>E2.8 - General Accounting</dc:subject>
  <dc:title>RFP8 - F&amp;A SOW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Order">
    <vt:lpwstr>16000.0000000000</vt:lpwstr>
  </property>
  <property fmtid="{D5CDD505-2E9C-101B-9397-08002B2CF9AE}" pid="5" name="Project">
    <vt:lpwstr>RFP 8</vt:lpwstr>
  </property>
  <property fmtid="{D5CDD505-2E9C-101B-9397-08002B2CF9AE}" pid="6" name="Status">
    <vt:lpwstr>Draft</vt:lpwstr>
  </property>
  <property fmtid="{D5CDD505-2E9C-101B-9397-08002B2CF9AE}" pid="7" name="TPI_RefPrefix">
    <vt:lpwstr>E2.2 - A</vt:lpwstr>
  </property>
</Properties>
</file>