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t>GlobalPharma</w:t>
      </w:r>
    </w:p>
    <w:p>
      <w:pPr>
        <w:pStyle w:val="Titel"/>
        <w:rPr/>
      </w:pPr>
      <w:r>
        <w:rPr/>
      </w:r>
    </w:p>
    <w:p>
      <w:pPr>
        <w:pStyle w:val="Titel"/>
        <w:rPr/>
      </w:pPr>
      <w:r>
        <w:rPr/>
        <w:t>exhibit 14</w:t>
      </w:r>
    </w:p>
    <w:p>
      <w:pPr>
        <w:pStyle w:val="Titel"/>
        <w:rPr/>
      </w:pPr>
      <w:r>
        <w:rPr/>
      </w:r>
    </w:p>
    <w:p>
      <w:pPr>
        <w:pStyle w:val="Titel"/>
        <w:rPr/>
      </w:pPr>
      <w:r>
        <w:rPr/>
        <w:t>customer satisfaction surveys</w:t>
      </w:r>
    </w:p>
    <w:p>
      <w:pPr>
        <w:pStyle w:val="Titel"/>
        <w:rPr/>
      </w:pPr>
      <w:r>
        <w:rPr/>
      </w:r>
    </w:p>
    <w:p>
      <w:pPr>
        <w:pStyle w:val="Titel"/>
        <w:rPr/>
      </w:pPr>
      <w:r>
        <w:rPr/>
      </w:r>
    </w:p>
    <w:tbl>
      <w:tblPr>
        <w:tblW w:w="6936" w:type="dxa"/>
        <w:jc w:val="center"/>
        <w:tblInd w:w="0" w:type="dxa"/>
        <w:tblLayout w:type="fixed"/>
        <w:tblCellMar>
          <w:top w:w="0" w:type="dxa"/>
          <w:start w:w="108" w:type="dxa"/>
          <w:bottom w:w="0" w:type="dxa"/>
          <w:end w:w="108" w:type="dxa"/>
        </w:tblCellMar>
      </w:tblPr>
      <w:tblGrid>
        <w:gridCol w:w="6936"/>
      </w:tblGrid>
      <w:tr>
        <w:trPr/>
        <w:tc>
          <w:tcPr>
            <w:tcW w:w="693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pStyle w:val="Normal"/>
        <w:rPr/>
      </w:pPr>
      <w:r>
        <w:rPr/>
      </w:r>
      <w:r>
        <w:br w:type="page"/>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8772"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"Formatvorlage1;1" </w:instrText>
          </w:r>
          <w:r>
            <w:rPr>
              <w:rStyle w:val="IndexLink"/>
              <w:lang w:val="en-US" w:eastAsia="en-US"/>
            </w:rPr>
            <w:fldChar w:fldCharType="separate"/>
          </w:r>
          <w:hyperlink w:anchor="__RefHeading___Toc157779540">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1"/>
            <w:tabs>
              <w:tab w:val="clear" w:pos="720"/>
              <w:tab w:val="left" w:pos="660" w:leader="none"/>
              <w:tab w:val="right" w:pos="8772" w:leader="dot"/>
            </w:tabs>
            <w:rPr>
              <w:b w:val="false"/>
              <w:bCs w:val="false"/>
              <w:caps w:val="false"/>
              <w:smallCaps w:val="false"/>
              <w:sz w:val="24"/>
              <w:szCs w:val="24"/>
              <w:lang w:val="de-CH" w:eastAsia="en-US"/>
            </w:rPr>
          </w:pPr>
          <w:hyperlink w:anchor="__RefHeading___Toc157779541">
            <w:r>
              <w:rPr>
                <w:rStyle w:val="IndexLink"/>
                <w:lang w:val="en-US" w:eastAsia="en-US"/>
              </w:rPr>
              <w:t>2.0</w:t>
            </w:r>
            <w:r>
              <w:rPr>
                <w:rStyle w:val="IndexLink"/>
                <w:b w:val="false"/>
                <w:bCs w:val="false"/>
                <w:caps w:val="false"/>
                <w:smallCaps w:val="false"/>
                <w:sz w:val="24"/>
                <w:szCs w:val="24"/>
                <w:lang w:val="de-CH" w:eastAsia="en-US"/>
              </w:rPr>
              <w:tab/>
            </w:r>
            <w:r>
              <w:rPr>
                <w:rStyle w:val="IndexLink"/>
                <w:lang w:val="en-US" w:eastAsia="en-US"/>
              </w:rPr>
              <w:t>general requirements</w:t>
              <w:tab/>
              <w:t>3</w:t>
            </w:r>
          </w:hyperlink>
        </w:p>
        <w:p>
          <w:pPr>
            <w:pStyle w:val="TOC1"/>
            <w:tabs>
              <w:tab w:val="clear" w:pos="720"/>
              <w:tab w:val="left" w:pos="660" w:leader="none"/>
              <w:tab w:val="right" w:pos="8772" w:leader="dot"/>
            </w:tabs>
            <w:rPr>
              <w:b w:val="false"/>
              <w:bCs w:val="false"/>
              <w:caps w:val="false"/>
              <w:smallCaps w:val="false"/>
              <w:sz w:val="24"/>
              <w:szCs w:val="24"/>
              <w:lang w:val="de-CH" w:eastAsia="en-US"/>
            </w:rPr>
          </w:pPr>
          <w:hyperlink w:anchor="__RefHeading___Toc157779542">
            <w:r>
              <w:rPr>
                <w:rStyle w:val="IndexLink"/>
                <w:lang w:val="en-US" w:eastAsia="en-US"/>
              </w:rPr>
              <w:t>3.0</w:t>
            </w:r>
            <w:r>
              <w:rPr>
                <w:rStyle w:val="IndexLink"/>
                <w:b w:val="false"/>
                <w:bCs w:val="false"/>
                <w:caps w:val="false"/>
                <w:smallCaps w:val="false"/>
                <w:sz w:val="24"/>
                <w:szCs w:val="24"/>
                <w:lang w:val="de-CH" w:eastAsia="en-US"/>
              </w:rPr>
              <w:tab/>
            </w:r>
            <w:r>
              <w:rPr>
                <w:rStyle w:val="IndexLink"/>
                <w:lang w:val="en-US" w:eastAsia="en-US"/>
              </w:rPr>
              <w:t>executive customer satisfaction surveys</w:t>
              <w:tab/>
              <w:t>4</w:t>
            </w:r>
          </w:hyperlink>
        </w:p>
        <w:p>
          <w:pPr>
            <w:pStyle w:val="TOC1"/>
            <w:tabs>
              <w:tab w:val="clear" w:pos="720"/>
              <w:tab w:val="left" w:pos="660" w:leader="none"/>
              <w:tab w:val="right" w:pos="8772" w:leader="dot"/>
            </w:tabs>
            <w:rPr>
              <w:b w:val="false"/>
              <w:bCs w:val="false"/>
              <w:caps w:val="false"/>
              <w:smallCaps w:val="false"/>
              <w:sz w:val="24"/>
              <w:szCs w:val="24"/>
              <w:lang w:val="de-CH" w:eastAsia="en-US"/>
            </w:rPr>
          </w:pPr>
          <w:hyperlink w:anchor="__RefHeading___Toc157779543">
            <w:r>
              <w:rPr>
                <w:rStyle w:val="IndexLink"/>
                <w:lang w:val="en-US" w:eastAsia="en-US"/>
              </w:rPr>
              <w:t>4.0</w:t>
            </w:r>
            <w:r>
              <w:rPr>
                <w:rStyle w:val="IndexLink"/>
                <w:b w:val="false"/>
                <w:bCs w:val="false"/>
                <w:caps w:val="false"/>
                <w:smallCaps w:val="false"/>
                <w:sz w:val="24"/>
                <w:szCs w:val="24"/>
                <w:lang w:val="de-CH" w:eastAsia="en-US"/>
              </w:rPr>
              <w:tab/>
            </w:r>
            <w:r>
              <w:rPr>
                <w:rStyle w:val="IndexLink"/>
                <w:lang w:val="en-US" w:eastAsia="en-US"/>
              </w:rPr>
              <w:t>business unit management customer satisfaction surveys</w:t>
              <w:tab/>
              <w:t>4</w:t>
            </w:r>
          </w:hyperlink>
        </w:p>
        <w:p>
          <w:pPr>
            <w:pStyle w:val="TOC1"/>
            <w:tabs>
              <w:tab w:val="clear" w:pos="720"/>
              <w:tab w:val="left" w:pos="660" w:leader="none"/>
              <w:tab w:val="right" w:pos="8772" w:leader="dot"/>
            </w:tabs>
            <w:rPr>
              <w:b w:val="false"/>
              <w:bCs w:val="false"/>
              <w:caps w:val="false"/>
              <w:smallCaps w:val="false"/>
              <w:sz w:val="24"/>
              <w:szCs w:val="24"/>
              <w:lang w:val="de-CH" w:eastAsia="en-US"/>
            </w:rPr>
          </w:pPr>
          <w:hyperlink w:anchor="__RefHeading___Toc157779544">
            <w:r>
              <w:rPr>
                <w:rStyle w:val="IndexLink"/>
                <w:lang w:val="en-US" w:eastAsia="en-US"/>
              </w:rPr>
              <w:t>5.0</w:t>
            </w:r>
            <w:r>
              <w:rPr>
                <w:rStyle w:val="IndexLink"/>
                <w:b w:val="false"/>
                <w:bCs w:val="false"/>
                <w:caps w:val="false"/>
                <w:smallCaps w:val="false"/>
                <w:sz w:val="24"/>
                <w:szCs w:val="24"/>
                <w:lang w:val="de-CH" w:eastAsia="en-US"/>
              </w:rPr>
              <w:tab/>
            </w:r>
            <w:r>
              <w:rPr>
                <w:rStyle w:val="IndexLink"/>
                <w:lang w:val="en-US" w:eastAsia="en-US"/>
              </w:rPr>
              <w:t>Geographic customer satisfaction surveys</w:t>
              <w:tab/>
              <w:t>5</w:t>
            </w:r>
          </w:hyperlink>
        </w:p>
        <w:p>
          <w:pPr>
            <w:pStyle w:val="TOC1"/>
            <w:tabs>
              <w:tab w:val="clear" w:pos="720"/>
              <w:tab w:val="left" w:pos="660" w:leader="none"/>
              <w:tab w:val="right" w:pos="8772" w:leader="dot"/>
            </w:tabs>
            <w:rPr>
              <w:b w:val="false"/>
              <w:bCs w:val="false"/>
              <w:caps w:val="false"/>
              <w:smallCaps w:val="false"/>
              <w:sz w:val="24"/>
              <w:szCs w:val="24"/>
              <w:lang w:val="de-CH" w:eastAsia="en-US"/>
            </w:rPr>
          </w:pPr>
          <w:hyperlink w:anchor="__RefHeading___Toc157779545">
            <w:r>
              <w:rPr>
                <w:rStyle w:val="IndexLink"/>
                <w:lang w:val="en-US" w:eastAsia="en-US"/>
              </w:rPr>
              <w:t>6.0</w:t>
            </w:r>
            <w:r>
              <w:rPr>
                <w:rStyle w:val="IndexLink"/>
                <w:b w:val="false"/>
                <w:bCs w:val="false"/>
                <w:caps w:val="false"/>
                <w:smallCaps w:val="false"/>
                <w:sz w:val="24"/>
                <w:szCs w:val="24"/>
                <w:lang w:val="de-CH" w:eastAsia="en-US"/>
              </w:rPr>
              <w:tab/>
            </w:r>
            <w:r>
              <w:rPr>
                <w:rStyle w:val="IndexLink"/>
                <w:lang w:val="en-US" w:eastAsia="en-US"/>
              </w:rPr>
              <w:t>annual end user customer satisfaction surveys</w:t>
              <w:tab/>
              <w:t>5</w:t>
            </w:r>
          </w:hyperlink>
        </w:p>
        <w:p>
          <w:pPr>
            <w:pStyle w:val="TOC1"/>
            <w:tabs>
              <w:tab w:val="clear" w:pos="720"/>
              <w:tab w:val="left" w:pos="660" w:leader="none"/>
              <w:tab w:val="right" w:pos="8772" w:leader="dot"/>
            </w:tabs>
            <w:rPr>
              <w:sz w:val="24"/>
              <w:szCs w:val="24"/>
              <w:lang w:val="de-CH" w:eastAsia="en-US"/>
            </w:rPr>
          </w:pPr>
          <w:hyperlink w:anchor="__RefHeading___Toc157779546">
            <w:r>
              <w:rPr>
                <w:rStyle w:val="IndexLink"/>
                <w:b w:val="false"/>
                <w:bCs w:val="false"/>
                <w:caps w:val="false"/>
                <w:smallCaps w:val="false"/>
                <w:lang w:val="en-US" w:eastAsia="en-US"/>
              </w:rPr>
              <w:t>7.0</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point of service customer satisfaction surveys</w:t>
              <w:tab/>
              <w:t>6</w:t>
            </w:r>
          </w:hyperlink>
          <w:r>
            <w:rPr>
              <w:rStyle w:val="IndexLink"/>
              <w:smallCaps w:val="false"/>
              <w:caps w:val="false"/>
              <w:b w:val="false"/>
              <w:bCs w:val="false"/>
              <w:lang w:val="en-US" w:eastAsia="en-US"/>
            </w:rPr>
            <w:fldChar w:fldCharType="end"/>
          </w:r>
        </w:p>
      </w:sdtContent>
    </w:sdt>
    <w:p>
      <w:pPr>
        <w:pStyle w:val="Normal"/>
        <w:numPr>
          <w:ilvl w:val="0"/>
          <w:numId w:val="0"/>
        </w:numPr>
        <w:rPr>
          <w:b/>
          <w:bCs/>
          <w:caps/>
          <w:sz w:val="24"/>
          <w:szCs w:val="24"/>
          <w:lang w:val="de-CH" w:eastAsia="en-US"/>
        </w:rPr>
      </w:pPr>
      <w:r>
        <w:rPr>
          <w:b/>
          <w:bCs/>
          <w:caps/>
          <w:sz w:val="24"/>
          <w:szCs w:val="24"/>
          <w:lang w:val="de-CH" w:eastAsia="en-US"/>
        </w:rPr>
      </w:r>
      <w:r>
        <w:br w:type="page"/>
      </w:r>
    </w:p>
    <w:p>
      <w:pPr>
        <w:pStyle w:val="Normal"/>
        <w:rPr/>
      </w:pPr>
      <w:r>
        <w:rPr/>
      </w:r>
    </w:p>
    <w:p>
      <w:pPr>
        <w:pStyle w:val="Formatvorlage1"/>
        <w:numPr>
          <w:ilvl w:val="0"/>
          <w:numId w:val="11"/>
        </w:numPr>
        <w:ind w:hanging="0" w:start="0"/>
        <w:rPr/>
      </w:pPr>
      <w:bookmarkStart w:id="0" w:name="__RefHeading___Toc157779540"/>
      <w:bookmarkEnd w:id="0"/>
      <w:r>
        <w:rPr/>
        <w:t>introduction</w:t>
      </w:r>
    </w:p>
    <w:p>
      <w:pPr>
        <w:pStyle w:val="TableText"/>
        <w:rPr/>
      </w:pPr>
      <w:r>
        <w:rPr/>
        <w:t>This Exhibit describes the requirements related to Customer Satisfaction Surveys.</w:t>
      </w:r>
    </w:p>
    <w:p>
      <w:pPr>
        <w:pStyle w:val="TableText"/>
        <w:rPr/>
      </w:pPr>
      <w:r>
        <w:rPr/>
        <w:t>The following Attachments are attached hereto to this Exhibit and are hereby incorporated by reference:</w:t>
      </w:r>
    </w:p>
    <w:p>
      <w:pPr>
        <w:pStyle w:val="TableText"/>
        <w:rPr/>
      </w:pPr>
      <w:r>
        <w:rPr>
          <w:b/>
          <w:bCs/>
        </w:rPr>
        <w:t>Attachment 14-A</w:t>
      </w:r>
      <w:r>
        <w:rPr/>
        <w:t>: Sample Point of Service Survey. The Service Provider will use the sample survey contained in the Attachment as the basis for conducting point of service satisfaction measurements.</w:t>
      </w:r>
    </w:p>
    <w:p>
      <w:pPr>
        <w:pStyle w:val="TableText"/>
        <w:rPr/>
      </w:pPr>
      <w:r>
        <w:rPr/>
        <w:t>GlobalPharma will have overall review and approval of the customer satisfaction surveys, to include input and approval of the survey recipients, the survey methodology, and the survey questions.</w:t>
      </w:r>
    </w:p>
    <w:p>
      <w:pPr>
        <w:pStyle w:val="TableText"/>
        <w:rPr/>
      </w:pPr>
      <w:r>
        <w:rPr/>
        <w:t>The minimum rating expected is 60% of the highest rating achievable. The expected rating is 80% of the highest rating achievable.</w:t>
      </w:r>
    </w:p>
    <w:p>
      <w:pPr>
        <w:pStyle w:val="TableText"/>
        <w:rPr/>
      </w:pPr>
      <w:r>
        <w:rPr/>
        <w:t xml:space="preserve">Sections 2.0 through 7.0, inclusive, are guiding principles for the management of Customer Satisfaction. </w:t>
      </w:r>
      <w:r>
        <w:rPr>
          <w:b/>
        </w:rPr>
        <w:t>Attachment 14-A</w:t>
      </w:r>
      <w:r>
        <w:rPr/>
        <w:t xml:space="preserve"> illustrates the Service Provider EVoC tool that will be used to facilitate the sections discussed below.</w:t>
      </w:r>
    </w:p>
    <w:p>
      <w:pPr>
        <w:pStyle w:val="Formatvorlage1"/>
        <w:numPr>
          <w:ilvl w:val="0"/>
          <w:numId w:val="11"/>
        </w:numPr>
        <w:ind w:hanging="0" w:start="0"/>
        <w:rPr/>
      </w:pPr>
      <w:bookmarkStart w:id="1" w:name="__RefHeading___Toc157779541"/>
      <w:bookmarkEnd w:id="1"/>
      <w:r>
        <w:rPr/>
        <w:t>general requirements</w:t>
      </w:r>
    </w:p>
    <w:p>
      <w:pPr>
        <w:pStyle w:val="TableText"/>
        <w:rPr/>
      </w:pPr>
      <w:r>
        <w:rPr/>
        <w:t>The Service Provider’s responsibilities include:</w:t>
      </w:r>
    </w:p>
    <w:p>
      <w:pPr>
        <w:pStyle w:val="TableLevel1Numbered"/>
        <w:numPr>
          <w:ilvl w:val="0"/>
          <w:numId w:val="8"/>
        </w:numPr>
        <w:ind w:hanging="0" w:start="0"/>
        <w:rPr/>
      </w:pPr>
      <w:r>
        <w:rPr/>
        <w:t>Conducting Customer Satisfaction Surveys for the following categories of Authorized Users:</w:t>
      </w:r>
    </w:p>
    <w:p>
      <w:pPr>
        <w:pStyle w:val="TableLevel2Numbered"/>
        <w:numPr>
          <w:ilvl w:val="1"/>
          <w:numId w:val="8"/>
        </w:numPr>
        <w:ind w:hanging="0" w:start="0"/>
        <w:rPr/>
      </w:pPr>
      <w:r>
        <w:rPr/>
        <w:t>Executive Customer Satisfaction Survey.</w:t>
      </w:r>
    </w:p>
    <w:p>
      <w:pPr>
        <w:pStyle w:val="TableLevel2Numbered"/>
        <w:numPr>
          <w:ilvl w:val="1"/>
          <w:numId w:val="8"/>
        </w:numPr>
        <w:ind w:hanging="0" w:start="0"/>
        <w:rPr/>
      </w:pPr>
      <w:r>
        <w:rPr/>
        <w:t>Business Unit Management Customer Satisfaction Survey.</w:t>
      </w:r>
    </w:p>
    <w:p>
      <w:pPr>
        <w:pStyle w:val="TableLevel2Numbered"/>
        <w:numPr>
          <w:ilvl w:val="1"/>
          <w:numId w:val="8"/>
        </w:numPr>
        <w:ind w:hanging="0" w:start="0"/>
        <w:rPr/>
      </w:pPr>
      <w:r>
        <w:rPr/>
        <w:t>Geographic Customer Satisfaction Surveys.</w:t>
      </w:r>
    </w:p>
    <w:p>
      <w:pPr>
        <w:pStyle w:val="TableLevel2Numbered"/>
        <w:numPr>
          <w:ilvl w:val="1"/>
          <w:numId w:val="8"/>
        </w:numPr>
        <w:ind w:hanging="0" w:start="0"/>
        <w:rPr/>
      </w:pPr>
      <w:r>
        <w:rPr/>
        <w:t>Annual end user (GlobalPharma finance business partners as agreed with GlobalPharma) Customer Satisfaction Survey.</w:t>
      </w:r>
    </w:p>
    <w:p>
      <w:pPr>
        <w:pStyle w:val="TableLevel2Numbered"/>
        <w:numPr>
          <w:ilvl w:val="1"/>
          <w:numId w:val="8"/>
        </w:numPr>
        <w:ind w:hanging="0" w:start="0"/>
        <w:rPr/>
      </w:pPr>
      <w:r>
        <w:rPr/>
        <w:t>Point of Service Customer Satisfaction Surveys.</w:t>
      </w:r>
    </w:p>
    <w:p>
      <w:pPr>
        <w:pStyle w:val="TableLevel1Numbered"/>
        <w:numPr>
          <w:ilvl w:val="0"/>
          <w:numId w:val="8"/>
        </w:numPr>
        <w:ind w:hanging="0" w:start="0"/>
        <w:rPr/>
      </w:pPr>
      <w:r>
        <w:rPr/>
        <w:t>Measuring customer satisfaction in all surveys for the following general attributes:</w:t>
      </w:r>
    </w:p>
    <w:p>
      <w:pPr>
        <w:pStyle w:val="TableLevel2Numbered"/>
        <w:numPr>
          <w:ilvl w:val="1"/>
          <w:numId w:val="8"/>
        </w:numPr>
        <w:ind w:hanging="0" w:start="0"/>
        <w:rPr/>
      </w:pPr>
      <w:r>
        <w:rPr/>
        <w:t>Willingness to recommend</w:t>
      </w:r>
    </w:p>
    <w:p>
      <w:pPr>
        <w:pStyle w:val="TableLevel2Numbered"/>
        <w:numPr>
          <w:ilvl w:val="1"/>
          <w:numId w:val="8"/>
        </w:numPr>
        <w:ind w:hanging="0" w:start="0"/>
        <w:rPr/>
      </w:pPr>
      <w:r>
        <w:rPr/>
        <w:t>Support functions effectiveness (quality, HR, IT, billing, training)</w:t>
      </w:r>
    </w:p>
    <w:p>
      <w:pPr>
        <w:pStyle w:val="TableLevel2Numbered"/>
        <w:numPr>
          <w:ilvl w:val="1"/>
          <w:numId w:val="8"/>
        </w:numPr>
        <w:ind w:hanging="0" w:start="0"/>
        <w:rPr/>
      </w:pPr>
      <w:r>
        <w:rPr/>
        <w:t>Process improvement</w:t>
      </w:r>
    </w:p>
    <w:p>
      <w:pPr>
        <w:pStyle w:val="TableLevel2Numbered"/>
        <w:numPr>
          <w:ilvl w:val="1"/>
          <w:numId w:val="8"/>
        </w:numPr>
        <w:ind w:hanging="0" w:start="0"/>
        <w:rPr/>
      </w:pPr>
      <w:r>
        <w:rPr/>
        <w:t>People management</w:t>
      </w:r>
    </w:p>
    <w:p>
      <w:pPr>
        <w:pStyle w:val="TableLevel2Numbered"/>
        <w:numPr>
          <w:ilvl w:val="1"/>
          <w:numId w:val="8"/>
        </w:numPr>
        <w:ind w:hanging="0" w:start="0"/>
        <w:rPr/>
      </w:pPr>
      <w:r>
        <w:rPr/>
        <w:t>Operational performance</w:t>
      </w:r>
    </w:p>
    <w:p>
      <w:pPr>
        <w:pStyle w:val="TableLevel2Numbered"/>
        <w:numPr>
          <w:ilvl w:val="1"/>
          <w:numId w:val="8"/>
        </w:numPr>
        <w:ind w:hanging="0" w:start="0"/>
        <w:rPr/>
      </w:pPr>
      <w:r>
        <w:rPr/>
        <w:t>Communication (responsiveness).</w:t>
      </w:r>
    </w:p>
    <w:p>
      <w:pPr>
        <w:pStyle w:val="TableLevel2Numbered"/>
        <w:numPr>
          <w:ilvl w:val="1"/>
          <w:numId w:val="8"/>
        </w:numPr>
        <w:ind w:hanging="0" w:start="0"/>
        <w:rPr/>
      </w:pPr>
      <w:r>
        <w:rPr/>
        <w:t>Overall satisfaction.</w:t>
      </w:r>
    </w:p>
    <w:p>
      <w:pPr>
        <w:pStyle w:val="TableLevel1Numbered"/>
        <w:numPr>
          <w:ilvl w:val="0"/>
          <w:numId w:val="8"/>
        </w:numPr>
        <w:ind w:hanging="0" w:start="0"/>
        <w:rPr/>
      </w:pPr>
      <w:r>
        <w:rPr/>
        <w:t>Measuring customer satisfaction for each Tower or unique Service provided, based on the audience for each survey.</w:t>
      </w:r>
    </w:p>
    <w:p>
      <w:pPr>
        <w:pStyle w:val="TableLevel1Numbered"/>
        <w:numPr>
          <w:ilvl w:val="0"/>
          <w:numId w:val="8"/>
        </w:numPr>
        <w:ind w:hanging="0" w:start="0"/>
        <w:rPr/>
      </w:pPr>
      <w:r>
        <w:rPr/>
        <w:t xml:space="preserve">Measuring the satisfaction with the value of the Services provided by the Service Provider in the Executive Customer Satisfaction Survey and the Business Unit Management Customer Satisfaction Survey (align with </w:t>
      </w:r>
      <w:r>
        <w:rPr>
          <w:b/>
        </w:rPr>
        <w:t>Attachment 6-A</w:t>
      </w:r>
      <w:r>
        <w:rPr/>
        <w:t>).</w:t>
      </w:r>
    </w:p>
    <w:p>
      <w:pPr>
        <w:pStyle w:val="TableLevel1Numbered"/>
        <w:numPr>
          <w:ilvl w:val="0"/>
          <w:numId w:val="8"/>
        </w:numPr>
        <w:ind w:hanging="0" w:start="0"/>
        <w:rPr/>
      </w:pPr>
      <w:r>
        <w:rPr/>
        <w:t>Developing the materials and methodology for each survey, and:</w:t>
      </w:r>
    </w:p>
    <w:p>
      <w:pPr>
        <w:pStyle w:val="TableLevel2Numbered"/>
        <w:numPr>
          <w:ilvl w:val="1"/>
          <w:numId w:val="8"/>
        </w:numPr>
        <w:ind w:hanging="0" w:start="0"/>
        <w:rPr/>
      </w:pPr>
      <w:r>
        <w:rPr/>
        <w:t>Submitting the materials and methodology to GlobalPharma for its approval at least thirty (30) working days prior to the scheduled start date for each survey.</w:t>
      </w:r>
    </w:p>
    <w:p>
      <w:pPr>
        <w:pStyle w:val="TableLevel1Numbered"/>
        <w:numPr>
          <w:ilvl w:val="0"/>
          <w:numId w:val="8"/>
        </w:numPr>
        <w:ind w:hanging="0" w:start="0"/>
        <w:rPr/>
      </w:pPr>
      <w:r>
        <w:rPr/>
        <w:t xml:space="preserve">Tracking survey response rates. </w:t>
      </w:r>
    </w:p>
    <w:p>
      <w:pPr>
        <w:pStyle w:val="TableLevel1Numbered"/>
        <w:numPr>
          <w:ilvl w:val="0"/>
          <w:numId w:val="8"/>
        </w:numPr>
        <w:ind w:hanging="0" w:start="0"/>
        <w:rPr/>
      </w:pPr>
      <w:r>
        <w:rPr/>
        <w:t>Communicating with Authorized Users on a proactive basis to achieve a minimum response rate specified for each survey.</w:t>
      </w:r>
    </w:p>
    <w:p>
      <w:pPr>
        <w:pStyle w:val="TableLevel2Numbered"/>
        <w:numPr>
          <w:ilvl w:val="1"/>
          <w:numId w:val="8"/>
        </w:numPr>
        <w:ind w:hanging="0" w:start="0"/>
        <w:rPr/>
      </w:pPr>
      <w:r>
        <w:rPr/>
        <w:t>At least a twenty-five percent (25%) response rate from the Annual End User Customer Satisfaction Survey.</w:t>
      </w:r>
    </w:p>
    <w:p>
      <w:pPr>
        <w:pStyle w:val="TableLevel2Numbered"/>
        <w:numPr>
          <w:ilvl w:val="1"/>
          <w:numId w:val="8"/>
        </w:numPr>
        <w:ind w:hanging="0" w:start="0"/>
        <w:rPr/>
      </w:pPr>
      <w:r>
        <w:rPr/>
        <w:t>At least a twenty-five percent (25%) response rate from the Point of Service Customer Satisfaction Survey.</w:t>
      </w:r>
    </w:p>
    <w:p>
      <w:pPr>
        <w:pStyle w:val="TableLevel1Numbered"/>
        <w:numPr>
          <w:ilvl w:val="0"/>
          <w:numId w:val="8"/>
        </w:numPr>
        <w:ind w:hanging="0" w:start="0"/>
        <w:rPr/>
      </w:pPr>
      <w:r>
        <w:rPr/>
        <w:t>Receiving completed surveys from Authorized Users and tabulating results from the surveys.</w:t>
      </w:r>
    </w:p>
    <w:p>
      <w:pPr>
        <w:pStyle w:val="TableLevel1Numbered"/>
        <w:numPr>
          <w:ilvl w:val="0"/>
          <w:numId w:val="8"/>
        </w:numPr>
        <w:ind w:hanging="0" w:start="0"/>
        <w:rPr/>
      </w:pPr>
      <w:r>
        <w:rPr/>
        <w:t>Reporting the results to:</w:t>
      </w:r>
    </w:p>
    <w:p>
      <w:pPr>
        <w:pStyle w:val="TableLevel2Numbered"/>
        <w:numPr>
          <w:ilvl w:val="1"/>
          <w:numId w:val="8"/>
        </w:numPr>
        <w:ind w:hanging="0" w:start="0"/>
        <w:rPr/>
      </w:pPr>
      <w:r>
        <w:rPr/>
        <w:t>The GlobalPharma Contract Executive and Contract Manager.</w:t>
      </w:r>
    </w:p>
    <w:p>
      <w:pPr>
        <w:pStyle w:val="TableLevel2Numbered"/>
        <w:numPr>
          <w:ilvl w:val="1"/>
          <w:numId w:val="8"/>
        </w:numPr>
        <w:ind w:hanging="0" w:start="0"/>
        <w:rPr/>
      </w:pPr>
      <w:r>
        <w:rPr/>
        <w:t>The Authorized User group that was asked to respond to the survey.</w:t>
      </w:r>
    </w:p>
    <w:p>
      <w:pPr>
        <w:pStyle w:val="TableLevel2Numbered"/>
        <w:numPr>
          <w:ilvl w:val="1"/>
          <w:numId w:val="8"/>
        </w:numPr>
        <w:ind w:hanging="0" w:start="0"/>
        <w:rPr/>
      </w:pPr>
      <w:r>
        <w:rPr/>
        <w:t>Other Authorized Users as directed by the GlobalPharma Contract Executive.</w:t>
      </w:r>
    </w:p>
    <w:p>
      <w:pPr>
        <w:pStyle w:val="TableLevel1Numbered"/>
        <w:numPr>
          <w:ilvl w:val="0"/>
          <w:numId w:val="8"/>
        </w:numPr>
        <w:ind w:hanging="0" w:start="0"/>
        <w:rPr/>
      </w:pPr>
      <w:r>
        <w:rPr/>
        <w:t>Using the survey results to plan and implement measurable improvement programs for areas requiring attention.</w:t>
      </w:r>
    </w:p>
    <w:p>
      <w:pPr>
        <w:pStyle w:val="Formatvorlage1"/>
        <w:numPr>
          <w:ilvl w:val="0"/>
          <w:numId w:val="11"/>
        </w:numPr>
        <w:ind w:hanging="0" w:start="0"/>
        <w:rPr/>
      </w:pPr>
      <w:bookmarkStart w:id="2" w:name="__RefHeading___Toc157779542"/>
      <w:bookmarkEnd w:id="2"/>
      <w:r>
        <w:rPr/>
        <w:t>executive customer satisfaction surveys</w:t>
      </w:r>
    </w:p>
    <w:p>
      <w:pPr>
        <w:pStyle w:val="TableText"/>
        <w:rPr/>
      </w:pPr>
      <w:r>
        <w:rPr/>
        <w:t>The Service Provider’s responsibilities include:</w:t>
      </w:r>
    </w:p>
    <w:p>
      <w:pPr>
        <w:pStyle w:val="TableLevel1Numbered"/>
        <w:numPr>
          <w:ilvl w:val="0"/>
          <w:numId w:val="19"/>
        </w:numPr>
        <w:ind w:hanging="0" w:start="0"/>
        <w:rPr/>
      </w:pPr>
      <w:r>
        <w:rPr/>
        <w:t>Initiating the first Executive Customer Satisfaction Survey within six months after the Go Live Date, or at a later time if approved by the GlobalPharma Contract Executive.</w:t>
      </w:r>
    </w:p>
    <w:p>
      <w:pPr>
        <w:pStyle w:val="TableLevel1Numbered"/>
        <w:numPr>
          <w:ilvl w:val="0"/>
          <w:numId w:val="8"/>
        </w:numPr>
        <w:ind w:hanging="0" w:start="0"/>
        <w:rPr/>
      </w:pPr>
      <w:r>
        <w:rPr/>
        <w:t>Conducting ongoing Executive Customer Satisfaction Surveys on at least an annual basis, or as requested by GlobalPharma.</w:t>
      </w:r>
    </w:p>
    <w:p>
      <w:pPr>
        <w:pStyle w:val="TableLevel1Numbered"/>
        <w:numPr>
          <w:ilvl w:val="0"/>
          <w:numId w:val="8"/>
        </w:numPr>
        <w:ind w:hanging="0" w:start="0"/>
        <w:rPr/>
      </w:pPr>
      <w:r>
        <w:rPr/>
        <w:t>Working with the GlobalPharma Contract Executive, attempting to attain a one hundred percent (100%) response rate to the survey.</w:t>
      </w:r>
    </w:p>
    <w:p>
      <w:pPr>
        <w:pStyle w:val="TableLevel1Numbered"/>
        <w:numPr>
          <w:ilvl w:val="0"/>
          <w:numId w:val="8"/>
        </w:numPr>
        <w:ind w:hanging="0" w:start="0"/>
        <w:rPr/>
      </w:pPr>
      <w:r>
        <w:rPr/>
        <w:t>Reporting the results of the survey to the GlobalPharma Contract Executive and Contract Manager within two (2) weeks after the completion of the survey.</w:t>
      </w:r>
    </w:p>
    <w:p>
      <w:pPr>
        <w:pStyle w:val="TableLevel1Numbered"/>
        <w:numPr>
          <w:ilvl w:val="0"/>
          <w:numId w:val="8"/>
        </w:numPr>
        <w:ind w:hanging="0" w:start="0"/>
        <w:rPr/>
      </w:pPr>
      <w:r>
        <w:rPr/>
        <w:t>Reporting the results to the survey respondents and other GlobalPharma executives as requested by the GlobalPharma Contract Executive.</w:t>
      </w:r>
    </w:p>
    <w:p>
      <w:pPr>
        <w:pStyle w:val="TableLevel1Numbered"/>
        <w:numPr>
          <w:ilvl w:val="0"/>
          <w:numId w:val="8"/>
        </w:numPr>
        <w:ind w:hanging="0" w:start="0"/>
        <w:rPr/>
      </w:pPr>
      <w:r>
        <w:rPr/>
        <w:t>Conducting follow-on reviews or other activities as requested by the GlobalPharma Contract Executive.</w:t>
      </w:r>
    </w:p>
    <w:p>
      <w:pPr>
        <w:pStyle w:val="Formatvorlage1"/>
        <w:numPr>
          <w:ilvl w:val="0"/>
          <w:numId w:val="11"/>
        </w:numPr>
        <w:ind w:hanging="0" w:start="0"/>
        <w:rPr/>
      </w:pPr>
      <w:bookmarkStart w:id="3" w:name="__RefHeading___Toc157779543"/>
      <w:bookmarkEnd w:id="3"/>
      <w:r>
        <w:rPr/>
        <w:t>business unit management customer satisfaction surveys</w:t>
      </w:r>
    </w:p>
    <w:p>
      <w:pPr>
        <w:pStyle w:val="TableText"/>
        <w:rPr/>
      </w:pPr>
      <w:r>
        <w:rPr/>
        <w:t>The Service Provider’s responsibilities include:</w:t>
      </w:r>
    </w:p>
    <w:p>
      <w:pPr>
        <w:pStyle w:val="TableLevel1Numbered"/>
        <w:numPr>
          <w:ilvl w:val="0"/>
          <w:numId w:val="20"/>
        </w:numPr>
        <w:ind w:hanging="0" w:start="0"/>
        <w:rPr/>
      </w:pPr>
      <w:r>
        <w:rPr/>
        <w:t>Conducting the Business Unit Management Customer Satisfaction Survey with each GlobalPharma business unit manager and/or designees.</w:t>
      </w:r>
    </w:p>
    <w:p>
      <w:pPr>
        <w:pStyle w:val="TableLevel1Numbered"/>
        <w:numPr>
          <w:ilvl w:val="0"/>
          <w:numId w:val="8"/>
        </w:numPr>
        <w:ind w:hanging="0" w:start="0"/>
        <w:rPr/>
      </w:pPr>
      <w:r>
        <w:rPr/>
        <w:t>Customizing parts of the survey to the particular requirements or work performed for each business unit.</w:t>
      </w:r>
    </w:p>
    <w:p>
      <w:pPr>
        <w:pStyle w:val="TableLevel1Numbered"/>
        <w:numPr>
          <w:ilvl w:val="0"/>
          <w:numId w:val="8"/>
        </w:numPr>
        <w:ind w:hanging="0" w:start="0"/>
        <w:rPr/>
      </w:pPr>
      <w:r>
        <w:rPr/>
        <w:t>Initiating the first Business Unit Management Customer Satisfaction Survey within six months after the Go Live Date, or at a later time if approved by the GlobalPharma Contract Executive.</w:t>
      </w:r>
    </w:p>
    <w:p>
      <w:pPr>
        <w:pStyle w:val="TableLevel1Numbered"/>
        <w:numPr>
          <w:ilvl w:val="0"/>
          <w:numId w:val="8"/>
        </w:numPr>
        <w:ind w:hanging="0" w:start="0"/>
        <w:rPr/>
      </w:pPr>
      <w:r>
        <w:rPr/>
        <w:t>Conducting ongoing Business Unit Management Customer Satisfaction Surveys on a semi-annual basis.</w:t>
      </w:r>
    </w:p>
    <w:p>
      <w:pPr>
        <w:pStyle w:val="TableLevel1Numbered"/>
        <w:numPr>
          <w:ilvl w:val="0"/>
          <w:numId w:val="8"/>
        </w:numPr>
        <w:ind w:hanging="0" w:start="0"/>
        <w:rPr/>
      </w:pPr>
      <w:r>
        <w:rPr/>
        <w:t>Working with the GlobalPharma Contract Manager, attempting to attain a one hundred percent (100%) response rate to the survey.</w:t>
      </w:r>
    </w:p>
    <w:p>
      <w:pPr>
        <w:pStyle w:val="TableLevel1Numbered"/>
        <w:numPr>
          <w:ilvl w:val="0"/>
          <w:numId w:val="8"/>
        </w:numPr>
        <w:ind w:hanging="0" w:start="0"/>
        <w:rPr/>
      </w:pPr>
      <w:r>
        <w:rPr/>
        <w:t>Reporting the results of the survey to the GlobalPharma Contract Executive and Contract Manager within two (2) weeks after the completion of the survey.</w:t>
      </w:r>
    </w:p>
    <w:p>
      <w:pPr>
        <w:pStyle w:val="TableLevel1Numbered"/>
        <w:numPr>
          <w:ilvl w:val="0"/>
          <w:numId w:val="8"/>
        </w:numPr>
        <w:ind w:hanging="0" w:start="0"/>
        <w:rPr/>
      </w:pPr>
      <w:r>
        <w:rPr/>
        <w:t>Reporting the results to the survey respondents and other GlobalPharma executives as requested by the GlobalPharma Contract Executive.</w:t>
      </w:r>
    </w:p>
    <w:p>
      <w:pPr>
        <w:pStyle w:val="TableLevel1Numbered"/>
        <w:numPr>
          <w:ilvl w:val="0"/>
          <w:numId w:val="8"/>
        </w:numPr>
        <w:ind w:hanging="0" w:start="0"/>
        <w:rPr/>
      </w:pPr>
      <w:r>
        <w:rPr/>
        <w:t>Conducting follow-on reviews or other activities as requested by the GlobalPharma Contract Executive.</w:t>
      </w:r>
    </w:p>
    <w:p>
      <w:pPr>
        <w:pStyle w:val="Formatvorlage1"/>
        <w:numPr>
          <w:ilvl w:val="0"/>
          <w:numId w:val="11"/>
        </w:numPr>
        <w:ind w:hanging="0" w:start="0"/>
        <w:rPr/>
      </w:pPr>
      <w:bookmarkStart w:id="4" w:name="__RefHeading___Toc157779544"/>
      <w:bookmarkEnd w:id="4"/>
      <w:r>
        <w:rPr/>
        <w:t>Geographic customer satisfaction surveys</w:t>
      </w:r>
    </w:p>
    <w:p>
      <w:pPr>
        <w:pStyle w:val="TableText"/>
        <w:rPr/>
      </w:pPr>
      <w:r>
        <w:rPr/>
        <w:t>The Service Provider’s responsibilities include:</w:t>
      </w:r>
    </w:p>
    <w:p>
      <w:pPr>
        <w:pStyle w:val="TableLevel1Numbered"/>
        <w:numPr>
          <w:ilvl w:val="0"/>
          <w:numId w:val="21"/>
        </w:numPr>
        <w:ind w:hanging="0" w:start="0"/>
        <w:rPr/>
      </w:pPr>
      <w:r>
        <w:rPr/>
        <w:t>Conducting the Geographic Customer Satisfaction Survey with a specified subset of Authorized Users from a particular geography or Site.</w:t>
      </w:r>
    </w:p>
    <w:p>
      <w:pPr>
        <w:pStyle w:val="TableLevel1Numbered"/>
        <w:numPr>
          <w:ilvl w:val="0"/>
          <w:numId w:val="8"/>
        </w:numPr>
        <w:ind w:hanging="0" w:start="0"/>
        <w:rPr/>
      </w:pPr>
      <w:r>
        <w:rPr/>
        <w:t>Customizing parts of the survey to the particular requirements or work performed for each geography or Site.</w:t>
      </w:r>
    </w:p>
    <w:p>
      <w:pPr>
        <w:pStyle w:val="TableLevel1Numbered"/>
        <w:numPr>
          <w:ilvl w:val="0"/>
          <w:numId w:val="8"/>
        </w:numPr>
        <w:ind w:hanging="0" w:start="0"/>
        <w:rPr/>
      </w:pPr>
      <w:r>
        <w:rPr/>
        <w:t>Initiating the first Geographic Customer Satisfaction Survey within nine months after the Go Live Date, or at a later time if approved by the GlobalPharma Contract Executive.</w:t>
      </w:r>
    </w:p>
    <w:p>
      <w:pPr>
        <w:pStyle w:val="TableLevel1Numbered"/>
        <w:numPr>
          <w:ilvl w:val="0"/>
          <w:numId w:val="8"/>
        </w:numPr>
        <w:ind w:hanging="0" w:start="0"/>
        <w:rPr/>
      </w:pPr>
      <w:r>
        <w:rPr/>
        <w:t>Conducting ongoing Geographic Customer Satisfaction Surveys on at least an annual basis.</w:t>
      </w:r>
    </w:p>
    <w:p>
      <w:pPr>
        <w:pStyle w:val="TableLevel1Numbered"/>
        <w:numPr>
          <w:ilvl w:val="0"/>
          <w:numId w:val="8"/>
        </w:numPr>
        <w:ind w:hanging="0" w:start="0"/>
        <w:rPr/>
      </w:pPr>
      <w:r>
        <w:rPr/>
        <w:t>Attaining at least a twenty-five percent (25%) response rate to the survey.</w:t>
      </w:r>
    </w:p>
    <w:p>
      <w:pPr>
        <w:pStyle w:val="TableLevel1Numbered"/>
        <w:numPr>
          <w:ilvl w:val="0"/>
          <w:numId w:val="8"/>
        </w:numPr>
        <w:ind w:hanging="0" w:start="0"/>
        <w:rPr/>
      </w:pPr>
      <w:r>
        <w:rPr/>
        <w:t>Reporting the results of the survey to the GlobalPharma Contract Executive and Contract Manager within two (2) weeks after the completion of the survey.</w:t>
      </w:r>
    </w:p>
    <w:p>
      <w:pPr>
        <w:pStyle w:val="TableLevel1Numbered"/>
        <w:numPr>
          <w:ilvl w:val="0"/>
          <w:numId w:val="8"/>
        </w:numPr>
        <w:ind w:hanging="0" w:start="0"/>
        <w:rPr/>
      </w:pPr>
      <w:r>
        <w:rPr/>
        <w:t>Reporting the results to the survey respondents and other GlobalPharma executives as requested by the GlobalPharma Contract Executive.</w:t>
      </w:r>
    </w:p>
    <w:p>
      <w:pPr>
        <w:pStyle w:val="TableLevel1Numbered"/>
        <w:numPr>
          <w:ilvl w:val="0"/>
          <w:numId w:val="8"/>
        </w:numPr>
        <w:ind w:hanging="0" w:start="0"/>
        <w:rPr/>
      </w:pPr>
      <w:r>
        <w:rPr/>
        <w:t>Conducting follow-on reviews or other activities as requested by the GlobalPharma Contract Executive.</w:t>
      </w:r>
    </w:p>
    <w:p>
      <w:pPr>
        <w:pStyle w:val="Formatvorlage1"/>
        <w:numPr>
          <w:ilvl w:val="0"/>
          <w:numId w:val="11"/>
        </w:numPr>
        <w:ind w:hanging="0" w:start="0"/>
        <w:rPr/>
      </w:pPr>
      <w:bookmarkStart w:id="5" w:name="__RefHeading___Toc157779545"/>
      <w:bookmarkEnd w:id="5"/>
      <w:r>
        <w:rPr/>
        <w:t>annual end user customer satisfaction surveys</w:t>
      </w:r>
    </w:p>
    <w:p>
      <w:pPr>
        <w:pStyle w:val="TableText"/>
        <w:rPr/>
      </w:pPr>
      <w:r>
        <w:rPr/>
        <w:t>The Service Providers responsibilities include:</w:t>
      </w:r>
    </w:p>
    <w:p>
      <w:pPr>
        <w:pStyle w:val="TableLevel1Numbered"/>
        <w:numPr>
          <w:ilvl w:val="0"/>
          <w:numId w:val="22"/>
        </w:numPr>
        <w:ind w:hanging="0" w:start="0"/>
        <w:rPr/>
      </w:pPr>
      <w:r>
        <w:rPr/>
        <w:t>Conducting an annual survey sent to all Authorized Users of the Services.</w:t>
      </w:r>
    </w:p>
    <w:p>
      <w:pPr>
        <w:pStyle w:val="TableLevel1Numbered"/>
        <w:numPr>
          <w:ilvl w:val="0"/>
          <w:numId w:val="8"/>
        </w:numPr>
        <w:ind w:hanging="0" w:start="0"/>
        <w:rPr/>
      </w:pPr>
      <w:r>
        <w:rPr/>
        <w:t>Initiating the first Annual End User Customer Satisfaction Survey within nine months after the Go Live Date, or at a later time if approved by the GlobalPharma Contract Executive.</w:t>
      </w:r>
    </w:p>
    <w:p>
      <w:pPr>
        <w:pStyle w:val="TableLevel1Numbered"/>
        <w:numPr>
          <w:ilvl w:val="0"/>
          <w:numId w:val="8"/>
        </w:numPr>
        <w:ind w:hanging="0" w:start="0"/>
        <w:rPr/>
      </w:pPr>
      <w:r>
        <w:rPr/>
        <w:t>Conducting ongoing Annual End User Customer Satisfaction Surveys on an annual basis.</w:t>
      </w:r>
    </w:p>
    <w:p>
      <w:pPr>
        <w:pStyle w:val="TableLevel1Numbered"/>
        <w:numPr>
          <w:ilvl w:val="0"/>
          <w:numId w:val="8"/>
        </w:numPr>
        <w:ind w:hanging="0" w:start="0"/>
        <w:rPr/>
      </w:pPr>
      <w:r>
        <w:rPr/>
        <w:t>Attaining at least a twenty-five percent (25%) response rate to the survey.</w:t>
      </w:r>
    </w:p>
    <w:p>
      <w:pPr>
        <w:pStyle w:val="TableLevel1Numbered"/>
        <w:numPr>
          <w:ilvl w:val="0"/>
          <w:numId w:val="8"/>
        </w:numPr>
        <w:ind w:hanging="0" w:start="0"/>
        <w:rPr/>
      </w:pPr>
      <w:r>
        <w:rPr/>
        <w:t>Reporting the results of the survey to the GlobalPharma Contract Executive and Contract Manager within four (4) weeks after the completion of the survey.</w:t>
      </w:r>
    </w:p>
    <w:p>
      <w:pPr>
        <w:pStyle w:val="TableLevel1Numbered"/>
        <w:numPr>
          <w:ilvl w:val="0"/>
          <w:numId w:val="8"/>
        </w:numPr>
        <w:ind w:hanging="0" w:start="0"/>
        <w:rPr/>
      </w:pPr>
      <w:r>
        <w:rPr/>
        <w:t>Reporting the results to the survey respondents and other GlobalPharma executives as requested by the GlobalPharma Contract Executive.</w:t>
      </w:r>
    </w:p>
    <w:p>
      <w:pPr>
        <w:pStyle w:val="Formatvorlage1"/>
        <w:numPr>
          <w:ilvl w:val="0"/>
          <w:numId w:val="11"/>
        </w:numPr>
        <w:ind w:hanging="0" w:start="0"/>
        <w:rPr/>
      </w:pPr>
      <w:bookmarkStart w:id="6" w:name="__RefHeading___Toc157779546"/>
      <w:bookmarkEnd w:id="6"/>
      <w:r>
        <w:rPr/>
        <w:t>point of service customer satisfaction surveys</w:t>
      </w:r>
    </w:p>
    <w:p>
      <w:pPr>
        <w:pStyle w:val="TableText"/>
        <w:rPr/>
      </w:pPr>
      <w:r>
        <w:rPr/>
        <w:t>The Service Provider shall perform Point of Service Customer Satisfaction Surveys for a subset of the problems, questions, or requests from Authorized Users that are resolved by, or coordinated by, the Help Desk.</w:t>
      </w:r>
    </w:p>
    <w:p>
      <w:pPr>
        <w:pStyle w:val="TableText"/>
        <w:rPr/>
      </w:pPr>
      <w:r>
        <w:rPr/>
        <w:t>The Service Provider’s responsibilities include:</w:t>
      </w:r>
    </w:p>
    <w:p>
      <w:pPr>
        <w:pStyle w:val="TableLevel1Numbered"/>
        <w:numPr>
          <w:ilvl w:val="0"/>
          <w:numId w:val="23"/>
        </w:numPr>
        <w:ind w:hanging="0" w:start="0"/>
        <w:rPr/>
      </w:pPr>
      <w:r>
        <w:rPr/>
        <w:t>Selecting, on a random basis, ten percent (10%) of the daily closed Calls managed by the Help Desk, including Calls resolved by Level 2 or Level 3 Support personnel in other Towers.</w:t>
      </w:r>
    </w:p>
    <w:p>
      <w:pPr>
        <w:pStyle w:val="TableLevel1Numbered"/>
        <w:numPr>
          <w:ilvl w:val="0"/>
          <w:numId w:val="8"/>
        </w:numPr>
        <w:ind w:hanging="0" w:start="0"/>
        <w:rPr/>
      </w:pPr>
      <w:r>
        <w:rPr/>
        <w:t xml:space="preserve">Generating an e-mail containing the point of service customer satisfaction survey and instructions, as described in </w:t>
      </w:r>
      <w:r>
        <w:rPr>
          <w:b/>
        </w:rPr>
        <w:t>Attachment 14-A</w:t>
      </w:r>
      <w:r>
        <w:rPr/>
        <w:t xml:space="preserve"> (Sample Point of Service Survey), to the Authorized Users making up the random sample of closed Calls.</w:t>
      </w:r>
    </w:p>
    <w:p>
      <w:pPr>
        <w:pStyle w:val="TableLevel2Numbered"/>
        <w:numPr>
          <w:ilvl w:val="1"/>
          <w:numId w:val="8"/>
        </w:numPr>
        <w:ind w:hanging="0" w:start="0"/>
        <w:rPr/>
      </w:pPr>
      <w:r>
        <w:rPr/>
        <w:t>Such e-mails will be delivered to the Authorized Users within two (2) hours of closing a Call.</w:t>
      </w:r>
    </w:p>
    <w:p>
      <w:pPr>
        <w:pStyle w:val="TableLevel1Numbered"/>
        <w:numPr>
          <w:ilvl w:val="0"/>
          <w:numId w:val="8"/>
        </w:numPr>
        <w:ind w:hanging="0" w:start="0"/>
        <w:rPr/>
      </w:pPr>
      <w:r>
        <w:rPr/>
        <w:t>Receiving completed point of service surveys from Authorized Users and tabulating results from the surveys.</w:t>
      </w:r>
    </w:p>
    <w:p>
      <w:pPr>
        <w:pStyle w:val="TableLevel2Numbered"/>
        <w:numPr>
          <w:ilvl w:val="1"/>
          <w:numId w:val="8"/>
        </w:numPr>
        <w:ind w:hanging="0" w:start="0"/>
        <w:rPr/>
      </w:pPr>
      <w:r>
        <w:rPr/>
        <w:t>Service Provider will actively follow-up with Authorized Users to maintain at least a fifty percent (50%) response rate to the survey requests.</w:t>
      </w:r>
    </w:p>
    <w:p>
      <w:pPr>
        <w:pStyle w:val="TableLevel1Numbered"/>
        <w:numPr>
          <w:ilvl w:val="0"/>
          <w:numId w:val="8"/>
        </w:numPr>
        <w:ind w:hanging="0" w:start="0"/>
        <w:rPr/>
      </w:pPr>
      <w:r>
        <w:rPr/>
        <w:t>Reporting point of service survey results to GlobalPharma on a monthly basis.</w:t>
      </w:r>
    </w:p>
    <w:p>
      <w:pPr>
        <w:pStyle w:val="TableLevel1Numbered"/>
        <w:numPr>
          <w:ilvl w:val="0"/>
          <w:numId w:val="8"/>
        </w:numPr>
        <w:spacing w:before="120" w:after="120"/>
        <w:ind w:hanging="0" w:start="0"/>
        <w:rPr/>
      </w:pPr>
      <w:r>
        <w:rPr/>
        <w:t>Using the results from the point of service surveys to tabulate trends and typical problems or requests submitted by Authorized Users.</w:t>
      </w:r>
    </w:p>
    <w:sectPr>
      <w:headerReference w:type="default" r:id="rId2"/>
      <w:footerReference w:type="default" r:id="rId3"/>
      <w:type w:val="nextPage"/>
      <w:pgSz w:w="12240" w:h="15840"/>
      <w:pgMar w:left="1729" w:right="1729" w:gutter="0" w:header="360" w:top="720" w:footer="326"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6</w:t>
    </w:r>
    <w:r>
      <w:rPr>
        <w:rStyle w:val="PageNumber"/>
      </w:rPr>
      <w:fldChar w:fldCharType="end"/>
    </w:r>
  </w:p>
  <w:p>
    <w:pPr>
      <w:pStyle w:val="Footer"/>
      <w:tabs>
        <w:tab w:val="clear" w:pos="4680"/>
        <w:tab w:val="clear" w:pos="7200"/>
        <w:tab w:val="right" w:pos="8640" w:leader="none"/>
        <w:tab w:val="right" w:pos="14400" w:leader="none"/>
      </w:tabs>
      <w:spacing w:before="120" w:after="120"/>
      <w:rPr/>
    </w:pPr>
    <w:r>
      <w:rPr/>
      <w:t xml:space="preserve">GlobalPharma </w:t>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14400" w:leader="none"/>
      </w:tabs>
      <w:spacing w:before="120" w:after="120"/>
      <w:rPr/>
    </w:pPr>
    <w:r>
      <w:drawing>
        <wp:anchor behindDoc="1" distT="0" distB="0" distL="114935" distR="114935" simplePos="0" locked="0" layoutInCell="1" allowOverlap="1" relativeHeight="13">
          <wp:simplePos x="0" y="0"/>
          <wp:positionH relativeFrom="column">
            <wp:posOffset>4572000</wp:posOffset>
          </wp:positionH>
          <wp:positionV relativeFrom="paragraph">
            <wp:posOffset>-19050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2">
    <w:lvl w:ilvl="0">
      <w:start w:val="1"/>
      <w:numFmt w:val="bullet"/>
      <w:lvlText w:val=""/>
      <w:lvlJc w:val="start"/>
      <w:pPr>
        <w:tabs>
          <w:tab w:val="num" w:pos="2707"/>
        </w:tabs>
        <w:ind w:start="2707" w:hanging="547"/>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abstractNum>
  <w:abstractNum w:abstractNumId="16">
    <w:lvl w:ilvl="0">
      <w:start w:val="1"/>
      <w:numFmt w:val="bullet"/>
      <w:lvlText w:val=""/>
      <w:lvlJc w:val="start"/>
      <w:pPr>
        <w:tabs>
          <w:tab w:val="num" w:pos="1627"/>
        </w:tabs>
        <w:ind w:start="1627" w:hanging="547"/>
      </w:pPr>
      <w:rPr>
        <w:rFonts w:ascii="Symbol" w:hAnsi="Symbol" w:cs="Symbol" w:hint="default"/>
      </w:rPr>
    </w:lvl>
  </w:abstractNum>
  <w:abstractNum w:abstractNumId="17">
    <w:lvl w:ilvl="0">
      <w:start w:val="1"/>
      <w:numFmt w:val="bullet"/>
      <w:lvlText w:val=""/>
      <w:lvlJc w:val="start"/>
      <w:pPr>
        <w:tabs>
          <w:tab w:val="num" w:pos="2160"/>
        </w:tabs>
        <w:ind w:start="2160" w:hanging="533"/>
      </w:pPr>
      <w:rPr>
        <w:rFonts w:ascii="Symbol" w:hAnsi="Symbol" w:cs="Symbol" w:hint="default"/>
      </w:rPr>
    </w:lvl>
  </w:abstractNum>
  <w:abstractNum w:abstractNumId="18">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Bold;Times New Roman" w:hAnsi="Times New Roman Bold;Times New Roman" w:cs="Times New Roman Bold;Times New Roman"/>
      <w:b/>
      <w:i w:val="false"/>
      <w:sz w:val="28"/>
    </w:rPr>
  </w:style>
  <w:style w:type="character" w:styleId="WW8Num10z2">
    <w:name w:val="WW8Num10z2"/>
    <w:qFormat/>
    <w:rPr>
      <w:rFonts w:ascii="Times New Roman" w:hAnsi="Times New Roman" w:cs="Times New Roman"/>
      <w:b/>
      <w:i w:val="false"/>
      <w:sz w:val="24"/>
    </w:rPr>
  </w:style>
  <w:style w:type="character" w:styleId="WW8Num10z4">
    <w:name w:val="WW8Num10z4"/>
    <w:qFormat/>
    <w:rPr>
      <w:rFonts w:ascii="Times New Roman Bold;Times New Roman" w:hAnsi="Times New Roman Bold;Times New Roman" w:cs="Times New Roman Bold;Times New Roman"/>
      <w:b/>
      <w:i w:val="false"/>
      <w:sz w:val="22"/>
      <w:szCs w:val="22"/>
    </w:rPr>
  </w:style>
  <w:style w:type="character" w:styleId="WW8Num10z5">
    <w:name w:val="WW8Num10z5"/>
    <w:qFormat/>
    <w:rPr>
      <w:rFonts w:ascii="Times New Roman" w:hAnsi="Times New Roman" w:cs="Times New Roman"/>
      <w:b w:val="false"/>
      <w:i w:val="false"/>
      <w:sz w:val="22"/>
    </w:rPr>
  </w:style>
  <w:style w:type="character" w:styleId="WW8Num10z8">
    <w:name w:val="WW8Num10z8"/>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Bold;Times New Roman" w:hAnsi="Times New Roman Bold;Times New Roman" w:cs="Times New Roman Bold;Times New Roman"/>
      <w:b/>
      <w:i w:val="false"/>
      <w:sz w:val="28"/>
    </w:rPr>
  </w:style>
  <w:style w:type="character" w:styleId="WW8Num12z2">
    <w:name w:val="WW8Num12z2"/>
    <w:qFormat/>
    <w:rPr>
      <w:rFonts w:ascii="Times New Roman" w:hAnsi="Times New Roman" w:cs="Times New Roman"/>
      <w:b/>
      <w:i w:val="false"/>
      <w:sz w:val="24"/>
    </w:rPr>
  </w:style>
  <w:style w:type="character" w:styleId="WW8Num12z4">
    <w:name w:val="WW8Num12z4"/>
    <w:qFormat/>
    <w:rPr>
      <w:rFonts w:ascii="Times New Roman" w:hAnsi="Times New Roman" w:cs="Times New Roman"/>
      <w:b w:val="false"/>
      <w:i w:val="false"/>
      <w:sz w:val="22"/>
    </w:rPr>
  </w:style>
  <w:style w:type="character" w:styleId="WW8Num12z8">
    <w:name w:val="WW8Num12z8"/>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Bold;Times New Roman" w:hAnsi="Times New Roman Bold;Times New Roman" w:cs="Times New Roman Bold;Times New Roman"/>
      <w:b/>
      <w:i w:val="false"/>
      <w:color w:val="000000"/>
      <w:sz w:val="28"/>
      <w:szCs w:val="28"/>
    </w:rPr>
  </w:style>
  <w:style w:type="character" w:styleId="WW8Num17z1">
    <w:name w:val="WW8Num17z1"/>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9"/>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9"/>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9"/>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9"/>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6"/>
      </w:numPr>
      <w:tabs>
        <w:tab w:val="clear" w:pos="720"/>
        <w:tab w:val="left" w:pos="1440" w:leader="none"/>
      </w:tabs>
      <w:ind w:hanging="360" w:start="1440" w:end="0"/>
    </w:pPr>
    <w:rPr/>
  </w:style>
  <w:style w:type="paragraph" w:styleId="BodyTextBulletL1">
    <w:name w:val="Body Text Bullet L1"/>
    <w:basedOn w:val="Normal"/>
    <w:qFormat/>
    <w:pPr>
      <w:numPr>
        <w:ilvl w:val="0"/>
        <w:numId w:val="17"/>
      </w:numPr>
      <w:ind w:hanging="360" w:start="0" w:end="0"/>
    </w:pPr>
    <w:rPr/>
  </w:style>
  <w:style w:type="paragraph" w:styleId="BodyTextBulletL2">
    <w:name w:val="Body Text Bullet L2"/>
    <w:basedOn w:val="Normal"/>
    <w:qFormat/>
    <w:pPr>
      <w:numPr>
        <w:ilvl w:val="0"/>
        <w:numId w:val="12"/>
      </w:numPr>
      <w:ind w:hanging="367" w:start="0" w:end="0"/>
    </w:pPr>
    <w:rPr/>
  </w:style>
  <w:style w:type="paragraph" w:styleId="BodyTextBulletL3">
    <w:name w:val="Body Text Bullet L3"/>
    <w:basedOn w:val="Normal"/>
    <w:qFormat/>
    <w:pPr>
      <w:numPr>
        <w:ilvl w:val="0"/>
        <w:numId w:val="18"/>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4"/>
      </w:numPr>
    </w:pPr>
    <w:rPr/>
  </w:style>
  <w:style w:type="paragraph" w:styleId="Bullet1Table">
    <w:name w:val="Bullet 1 Table"/>
    <w:basedOn w:val="TableTextBullet"/>
    <w:next w:val="TableTextBullet"/>
    <w:qFormat/>
    <w:pPr>
      <w:numPr>
        <w:ilvl w:val="0"/>
        <w:numId w:val="14"/>
      </w:numPr>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3"/>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3"/>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1"/>
      </w:numPr>
    </w:pPr>
    <w:rPr/>
  </w:style>
  <w:style w:type="paragraph" w:styleId="Head3-NoTOC">
    <w:name w:val="Head 3 # - No TOC"/>
    <w:basedOn w:val="Heading3Numbered"/>
    <w:next w:val="BodyText"/>
    <w:qFormat/>
    <w:pPr>
      <w:numPr>
        <w:ilvl w:val="0"/>
        <w:numId w:val="13"/>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3"/>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5"/>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0"/>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1"/>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CharCharChar">
    <w:name w:val="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Numbered"/>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2007-01-29T20:07:00Z</dcterms:created>
  <dc:creator>TPI</dc:creator>
  <dc:description>Exhibit 14. Contains requirements for Customer Satisfaction Surveys.</dc:description>
  <dc:language>en-US</dc:language>
  <cp:lastModifiedBy>Wenger Plattner</cp:lastModifiedBy>
  <cp:lastPrinted>2004-12-03T14:49:00Z</cp:lastPrinted>
  <dcterms:modified xsi:type="dcterms:W3CDTF">2007-01-29T20:07:00Z</dcterms:modified>
  <cp:revision>2</cp:revision>
  <dc:subject/>
  <dc:title>RFP8 Exhibit 14 Customer Satisfaction Survey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I_RefPrefix">
    <vt:lpwstr>E14</vt:lpwstr>
  </property>
</Properties>
</file>