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80" w:after="180"/>
        <w:jc w:val="center"/>
        <w:rPr>
          <w:b/>
          <w:sz w:val="32"/>
          <w:szCs w:val="32"/>
        </w:rPr>
      </w:pPr>
      <w:r>
        <w:rPr>
          <w:b/>
          <w:sz w:val="32"/>
          <w:szCs w:val="32"/>
        </w:rPr>
      </w:r>
    </w:p>
    <w:p>
      <w:pPr>
        <w:pStyle w:val="BodyText"/>
        <w:jc w:val="center"/>
        <w:rPr>
          <w:b/>
          <w:sz w:val="32"/>
          <w:szCs w:val="32"/>
        </w:rPr>
      </w:pPr>
      <w:r>
        <w:rPr>
          <w:b/>
          <w:sz w:val="32"/>
          <w:szCs w:val="32"/>
        </w:rPr>
        <w:t>GlobalPharma</w:t>
      </w:r>
    </w:p>
    <w:p>
      <w:pPr>
        <w:pStyle w:val="BodyText"/>
        <w:jc w:val="center"/>
        <w:rPr>
          <w:b/>
          <w:sz w:val="32"/>
          <w:szCs w:val="32"/>
        </w:rPr>
      </w:pPr>
      <w:r>
        <w:rPr>
          <w:b/>
          <w:sz w:val="32"/>
          <w:szCs w:val="32"/>
        </w:rPr>
      </w:r>
    </w:p>
    <w:p>
      <w:pPr>
        <w:pStyle w:val="BodyText"/>
        <w:jc w:val="center"/>
        <w:rPr>
          <w:b/>
          <w:sz w:val="32"/>
          <w:szCs w:val="32"/>
        </w:rPr>
      </w:pPr>
      <w:r>
        <w:rPr>
          <w:b/>
          <w:sz w:val="32"/>
          <w:szCs w:val="32"/>
        </w:rPr>
        <w:t>Exhibit 15</w:t>
      </w:r>
    </w:p>
    <w:p>
      <w:pPr>
        <w:pStyle w:val="BodyText"/>
        <w:jc w:val="center"/>
        <w:rPr>
          <w:b/>
          <w:sz w:val="32"/>
          <w:szCs w:val="32"/>
        </w:rPr>
      </w:pPr>
      <w:r>
        <w:rPr>
          <w:b/>
          <w:sz w:val="32"/>
          <w:szCs w:val="32"/>
        </w:rPr>
      </w:r>
    </w:p>
    <w:p>
      <w:pPr>
        <w:pStyle w:val="BodyText"/>
        <w:jc w:val="center"/>
        <w:rPr>
          <w:b/>
          <w:sz w:val="32"/>
          <w:szCs w:val="32"/>
          <w:highlight w:val="yellow"/>
        </w:rPr>
      </w:pPr>
      <w:r>
        <w:rPr>
          <w:b/>
          <w:sz w:val="32"/>
          <w:szCs w:val="32"/>
        </w:rPr>
        <w:t>Business Continuity plan</w:t>
      </w:r>
    </w:p>
    <w:p>
      <w:pPr>
        <w:pStyle w:val="BodyText"/>
        <w:jc w:val="center"/>
        <w:rPr>
          <w:b/>
          <w:sz w:val="32"/>
          <w:szCs w:val="32"/>
          <w:highlight w:val="yellow"/>
        </w:rPr>
      </w:pPr>
      <w:r>
        <w:rPr>
          <w:b/>
          <w:sz w:val="32"/>
          <w:szCs w:val="32"/>
          <w:highlight w:val="yellow"/>
        </w:rPr>
      </w:r>
    </w:p>
    <w:p>
      <w:pPr>
        <w:pStyle w:val="BodyText"/>
        <w:jc w:val="center"/>
        <w:rPr>
          <w:b/>
          <w:sz w:val="32"/>
          <w:szCs w:val="32"/>
        </w:rPr>
      </w:pPr>
      <w:r>
        <w:rPr>
          <w:b/>
          <w:sz w:val="32"/>
          <w:szCs w:val="32"/>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sectPr>
          <w:headerReference w:type="default" r:id="rId2"/>
          <w:footerReference w:type="default" r:id="rId3"/>
          <w:type w:val="nextPage"/>
          <w:pgSz w:w="11906" w:h="16838"/>
          <w:pgMar w:left="1440" w:right="1440" w:gutter="0" w:header="708" w:top="1728" w:footer="708" w:bottom="1728"/>
          <w:pgNumType w:fmt="decimal"/>
          <w:formProt w:val="false"/>
          <w:textDirection w:val="lrTb"/>
          <w:docGrid w:type="default" w:linePitch="360" w:charSpace="0"/>
        </w:sectPr>
        <w:pStyle w:val="Normal"/>
        <w:rPr/>
      </w:pPr>
      <w:r>
        <w:rPr/>
      </w:r>
    </w:p>
    <w:p>
      <w:pPr>
        <w:pStyle w:val="Heading1Numbered"/>
        <w:numPr>
          <w:ilvl w:val="0"/>
          <w:numId w:val="0"/>
        </w:numPr>
        <w:ind w:hanging="0" w:start="0"/>
        <w:rPr/>
      </w:pPr>
      <w:r>
        <w:rPr/>
      </w:r>
    </w:p>
    <w:p>
      <w:pPr>
        <w:pStyle w:val="TableText"/>
        <w:jc w:val="center"/>
        <w:rPr>
          <w:b/>
          <w:sz w:val="28"/>
          <w:szCs w:val="28"/>
        </w:rPr>
      </w:pPr>
      <w:r>
        <w:rPr>
          <w:b/>
          <w:sz w:val="28"/>
          <w:szCs w:val="28"/>
        </w:rPr>
        <w:t>TABLE OF CONTENTS</w:t>
      </w:r>
    </w:p>
    <w:p>
      <w:pPr>
        <w:pStyle w:val="TableText"/>
        <w:rPr>
          <w:b/>
          <w:sz w:val="28"/>
          <w:szCs w:val="28"/>
        </w:rPr>
      </w:pPr>
      <w:r>
        <w:rPr>
          <w:b/>
          <w:sz w:val="28"/>
          <w:szCs w:val="28"/>
        </w:rPr>
      </w:r>
    </w:p>
    <w:sdt>
      <w:sdtPr>
        <w:docPartObj>
          <w:docPartGallery w:val="Table of Contents"/>
          <w:docPartUnique w:val="true"/>
        </w:docPartObj>
      </w:sdtPr>
      <w:sdtContent>
        <w:p>
          <w:pPr>
            <w:pStyle w:val="TOC1"/>
            <w:tabs>
              <w:tab w:val="clear" w:pos="720"/>
              <w:tab w:val="left" w:pos="660" w:leader="none"/>
              <w:tab w:val="right" w:pos="9350"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Numbered;1;Heading 2 Numbered;2" </w:instrText>
          </w:r>
          <w:r>
            <w:rPr>
              <w:rStyle w:val="IndexLink"/>
              <w:lang w:val="en-US" w:eastAsia="en-US"/>
            </w:rPr>
            <w:fldChar w:fldCharType="separate"/>
          </w:r>
          <w:hyperlink w:anchor="__RefHeading___Toc157842739">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Novartis Pharma Business Continuity Plan</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0">
            <w:r>
              <w:rPr>
                <w:rStyle w:val="IndexLink"/>
                <w:lang w:val="en-US" w:eastAsia="en-US"/>
              </w:rPr>
              <w:t>1.1</w:t>
            </w:r>
            <w:r>
              <w:rPr>
                <w:rStyle w:val="IndexLink"/>
                <w:caps w:val="false"/>
                <w:smallCaps w:val="false"/>
                <w:sz w:val="24"/>
                <w:szCs w:val="24"/>
                <w:lang w:val="de-CH" w:eastAsia="en-US"/>
              </w:rPr>
              <w:tab/>
            </w:r>
            <w:r>
              <w:rPr>
                <w:rStyle w:val="IndexLink"/>
                <w:lang w:val="en-US" w:eastAsia="en-US"/>
              </w:rPr>
              <w:t>Background</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1">
            <w:r>
              <w:rPr>
                <w:rStyle w:val="IndexLink"/>
                <w:lang w:val="en-US" w:eastAsia="en-US"/>
              </w:rPr>
              <w:t>1.2</w:t>
            </w:r>
            <w:r>
              <w:rPr>
                <w:rStyle w:val="IndexLink"/>
                <w:caps w:val="false"/>
                <w:smallCaps w:val="false"/>
                <w:sz w:val="24"/>
                <w:szCs w:val="24"/>
                <w:lang w:val="de-CH" w:eastAsia="en-US"/>
              </w:rPr>
              <w:tab/>
            </w:r>
            <w:r>
              <w:rPr>
                <w:rStyle w:val="IndexLink"/>
                <w:lang w:val="en-US" w:eastAsia="en-US"/>
              </w:rPr>
              <w:t>Scope</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2">
            <w:r>
              <w:rPr>
                <w:rStyle w:val="IndexLink"/>
                <w:lang w:val="en-US" w:eastAsia="en-US"/>
              </w:rPr>
              <w:t>1.3</w:t>
            </w:r>
            <w:r>
              <w:rPr>
                <w:rStyle w:val="IndexLink"/>
                <w:caps w:val="false"/>
                <w:smallCaps w:val="false"/>
                <w:sz w:val="24"/>
                <w:szCs w:val="24"/>
                <w:lang w:val="de-CH" w:eastAsia="en-US"/>
              </w:rPr>
              <w:tab/>
            </w:r>
            <w:r>
              <w:rPr>
                <w:rStyle w:val="IndexLink"/>
                <w:lang w:val="en-US" w:eastAsia="en-US"/>
              </w:rPr>
              <w:t>Approach</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3">
            <w:r>
              <w:rPr>
                <w:rStyle w:val="IndexLink"/>
                <w:lang w:val="en-US" w:eastAsia="en-US"/>
              </w:rPr>
              <w:t>1.4</w:t>
            </w:r>
            <w:r>
              <w:rPr>
                <w:rStyle w:val="IndexLink"/>
                <w:caps w:val="false"/>
                <w:smallCaps w:val="false"/>
                <w:sz w:val="24"/>
                <w:szCs w:val="24"/>
                <w:lang w:val="de-CH" w:eastAsia="en-US"/>
              </w:rPr>
              <w:tab/>
            </w:r>
            <w:r>
              <w:rPr>
                <w:rStyle w:val="IndexLink"/>
                <w:lang w:val="en-US" w:eastAsia="en-US"/>
              </w:rPr>
              <w:t>Categorization</w:t>
              <w:tab/>
              <w:t>3</w:t>
            </w:r>
          </w:hyperlink>
        </w:p>
        <w:p>
          <w:pPr>
            <w:pStyle w:val="TOC1"/>
            <w:tabs>
              <w:tab w:val="clear" w:pos="720"/>
              <w:tab w:val="left" w:pos="660" w:leader="none"/>
              <w:tab w:val="right" w:pos="9350" w:leader="dot"/>
            </w:tabs>
            <w:rPr>
              <w:b w:val="false"/>
              <w:bCs w:val="false"/>
              <w:caps w:val="false"/>
              <w:smallCaps w:val="false"/>
              <w:sz w:val="24"/>
              <w:szCs w:val="24"/>
              <w:lang w:val="de-CH" w:eastAsia="en-US"/>
            </w:rPr>
          </w:pPr>
          <w:hyperlink w:anchor="__RefHeading___Toc157842744">
            <w:r>
              <w:rPr>
                <w:rStyle w:val="IndexLink"/>
                <w:lang w:val="en-US" w:eastAsia="en-US"/>
              </w:rPr>
              <w:t>2.0</w:t>
            </w:r>
            <w:r>
              <w:rPr>
                <w:rStyle w:val="IndexLink"/>
                <w:b w:val="false"/>
                <w:bCs w:val="false"/>
                <w:caps w:val="false"/>
                <w:smallCaps w:val="false"/>
                <w:sz w:val="24"/>
                <w:szCs w:val="24"/>
                <w:lang w:val="de-CH" w:eastAsia="en-US"/>
              </w:rPr>
              <w:tab/>
            </w:r>
            <w:r>
              <w:rPr>
                <w:rStyle w:val="IndexLink"/>
                <w:lang w:val="en-US" w:eastAsia="en-US"/>
              </w:rPr>
              <w:t>Financial Accounting</w:t>
              <w:tab/>
              <w:t>5</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5">
            <w:r>
              <w:rPr>
                <w:rStyle w:val="IndexLink"/>
                <w:lang w:val="en-US" w:eastAsia="en-US"/>
              </w:rPr>
              <w:t>2.1</w:t>
            </w:r>
            <w:r>
              <w:rPr>
                <w:rStyle w:val="IndexLink"/>
                <w:caps w:val="false"/>
                <w:smallCaps w:val="false"/>
                <w:sz w:val="24"/>
                <w:szCs w:val="24"/>
                <w:lang w:val="de-CH" w:eastAsia="en-US"/>
              </w:rPr>
              <w:tab/>
            </w:r>
            <w:r>
              <w:rPr>
                <w:rStyle w:val="IndexLink"/>
                <w:lang w:val="en-US" w:eastAsia="en-US"/>
              </w:rPr>
              <w:t>Main Business Processes</w:t>
              <w:tab/>
              <w:t>5</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6">
            <w:r>
              <w:rPr>
                <w:rStyle w:val="IndexLink"/>
                <w:lang w:val="en-GB" w:eastAsia="en-US"/>
              </w:rPr>
              <w:t>2.2</w:t>
            </w:r>
            <w:r>
              <w:rPr>
                <w:rStyle w:val="IndexLink"/>
                <w:caps w:val="false"/>
                <w:smallCaps w:val="false"/>
                <w:sz w:val="24"/>
                <w:szCs w:val="24"/>
                <w:lang w:val="de-CH" w:eastAsia="en-US"/>
              </w:rPr>
              <w:tab/>
            </w:r>
            <w:r>
              <w:rPr>
                <w:rStyle w:val="IndexLink"/>
                <w:lang w:val="en-GB" w:eastAsia="en-US"/>
              </w:rPr>
              <w:t>Time Dependent Business Impact</w:t>
            </w:r>
            <w:r>
              <w:rPr>
                <w:rStyle w:val="IndexLink"/>
                <w:lang w:val="en-US" w:eastAsia="en-US"/>
              </w:rPr>
              <w:tab/>
              <w:t>7</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7">
            <w:r>
              <w:rPr>
                <w:rStyle w:val="IndexLink"/>
                <w:lang w:val="en-US" w:eastAsia="en-US"/>
              </w:rPr>
              <w:t>2.3</w:t>
            </w:r>
            <w:r>
              <w:rPr>
                <w:rStyle w:val="IndexLink"/>
                <w:caps w:val="false"/>
                <w:smallCaps w:val="false"/>
                <w:sz w:val="24"/>
                <w:szCs w:val="24"/>
                <w:lang w:val="de-CH" w:eastAsia="en-US"/>
              </w:rPr>
              <w:tab/>
            </w:r>
            <w:r>
              <w:rPr>
                <w:rStyle w:val="IndexLink"/>
                <w:lang w:val="en-US" w:eastAsia="en-US"/>
              </w:rPr>
              <w:t>Business Recovery</w:t>
              <w:tab/>
              <w:t>9</w:t>
            </w:r>
          </w:hyperlink>
        </w:p>
        <w:p>
          <w:pPr>
            <w:pStyle w:val="TOC1"/>
            <w:tabs>
              <w:tab w:val="clear" w:pos="720"/>
              <w:tab w:val="left" w:pos="660" w:leader="none"/>
              <w:tab w:val="right" w:pos="9350" w:leader="dot"/>
            </w:tabs>
            <w:rPr>
              <w:b w:val="false"/>
              <w:bCs w:val="false"/>
              <w:caps w:val="false"/>
              <w:smallCaps w:val="false"/>
              <w:sz w:val="24"/>
              <w:szCs w:val="24"/>
              <w:lang w:val="de-CH" w:eastAsia="en-US"/>
            </w:rPr>
          </w:pPr>
          <w:hyperlink w:anchor="__RefHeading___Toc157842748">
            <w:r>
              <w:rPr>
                <w:rStyle w:val="IndexLink"/>
                <w:lang w:val="en-US" w:eastAsia="en-US"/>
              </w:rPr>
              <w:t>3.0</w:t>
            </w:r>
            <w:r>
              <w:rPr>
                <w:rStyle w:val="IndexLink"/>
                <w:b w:val="false"/>
                <w:bCs w:val="false"/>
                <w:caps w:val="false"/>
                <w:smallCaps w:val="false"/>
                <w:sz w:val="24"/>
                <w:szCs w:val="24"/>
                <w:lang w:val="de-CH" w:eastAsia="en-US"/>
              </w:rPr>
              <w:tab/>
            </w:r>
            <w:r>
              <w:rPr>
                <w:rStyle w:val="IndexLink"/>
                <w:lang w:val="en-US" w:eastAsia="en-US"/>
              </w:rPr>
              <w:t>Indirect Purchasing</w:t>
              <w:tab/>
              <w:t>11</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49">
            <w:r>
              <w:rPr>
                <w:rStyle w:val="IndexLink"/>
                <w:lang w:val="en-US" w:eastAsia="en-US"/>
              </w:rPr>
              <w:t>3.1</w:t>
            </w:r>
            <w:r>
              <w:rPr>
                <w:rStyle w:val="IndexLink"/>
                <w:caps w:val="false"/>
                <w:smallCaps w:val="false"/>
                <w:sz w:val="24"/>
                <w:szCs w:val="24"/>
                <w:lang w:val="de-CH" w:eastAsia="en-US"/>
              </w:rPr>
              <w:tab/>
            </w:r>
            <w:r>
              <w:rPr>
                <w:rStyle w:val="IndexLink"/>
                <w:lang w:val="en-US" w:eastAsia="en-US"/>
              </w:rPr>
              <w:t>Main Business Processes</w:t>
              <w:tab/>
              <w:t>11</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50">
            <w:r>
              <w:rPr>
                <w:rStyle w:val="IndexLink"/>
                <w:lang w:val="en-US" w:eastAsia="en-US"/>
              </w:rPr>
              <w:t>3.2</w:t>
            </w:r>
            <w:r>
              <w:rPr>
                <w:rStyle w:val="IndexLink"/>
                <w:caps w:val="false"/>
                <w:smallCaps w:val="false"/>
                <w:sz w:val="24"/>
                <w:szCs w:val="24"/>
                <w:lang w:val="de-CH" w:eastAsia="en-US"/>
              </w:rPr>
              <w:tab/>
            </w:r>
            <w:r>
              <w:rPr>
                <w:rStyle w:val="IndexLink"/>
                <w:lang w:val="en-GB" w:eastAsia="en-US"/>
              </w:rPr>
              <w:t>Time Dependent Business Impact</w:t>
            </w:r>
            <w:r>
              <w:rPr>
                <w:rStyle w:val="IndexLink"/>
                <w:lang w:val="en-US" w:eastAsia="en-US"/>
              </w:rPr>
              <w:tab/>
              <w:t>12</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842751">
            <w:r>
              <w:rPr>
                <w:rStyle w:val="IndexLink"/>
                <w:lang w:val="en-US" w:eastAsia="en-US"/>
              </w:rPr>
              <w:t>3.3</w:t>
            </w:r>
            <w:r>
              <w:rPr>
                <w:rStyle w:val="IndexLink"/>
                <w:caps w:val="false"/>
                <w:smallCaps w:val="false"/>
                <w:sz w:val="24"/>
                <w:szCs w:val="24"/>
                <w:lang w:val="de-CH" w:eastAsia="en-US"/>
              </w:rPr>
              <w:tab/>
            </w:r>
            <w:r>
              <w:rPr>
                <w:rStyle w:val="IndexLink"/>
                <w:lang w:val="en-US" w:eastAsia="en-US"/>
              </w:rPr>
              <w:t>Business Recovery</w:t>
              <w:tab/>
              <w:t>13</w:t>
            </w:r>
          </w:hyperlink>
        </w:p>
        <w:p>
          <w:pPr>
            <w:pStyle w:val="TOC1"/>
            <w:tabs>
              <w:tab w:val="clear" w:pos="720"/>
              <w:tab w:val="left" w:pos="660" w:leader="none"/>
              <w:tab w:val="right" w:pos="9350" w:leader="dot"/>
            </w:tabs>
            <w:rPr>
              <w:sz w:val="24"/>
              <w:szCs w:val="24"/>
              <w:lang w:val="de-CH" w:eastAsia="en-US"/>
            </w:rPr>
          </w:pPr>
          <w:hyperlink w:anchor="__RefHeading___Toc157842752">
            <w:r>
              <w:rPr>
                <w:rStyle w:val="IndexLink"/>
                <w:b w:val="false"/>
                <w:bCs w:val="false"/>
                <w:caps w:val="false"/>
                <w:smallCaps w:val="false"/>
                <w:lang w:val="en-US" w:eastAsia="en-US"/>
              </w:rPr>
              <w:t>4.0</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Genpact BCP solution</w:t>
              <w:tab/>
              <w:t>14</w:t>
            </w:r>
          </w:hyperlink>
          <w:r>
            <w:rPr>
              <w:rStyle w:val="IndexLink"/>
              <w:smallCaps w:val="false"/>
              <w:caps w:val="false"/>
              <w:b w:val="false"/>
              <w:bCs w:val="false"/>
              <w:lang w:val="en-US" w:eastAsia="en-US"/>
            </w:rPr>
            <w:fldChar w:fldCharType="end"/>
          </w:r>
        </w:p>
      </w:sdtContent>
    </w:sdt>
    <w:p>
      <w:pPr>
        <w:pStyle w:val="TableText"/>
        <w:rPr>
          <w:b/>
          <w:bCs/>
          <w:caps/>
          <w:sz w:val="24"/>
          <w:szCs w:val="24"/>
          <w:lang w:val="de-CH" w:eastAsia="en-US"/>
        </w:rPr>
      </w:pPr>
      <w:r>
        <w:rPr>
          <w:b/>
          <w:bCs/>
          <w:caps/>
          <w:sz w:val="24"/>
          <w:szCs w:val="24"/>
          <w:lang w:val="de-CH" w:eastAsia="en-US"/>
        </w:rPr>
      </w:r>
      <w:r>
        <w:br w:type="page"/>
      </w:r>
    </w:p>
    <w:p>
      <w:pPr>
        <w:pStyle w:val="Heading1Numbered"/>
        <w:numPr>
          <w:ilvl w:val="0"/>
          <w:numId w:val="12"/>
        </w:numPr>
        <w:ind w:hanging="0" w:start="0"/>
        <w:rPr/>
      </w:pPr>
      <w:bookmarkStart w:id="0" w:name="__RefHeading___Toc157842739"/>
      <w:bookmarkEnd w:id="0"/>
      <w:r>
        <w:rPr/>
        <w:t>GlobalPharma Business Continuity Plan</w:t>
      </w:r>
    </w:p>
    <w:p>
      <w:pPr>
        <w:pStyle w:val="Heading2Numbered"/>
        <w:numPr>
          <w:ilvl w:val="1"/>
          <w:numId w:val="12"/>
        </w:numPr>
        <w:ind w:hanging="0" w:start="0"/>
        <w:rPr/>
      </w:pPr>
      <w:bookmarkStart w:id="1" w:name="__RefHeading___Toc157842740"/>
      <w:bookmarkEnd w:id="1"/>
      <w:r>
        <w:rPr/>
        <w:t>Background</w:t>
      </w:r>
    </w:p>
    <w:p>
      <w:pPr>
        <w:pStyle w:val="BodyText"/>
        <w:rPr/>
      </w:pPr>
      <w:r>
        <w:rPr/>
        <w:t>Business Continuity management is anticipating incidents that might affect critical functions and processes for the organization and ensuring that the organization is prepared and responds to any incident in a planned and thought through manner.</w:t>
      </w:r>
    </w:p>
    <w:p>
      <w:pPr>
        <w:pStyle w:val="BodyText"/>
        <w:rPr/>
      </w:pPr>
      <w:r>
        <w:rPr/>
        <w:t>Since GlobalPharma runs a very sensitive business, that might be interrupted and influenced by a lot of factors, Business Continuity managements is a very important part of any process, especially if parts or the whole process is outsourced.</w:t>
      </w:r>
    </w:p>
    <w:p>
      <w:pPr>
        <w:pStyle w:val="Heading2Numbered"/>
        <w:numPr>
          <w:ilvl w:val="1"/>
          <w:numId w:val="12"/>
        </w:numPr>
        <w:ind w:hanging="0" w:start="0"/>
        <w:rPr/>
      </w:pPr>
      <w:bookmarkStart w:id="2" w:name="__RefHeading___Toc157842741"/>
      <w:bookmarkEnd w:id="2"/>
      <w:r>
        <w:rPr/>
        <w:t>Scope</w:t>
      </w:r>
    </w:p>
    <w:p>
      <w:pPr>
        <w:pStyle w:val="BodyText"/>
        <w:rPr/>
      </w:pPr>
      <w:r>
        <w:rPr/>
        <w:t xml:space="preserve">Scope of this document are  the in-scope </w:t>
      </w:r>
      <w:r>
        <w:rPr>
          <w:rFonts w:cs="Arial" w:ascii="Arial" w:hAnsi="Arial"/>
          <w:color w:val="000080"/>
          <w:sz w:val="20"/>
          <w:szCs w:val="20"/>
        </w:rPr>
        <w:t>processes as described under The</w:t>
      </w:r>
      <w:r>
        <w:rPr/>
        <w:t xml:space="preserve"> Agreements. </w:t>
      </w:r>
    </w:p>
    <w:p>
      <w:pPr>
        <w:pStyle w:val="Heading2Numbered"/>
        <w:numPr>
          <w:ilvl w:val="1"/>
          <w:numId w:val="12"/>
        </w:numPr>
        <w:ind w:hanging="0" w:start="0"/>
        <w:rPr/>
      </w:pPr>
      <w:bookmarkStart w:id="3" w:name="__RefHeading___Toc157842742"/>
      <w:bookmarkEnd w:id="3"/>
      <w:r>
        <w:rPr/>
        <w:t>Approach</w:t>
      </w:r>
    </w:p>
    <w:p>
      <w:pPr>
        <w:pStyle w:val="BodyText"/>
        <w:rPr/>
      </w:pPr>
      <w:r>
        <w:rPr/>
        <w:t>The Business Continuity management requirements for the affected processes will be illustrated on the basis of GlobalPharma internal requirements.</w:t>
      </w:r>
    </w:p>
    <w:p>
      <w:pPr>
        <w:pStyle w:val="Heading2Numbered"/>
        <w:numPr>
          <w:ilvl w:val="1"/>
          <w:numId w:val="12"/>
        </w:numPr>
        <w:ind w:hanging="0" w:start="0"/>
        <w:rPr/>
      </w:pPr>
      <w:bookmarkStart w:id="4" w:name="__RefHeading___Toc157842743"/>
      <w:bookmarkEnd w:id="4"/>
      <w:r>
        <w:rPr/>
        <w:t>Categorization</w:t>
      </w:r>
    </w:p>
    <w:p>
      <w:pPr>
        <w:pStyle w:val="TableText"/>
        <w:ind w:start="720" w:end="0"/>
        <w:rPr/>
      </w:pPr>
      <w:r>
        <w:rPr/>
        <w:t>GlobalPharma categorizes the severity of incidents on the business into four levels:</w:t>
      </w:r>
    </w:p>
    <w:p>
      <w:pPr>
        <w:pStyle w:val="TableText"/>
        <w:numPr>
          <w:ilvl w:val="0"/>
          <w:numId w:val="14"/>
        </w:numPr>
        <w:rPr/>
      </w:pPr>
      <w:r>
        <w:rPr/>
        <w:t>Marginal</w:t>
      </w:r>
    </w:p>
    <w:p>
      <w:pPr>
        <w:pStyle w:val="TableText"/>
        <w:numPr>
          <w:ilvl w:val="0"/>
          <w:numId w:val="14"/>
        </w:numPr>
        <w:rPr/>
      </w:pPr>
      <w:r>
        <w:rPr/>
        <w:t>Medium</w:t>
      </w:r>
    </w:p>
    <w:p>
      <w:pPr>
        <w:pStyle w:val="TableText"/>
        <w:numPr>
          <w:ilvl w:val="0"/>
          <w:numId w:val="14"/>
        </w:numPr>
        <w:rPr/>
      </w:pPr>
      <w:r>
        <w:rPr/>
        <w:t>Critical</w:t>
      </w:r>
    </w:p>
    <w:p>
      <w:pPr>
        <w:pStyle w:val="TableText"/>
        <w:numPr>
          <w:ilvl w:val="0"/>
          <w:numId w:val="14"/>
        </w:numPr>
        <w:rPr/>
      </w:pPr>
      <w:r>
        <w:rPr/>
        <w:t>Catastrophic</w:t>
      </w:r>
    </w:p>
    <w:p>
      <w:pPr>
        <w:pStyle w:val="TableText"/>
        <w:ind w:start="720" w:end="0"/>
        <w:rPr/>
      </w:pPr>
      <w:r>
        <w:rPr/>
        <w:t>For the major incidents influencing the business, these levels are defined by the following situations:</w:t>
      </w:r>
    </w:p>
    <w:p>
      <w:pPr>
        <w:pStyle w:val="TableText"/>
        <w:rPr/>
      </w:pPr>
      <w:r>
        <w:rPr/>
      </w:r>
    </w:p>
    <w:p>
      <w:pPr>
        <w:sectPr>
          <w:headerReference w:type="default" r:id="rId4"/>
          <w:headerReference w:type="first" r:id="rId5"/>
          <w:footerReference w:type="default" r:id="rId6"/>
          <w:footerReference w:type="first" r:id="rId7"/>
          <w:type w:val="nextPage"/>
          <w:pgSz w:w="12240" w:h="15840"/>
          <w:pgMar w:left="1440" w:right="1440" w:gutter="0" w:header="708" w:top="1728" w:footer="708" w:bottom="1728"/>
          <w:pgNumType w:fmt="decimal"/>
          <w:formProt w:val="false"/>
          <w:textDirection w:val="lrTb"/>
          <w:docGrid w:type="default" w:linePitch="360" w:charSpace="0"/>
        </w:sectPr>
        <w:pStyle w:val="TableText"/>
        <w:rPr/>
      </w:pPr>
      <w:r>
        <w:rPr/>
      </w:r>
    </w:p>
    <w:tbl>
      <w:tblPr>
        <w:tblW w:w="14283" w:type="dxa"/>
        <w:jc w:val="start"/>
        <w:tblInd w:w="0" w:type="dxa"/>
        <w:tblLayout w:type="fixed"/>
        <w:tblCellMar>
          <w:top w:w="0" w:type="dxa"/>
          <w:start w:w="108" w:type="dxa"/>
          <w:bottom w:w="0" w:type="dxa"/>
          <w:end w:w="108" w:type="dxa"/>
        </w:tblCellMar>
      </w:tblPr>
      <w:tblGrid>
        <w:gridCol w:w="2802"/>
        <w:gridCol w:w="2976"/>
        <w:gridCol w:w="2835"/>
        <w:gridCol w:w="2835"/>
        <w:gridCol w:w="2835"/>
      </w:tblGrid>
      <w:tr>
        <w:trPr/>
        <w:tc>
          <w:tcPr>
            <w:tcW w:w="2802" w:type="dxa"/>
            <w:tcBorders>
              <w:top w:val="single" w:sz="4" w:space="0" w:color="000000"/>
              <w:start w:val="single" w:sz="4" w:space="0" w:color="000000"/>
              <w:bottom w:val="single" w:sz="4" w:space="0" w:color="000000"/>
              <w:end w:val="single" w:sz="4" w:space="0" w:color="000000"/>
            </w:tcBorders>
          </w:tcPr>
          <w:p>
            <w:pPr>
              <w:pStyle w:val="Normal"/>
              <w:spacing w:before="120" w:after="120"/>
              <w:jc w:val="end"/>
              <w:rPr>
                <w:rFonts w:ascii="Arial" w:hAnsi="Arial" w:cs="Arial"/>
                <w:b/>
                <w:sz w:val="24"/>
              </w:rPr>
            </w:pPr>
            <w:r>
              <mc:AlternateContent>
                <mc:Choice Requires="wps">
                  <w:drawing>
                    <wp:anchor behindDoc="0" distT="0" distB="0" distL="114935" distR="114935" simplePos="0" locked="0" layoutInCell="0" allowOverlap="1" relativeHeight="17">
                      <wp:simplePos x="0" y="0"/>
                      <wp:positionH relativeFrom="margin">
                        <wp:posOffset>-74295</wp:posOffset>
                      </wp:positionH>
                      <wp:positionV relativeFrom="paragraph">
                        <wp:posOffset>-4445</wp:posOffset>
                      </wp:positionV>
                      <wp:extent cx="1805940" cy="773430"/>
                      <wp:effectExtent l="1905" t="4445" r="1905" b="4445"/>
                      <wp:wrapNone/>
                      <wp:docPr id="5" name=""/>
                      <a:graphic xmlns:a="http://schemas.openxmlformats.org/drawingml/2006/main">
                        <a:graphicData uri="http://schemas.microsoft.com/office/word/2010/wordprocessingShape">
                          <wps:wsp>
                            <wps:cNvSpPr/>
                            <wps:spPr>
                              <a:xfrm flipH="1" flipV="1">
                                <a:off x="0" y="0"/>
                                <a:ext cx="1806120" cy="7732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5pt,-0.35pt" to="136.3pt,60.5pt" stroked="t" o:allowincell="f" style="position:absolute;flip:xy;mso-position-horizontal-relative:margin">
                      <v:stroke color="black" weight="9360" joinstyle="miter" endcap="flat"/>
                      <v:fill o:detectmouseclick="t" on="false"/>
                      <w10:wrap type="none"/>
                    </v:line>
                  </w:pict>
                </mc:Fallback>
              </mc:AlternateContent>
            </w:r>
            <w:r>
              <w:rPr>
                <w:rFonts w:cs="Arial" w:ascii="Arial" w:hAnsi="Arial"/>
                <w:b/>
                <w:sz w:val="24"/>
              </w:rPr>
              <w:t>Magnitude</w:t>
            </w:r>
          </w:p>
          <w:p>
            <w:pPr>
              <w:pStyle w:val="Normal"/>
              <w:spacing w:before="240" w:after="120"/>
              <w:rPr>
                <w:rFonts w:ascii="Arial" w:hAnsi="Arial" w:cs="Arial"/>
                <w:b/>
                <w:sz w:val="24"/>
              </w:rPr>
            </w:pPr>
            <w:r>
              <w:rPr>
                <w:rFonts w:cs="Arial" w:ascii="Arial" w:hAnsi="Arial"/>
                <w:b/>
                <w:sz w:val="24"/>
              </w:rPr>
              <w:t>Business</w:t>
              <w:br/>
              <w:t>Impacts</w:t>
            </w:r>
          </w:p>
        </w:tc>
        <w:tc>
          <w:tcPr>
            <w:tcW w:w="2976" w:type="dxa"/>
            <w:tcBorders>
              <w:top w:val="single" w:sz="4" w:space="0" w:color="000000"/>
              <w:start w:val="single" w:sz="4" w:space="0" w:color="000000"/>
              <w:bottom w:val="single" w:sz="4" w:space="0" w:color="000000"/>
              <w:end w:val="single" w:sz="4" w:space="0" w:color="000000"/>
            </w:tcBorders>
            <w:shd w:fill="A5A5A5" w:val="clear"/>
          </w:tcPr>
          <w:p>
            <w:pPr>
              <w:pStyle w:val="Normal"/>
              <w:tabs>
                <w:tab w:val="clear" w:pos="720"/>
                <w:tab w:val="right" w:pos="10064" w:leader="none"/>
                <w:tab w:val="right" w:pos="10165" w:leader="none"/>
              </w:tabs>
              <w:spacing w:before="120" w:after="120"/>
              <w:jc w:val="center"/>
              <w:rPr>
                <w:rFonts w:ascii="Arial" w:hAnsi="Arial" w:cs="Arial"/>
                <w:b/>
                <w:sz w:val="24"/>
              </w:rPr>
            </w:pPr>
            <w:r>
              <w:rPr>
                <w:rFonts w:cs="Arial" w:ascii="Arial" w:hAnsi="Arial"/>
                <w:b/>
                <w:sz w:val="24"/>
              </w:rPr>
              <w:t>Marginal</w:t>
            </w:r>
          </w:p>
        </w:tc>
        <w:tc>
          <w:tcPr>
            <w:tcW w:w="2835" w:type="dxa"/>
            <w:tcBorders>
              <w:top w:val="single" w:sz="4" w:space="0" w:color="000000"/>
              <w:start w:val="single" w:sz="4" w:space="0" w:color="000000"/>
              <w:bottom w:val="single" w:sz="4" w:space="0" w:color="000000"/>
              <w:end w:val="single" w:sz="4" w:space="0" w:color="000000"/>
            </w:tcBorders>
            <w:shd w:fill="A5A5A5" w:val="clear"/>
          </w:tcPr>
          <w:p>
            <w:pPr>
              <w:pStyle w:val="Normal"/>
              <w:tabs>
                <w:tab w:val="clear" w:pos="720"/>
                <w:tab w:val="right" w:pos="10064" w:leader="none"/>
                <w:tab w:val="right" w:pos="10165" w:leader="none"/>
              </w:tabs>
              <w:spacing w:before="120" w:after="120"/>
              <w:jc w:val="center"/>
              <w:rPr>
                <w:rFonts w:ascii="Arial" w:hAnsi="Arial" w:cs="Arial"/>
                <w:b/>
                <w:sz w:val="24"/>
              </w:rPr>
            </w:pPr>
            <w:r>
              <w:rPr>
                <w:rFonts w:cs="Arial" w:ascii="Arial" w:hAnsi="Arial"/>
                <w:b/>
                <w:sz w:val="24"/>
              </w:rPr>
              <w:t>Medium</w:t>
            </w:r>
          </w:p>
        </w:tc>
        <w:tc>
          <w:tcPr>
            <w:tcW w:w="2835" w:type="dxa"/>
            <w:tcBorders>
              <w:top w:val="single" w:sz="4" w:space="0" w:color="000000"/>
              <w:start w:val="single" w:sz="4" w:space="0" w:color="000000"/>
              <w:bottom w:val="single" w:sz="4" w:space="0" w:color="000000"/>
              <w:end w:val="single" w:sz="4" w:space="0" w:color="000000"/>
            </w:tcBorders>
            <w:shd w:fill="A5A5A5" w:val="clear"/>
          </w:tcPr>
          <w:p>
            <w:pPr>
              <w:pStyle w:val="Normal"/>
              <w:tabs>
                <w:tab w:val="clear" w:pos="720"/>
                <w:tab w:val="right" w:pos="10064" w:leader="none"/>
                <w:tab w:val="right" w:pos="10165" w:leader="none"/>
              </w:tabs>
              <w:spacing w:before="120" w:after="120"/>
              <w:jc w:val="center"/>
              <w:rPr>
                <w:rFonts w:ascii="Arial" w:hAnsi="Arial" w:cs="Arial"/>
                <w:b/>
                <w:sz w:val="24"/>
              </w:rPr>
            </w:pPr>
            <w:r>
              <w:rPr>
                <w:rFonts w:cs="Arial" w:ascii="Arial" w:hAnsi="Arial"/>
                <w:b/>
                <w:sz w:val="24"/>
              </w:rPr>
              <w:t>Critical</w:t>
            </w:r>
          </w:p>
        </w:tc>
        <w:tc>
          <w:tcPr>
            <w:tcW w:w="2835" w:type="dxa"/>
            <w:tcBorders>
              <w:top w:val="single" w:sz="4" w:space="0" w:color="000000"/>
              <w:start w:val="single" w:sz="4" w:space="0" w:color="000000"/>
              <w:bottom w:val="single" w:sz="4" w:space="0" w:color="000000"/>
              <w:end w:val="single" w:sz="4" w:space="0" w:color="000000"/>
            </w:tcBorders>
            <w:shd w:fill="A5A5A5" w:val="clear"/>
          </w:tcPr>
          <w:p>
            <w:pPr>
              <w:pStyle w:val="Normal"/>
              <w:tabs>
                <w:tab w:val="clear" w:pos="720"/>
                <w:tab w:val="right" w:pos="10064" w:leader="none"/>
                <w:tab w:val="right" w:pos="10165" w:leader="none"/>
              </w:tabs>
              <w:spacing w:before="120" w:after="120"/>
              <w:jc w:val="center"/>
              <w:rPr>
                <w:rFonts w:ascii="Arial" w:hAnsi="Arial" w:cs="Arial"/>
                <w:b/>
                <w:sz w:val="24"/>
              </w:rPr>
            </w:pPr>
            <w:r>
              <w:rPr>
                <w:rFonts w:cs="Arial" w:ascii="Arial" w:hAnsi="Arial"/>
                <w:b/>
                <w:sz w:val="24"/>
              </w:rPr>
              <w:t>Catastrophic</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b/>
              </w:rPr>
            </w:pPr>
            <w:r>
              <w:rPr>
                <w:rFonts w:cs="Arial" w:ascii="Arial" w:hAnsi="Arial"/>
                <w:b/>
              </w:rPr>
              <w:t>BUSINESS / FINANCE</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b/>
                <w:sz w:val="18"/>
              </w:rPr>
            </w:pPr>
            <w:r>
              <w:rPr>
                <w:rFonts w:cs="Arial" w:ascii="Arial" w:hAnsi="Arial"/>
                <w:b/>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Production delays</w:t>
              <w:br/>
              <w:t>(relevant safety stock policy to be considered)</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Production delay of top sale / life saving product of &lt; 1 month</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Production delay of top sale / life saving product of &lt; 2  months</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Production delay of top sale product of 3 - 6 months,</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Production delay of top sale product of &gt; 6  months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Business interruption / sales losses</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bookmarkStart w:id="5" w:name="OLE_LINK4"/>
            <w:r>
              <w:rPr>
                <w:rFonts w:cs="Arial" w:ascii="Arial" w:hAnsi="Arial"/>
                <w:sz w:val="18"/>
              </w:rPr>
              <w:t>&lt; 1% of annual sales / turnover</w:t>
            </w:r>
            <w:bookmarkEnd w:id="5"/>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1% - 2% of annual sales / turnover</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2% - 5% of annual sales / turnover</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&gt; 5% of annual sales / turnover</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Loss of operating income</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&lt;  1 %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1 – 2 %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2 – 5 %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szCs w:val="18"/>
              </w:rPr>
            </w:pPr>
            <w:r>
              <w:rPr>
                <w:rFonts w:cs="Arial" w:ascii="Arial" w:hAnsi="Arial"/>
                <w:sz w:val="18"/>
                <w:szCs w:val="18"/>
              </w:rPr>
              <w:t>&gt; 5 %</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b/>
              </w:rPr>
            </w:pPr>
            <w:r>
              <w:rPr>
                <w:rFonts w:cs="Arial" w:ascii="Arial" w:hAnsi="Arial"/>
                <w:b/>
              </w:rPr>
              <w:t>REPUTATION</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b/>
                <w:sz w:val="18"/>
              </w:rPr>
            </w:pPr>
            <w:r>
              <w:rPr>
                <w:rFonts w:cs="Arial" w:ascii="Arial" w:hAnsi="Arial"/>
                <w:b/>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Bad publicity / loss of reputation</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Negative local media coverage</w:t>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rPr>
            </w:pPr>
            <w:r>
              <w:rPr>
                <w:rFonts w:cs="Arial" w:ascii="Arial" w:hAnsi="Arial"/>
                <w:sz w:val="18"/>
              </w:rPr>
              <w:t>Negative national media coverage or</w:t>
            </w:r>
          </w:p>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Damage of company image in minor market/ country</w:t>
            </w:r>
          </w:p>
        </w:tc>
        <w:tc>
          <w:tcPr>
            <w:tcW w:w="2835"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18"/>
              </w:rPr>
              <w:t>Negative international media appearance  or</w:t>
            </w:r>
          </w:p>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Damage of company  image in a key market / country</w:t>
            </w:r>
          </w:p>
        </w:tc>
        <w:tc>
          <w:tcPr>
            <w:tcW w:w="2835"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18"/>
              </w:rPr>
              <w:t>Negative international media headlines or</w:t>
            </w:r>
          </w:p>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Damage of company  image in Several key markets/ countries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b/>
              </w:rPr>
            </w:pPr>
            <w:r>
              <w:rPr>
                <w:rFonts w:cs="Arial" w:ascii="Arial" w:hAnsi="Arial"/>
                <w:b/>
              </w:rPr>
              <w:t>RESOURCES</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b/>
                <w:sz w:val="18"/>
              </w:rPr>
            </w:pPr>
            <w:r>
              <w:rPr>
                <w:rFonts w:cs="Arial" w:ascii="Arial" w:hAnsi="Arial"/>
                <w:b/>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napToGrid w:val="false"/>
              <w:spacing w:before="120" w:after="120"/>
              <w:rPr>
                <w:rFonts w:ascii="Arial" w:hAnsi="Arial" w:cs="Arial"/>
                <w:sz w:val="18"/>
              </w:rPr>
            </w:pPr>
            <w:r>
              <w:rPr>
                <w:rFonts w:cs="Arial" w:ascii="Arial" w:hAnsi="Arial"/>
                <w:sz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Loss of data / information</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Recovery of key data / information of &lt; 5 days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Recovery of key data / information of 5 to 10 days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Recovery of key data / information of 10 to 15 days</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Recovery of key data / information of &gt; 15 days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Loss of know- how</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Further internal know- how available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Recovery of internal know-how possible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External know- how needed </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Know- how practically not available</w:t>
            </w:r>
          </w:p>
        </w:tc>
      </w:tr>
      <w:tr>
        <w:trPr/>
        <w:tc>
          <w:tcPr>
            <w:tcW w:w="2802"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 xml:space="preserve">Legal actions </w:t>
            </w:r>
          </w:p>
        </w:tc>
        <w:tc>
          <w:tcPr>
            <w:tcW w:w="2976"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small fines</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Admonition, medium fines</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Major fines and/or imprisonment of 1 individual</w:t>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720"/>
                <w:tab w:val="right" w:pos="10064" w:leader="none"/>
                <w:tab w:val="right" w:pos="10165" w:leader="none"/>
              </w:tabs>
              <w:spacing w:before="120" w:after="120"/>
              <w:rPr>
                <w:rFonts w:ascii="Arial" w:hAnsi="Arial" w:cs="Arial"/>
                <w:sz w:val="18"/>
              </w:rPr>
            </w:pPr>
            <w:r>
              <w:rPr>
                <w:rFonts w:cs="Arial" w:ascii="Arial" w:hAnsi="Arial"/>
                <w:sz w:val="18"/>
              </w:rPr>
              <w:t>Significant fines and/or imprisonment of multiple individuals</w:t>
            </w:r>
          </w:p>
        </w:tc>
      </w:tr>
    </w:tbl>
    <w:p>
      <w:pPr>
        <w:pStyle w:val="Heading1Numbered"/>
        <w:numPr>
          <w:ilvl w:val="0"/>
          <w:numId w:val="12"/>
        </w:numPr>
        <w:ind w:hanging="0" w:start="0"/>
        <w:rPr/>
      </w:pPr>
      <w:r>
        <w:br w:type="page"/>
      </w:r>
      <w:bookmarkStart w:id="6" w:name="__RefHeading___Toc157842744"/>
      <w:bookmarkEnd w:id="6"/>
      <w:r>
        <w:rPr/>
        <w:t>Financial Accounting</w:t>
      </w:r>
    </w:p>
    <w:p>
      <w:pPr>
        <w:pStyle w:val="Heading2Numbered"/>
        <w:numPr>
          <w:ilvl w:val="1"/>
          <w:numId w:val="12"/>
        </w:numPr>
        <w:ind w:hanging="0" w:start="0"/>
        <w:rPr/>
      </w:pPr>
      <w:bookmarkStart w:id="7" w:name="__RefHeading___Toc157842745"/>
      <w:bookmarkEnd w:id="7"/>
      <w:r>
        <w:rPr/>
        <w:t>Main Business Processes</w:t>
      </w:r>
    </w:p>
    <w:p>
      <w:pPr>
        <w:pStyle w:val="Normal"/>
        <w:rPr/>
      </w:pPr>
      <w:r>
        <w:rPr/>
        <w:t>The following table lists the main business processes in Financial Accounting and their links and dependencies.</w:t>
      </w:r>
    </w:p>
    <w:tbl>
      <w:tblPr>
        <w:tblW w:w="14742" w:type="dxa"/>
        <w:jc w:val="start"/>
        <w:tblInd w:w="15" w:type="dxa"/>
        <w:tblLayout w:type="fixed"/>
        <w:tblCellMar>
          <w:top w:w="0" w:type="dxa"/>
          <w:start w:w="15" w:type="dxa"/>
          <w:bottom w:w="0" w:type="dxa"/>
          <w:end w:w="15" w:type="dxa"/>
        </w:tblCellMar>
      </w:tblPr>
      <w:tblGrid>
        <w:gridCol w:w="1440"/>
        <w:gridCol w:w="2935"/>
        <w:gridCol w:w="2821"/>
        <w:gridCol w:w="3014"/>
        <w:gridCol w:w="2513"/>
        <w:gridCol w:w="2019"/>
      </w:tblGrid>
      <w:tr>
        <w:trPr>
          <w:tblHeader w:val="true"/>
          <w:trHeight w:val="776" w:hRule="atLeast"/>
        </w:trPr>
        <w:tc>
          <w:tcPr>
            <w:tcW w:w="144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 xml:space="preserve">Business </w:t>
            </w:r>
          </w:p>
          <w:p>
            <w:pPr>
              <w:pStyle w:val="Normal"/>
              <w:spacing w:before="60" w:after="60"/>
              <w:jc w:val="center"/>
              <w:rPr>
                <w:rFonts w:ascii="Arial" w:hAnsi="Arial" w:cs="Arial"/>
                <w:b/>
              </w:rPr>
            </w:pPr>
            <w:r>
              <w:rPr>
                <w:rFonts w:cs="Arial" w:ascii="Arial" w:hAnsi="Arial"/>
                <w:b/>
              </w:rPr>
              <w:t>process</w:t>
            </w:r>
          </w:p>
        </w:tc>
        <w:tc>
          <w:tcPr>
            <w:tcW w:w="2935"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pPr>
            <w:r>
              <w:rPr>
                <w:rFonts w:cs="Arial" w:ascii="Arial" w:hAnsi="Arial"/>
                <w:b/>
              </w:rPr>
              <w:t xml:space="preserve">Sub-process </w:t>
            </w:r>
          </w:p>
        </w:tc>
        <w:tc>
          <w:tcPr>
            <w:tcW w:w="2821"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Critical Success Factors</w:t>
            </w:r>
          </w:p>
        </w:tc>
        <w:tc>
          <w:tcPr>
            <w:tcW w:w="3014"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 xml:space="preserve">Sub-processes /  Activities </w:t>
            </w:r>
          </w:p>
        </w:tc>
        <w:tc>
          <w:tcPr>
            <w:tcW w:w="2513"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Resources needed</w:t>
            </w:r>
          </w:p>
        </w:tc>
        <w:tc>
          <w:tcPr>
            <w:tcW w:w="201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Dependencies on / Interfaces to other processes</w:t>
            </w:r>
          </w:p>
        </w:tc>
      </w:tr>
      <w:tr>
        <w:trPr>
          <w:trHeight w:val="1035" w:hRule="atLeast"/>
        </w:trPr>
        <w:tc>
          <w:tcPr>
            <w:tcW w:w="1440" w:type="dxa"/>
            <w:tcBorders>
              <w:top w:val="single" w:sz="4" w:space="0" w:color="000000"/>
              <w:start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Accounts Receivables</w:t>
            </w:r>
          </w:p>
          <w:p>
            <w:pPr>
              <w:pStyle w:val="Normal"/>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Accounts Receivables</w:t>
            </w:r>
          </w:p>
          <w:p>
            <w:pPr>
              <w:pStyle w:val="Normal"/>
              <w:spacing w:before="60" w:after="60"/>
              <w:rPr>
                <w:rFonts w:ascii="Arial" w:hAnsi="Arial" w:cs="Arial"/>
                <w:b/>
                <w:sz w:val="20"/>
                <w:szCs w:val="20"/>
              </w:rPr>
            </w:pPr>
            <w:r>
              <w:rPr>
                <w:rFonts w:cs="Arial" w:ascii="Arial" w:hAnsi="Arial"/>
                <w:b/>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Timely, complete and correct distribution</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Closing of Subledger Accounts Receivables</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Head AR, deputy</w:t>
            </w:r>
          </w:p>
          <w:p>
            <w:pPr>
              <w:pStyle w:val="Normal"/>
              <w:spacing w:before="60" w:after="60"/>
              <w:rPr>
                <w:rFonts w:ascii="Arial" w:hAnsi="Arial" w:cs="Arial"/>
                <w:sz w:val="20"/>
                <w:szCs w:val="20"/>
              </w:rPr>
            </w:pPr>
            <w:r>
              <w:rPr>
                <w:rFonts w:cs="Arial" w:ascii="Arial" w:hAnsi="Arial"/>
                <w:sz w:val="20"/>
                <w:szCs w:val="20"/>
              </w:rPr>
              <w:t>workarea</w:t>
            </w:r>
          </w:p>
          <w:p>
            <w:pPr>
              <w:pStyle w:val="Normal"/>
              <w:spacing w:before="60" w:after="60"/>
              <w:rPr>
                <w:rFonts w:ascii="Arial" w:hAnsi="Arial" w:cs="Arial"/>
                <w:sz w:val="20"/>
                <w:szCs w:val="20"/>
              </w:rPr>
            </w:pPr>
            <w:r>
              <w:rPr>
                <w:rFonts w:cs="Arial" w:ascii="Arial" w:hAnsi="Arial"/>
                <w:sz w:val="20"/>
                <w:szCs w:val="20"/>
              </w:rPr>
              <w:t>SAP availability, SISNet support</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Supply chain</w:t>
            </w:r>
          </w:p>
          <w:p>
            <w:pPr>
              <w:pStyle w:val="Normal"/>
              <w:spacing w:before="60" w:after="60"/>
              <w:rPr>
                <w:rFonts w:ascii="Arial" w:hAnsi="Arial" w:cs="Arial"/>
                <w:sz w:val="20"/>
                <w:szCs w:val="20"/>
              </w:rPr>
            </w:pPr>
            <w:r>
              <w:rPr>
                <w:rFonts w:cs="Arial" w:ascii="Arial" w:hAnsi="Arial"/>
                <w:sz w:val="20"/>
                <w:szCs w:val="20"/>
              </w:rPr>
            </w:r>
          </w:p>
        </w:tc>
      </w:tr>
      <w:tr>
        <w:trPr>
          <w:trHeight w:val="938" w:hRule="atLeast"/>
        </w:trPr>
        <w:tc>
          <w:tcPr>
            <w:tcW w:w="1440" w:type="dxa"/>
            <w:tcBorders>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eastAsia="Arial" w:cs="Arial" w:ascii="Arial" w:hAnsi="Arial"/>
                <w:b/>
                <w:sz w:val="20"/>
                <w:szCs w:val="20"/>
              </w:rPr>
              <w:t xml:space="preserve"> </w:t>
            </w:r>
          </w:p>
        </w:tc>
        <w:tc>
          <w:tcPr>
            <w:tcW w:w="293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Credit Mgmt</w:t>
            </w:r>
          </w:p>
          <w:p>
            <w:pPr>
              <w:pStyle w:val="Normal"/>
              <w:spacing w:before="60" w:after="60"/>
              <w:rPr>
                <w:rFonts w:ascii="Arial" w:hAnsi="Arial" w:cs="Arial"/>
                <w:b/>
                <w:sz w:val="20"/>
                <w:szCs w:val="20"/>
              </w:rPr>
            </w:pPr>
            <w:r>
              <w:rPr>
                <w:rFonts w:cs="Arial" w:ascii="Arial" w:hAnsi="Arial"/>
                <w:b/>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Timely, complete and correct distribution</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Adjust credit limits to avoid stock out at customer</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sz w:val="20"/>
                <w:szCs w:val="20"/>
              </w:rPr>
              <w:t>CFO, head FRA</w:t>
            </w:r>
          </w:p>
          <w:p>
            <w:pPr>
              <w:pStyle w:val="Normal"/>
              <w:spacing w:before="60" w:after="60"/>
              <w:rPr>
                <w:rFonts w:ascii="Arial" w:hAnsi="Arial" w:cs="Arial"/>
                <w:sz w:val="20"/>
                <w:szCs w:val="20"/>
              </w:rPr>
            </w:pPr>
            <w:r>
              <w:rPr>
                <w:rFonts w:cs="Arial" w:ascii="Arial" w:hAnsi="Arial"/>
                <w:sz w:val="20"/>
                <w:szCs w:val="20"/>
              </w:rPr>
              <w:t>Workarea</w:t>
            </w:r>
          </w:p>
          <w:p>
            <w:pPr>
              <w:pStyle w:val="Normal"/>
              <w:spacing w:before="60" w:after="60"/>
              <w:rPr>
                <w:rFonts w:ascii="Arial" w:hAnsi="Arial" w:cs="Arial"/>
                <w:sz w:val="20"/>
                <w:szCs w:val="20"/>
              </w:rPr>
            </w:pPr>
            <w:r>
              <w:rPr>
                <w:rFonts w:cs="Arial" w:ascii="Arial" w:hAnsi="Arial"/>
                <w:sz w:val="20"/>
                <w:szCs w:val="20"/>
              </w:rPr>
              <w:t>SAP availability, SISNet support</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Supply chain</w:t>
            </w:r>
          </w:p>
          <w:p>
            <w:pPr>
              <w:pStyle w:val="Normal"/>
              <w:spacing w:before="60" w:after="60"/>
              <w:rPr>
                <w:rFonts w:ascii="Arial" w:hAnsi="Arial" w:cs="Arial"/>
                <w:sz w:val="20"/>
                <w:szCs w:val="20"/>
              </w:rPr>
            </w:pPr>
            <w:r>
              <w:rPr>
                <w:rFonts w:cs="Arial" w:ascii="Arial" w:hAnsi="Arial"/>
                <w:sz w:val="20"/>
                <w:szCs w:val="20"/>
              </w:rPr>
            </w:r>
          </w:p>
        </w:tc>
      </w:tr>
      <w:tr>
        <w:trPr>
          <w:trHeight w:val="938" w:hRule="atLeast"/>
        </w:trPr>
        <w:tc>
          <w:tcPr>
            <w:tcW w:w="1440" w:type="dxa"/>
            <w:tcBorders>
              <w:top w:val="single" w:sz="4" w:space="0" w:color="000000"/>
              <w:start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Accounts Payables</w:t>
            </w:r>
          </w:p>
          <w:p>
            <w:pPr>
              <w:pStyle w:val="Normal"/>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Accounts Payables</w:t>
            </w:r>
          </w:p>
          <w:p>
            <w:pPr>
              <w:pStyle w:val="Normal"/>
              <w:spacing w:before="60" w:after="60"/>
              <w:rPr>
                <w:rFonts w:ascii="Arial" w:hAnsi="Arial" w:cs="Arial"/>
                <w:b/>
                <w:sz w:val="20"/>
                <w:szCs w:val="20"/>
              </w:rPr>
            </w:pPr>
            <w:r>
              <w:rPr>
                <w:rFonts w:cs="Arial" w:ascii="Arial" w:hAnsi="Arial"/>
                <w:b/>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Timely, complete and correct distribution</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closing of Sublegder Accounts Payables</w:t>
            </w:r>
          </w:p>
          <w:p>
            <w:pPr>
              <w:pStyle w:val="Normal"/>
              <w:spacing w:before="60" w:after="60"/>
              <w:rPr>
                <w:rFonts w:ascii="Arial" w:hAnsi="Arial" w:cs="Arial"/>
                <w:sz w:val="20"/>
                <w:szCs w:val="20"/>
              </w:rPr>
            </w:pPr>
            <w:r>
              <w:rPr>
                <w:rFonts w:cs="Arial" w:ascii="Arial" w:hAnsi="Arial"/>
                <w:sz w:val="20"/>
                <w:szCs w:val="20"/>
              </w:rPr>
              <w:t>payment run</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Head AP, deputy</w:t>
            </w:r>
          </w:p>
          <w:p>
            <w:pPr>
              <w:pStyle w:val="Normal"/>
              <w:spacing w:before="60" w:after="60"/>
              <w:rPr>
                <w:rFonts w:ascii="Arial" w:hAnsi="Arial" w:cs="Arial"/>
                <w:sz w:val="20"/>
                <w:szCs w:val="20"/>
              </w:rPr>
            </w:pPr>
            <w:r>
              <w:rPr>
                <w:rFonts w:cs="Arial" w:ascii="Arial" w:hAnsi="Arial"/>
                <w:sz w:val="20"/>
                <w:szCs w:val="20"/>
              </w:rPr>
              <w:t>workarea</w:t>
            </w:r>
          </w:p>
          <w:p>
            <w:pPr>
              <w:pStyle w:val="Normal"/>
              <w:spacing w:before="60" w:after="60"/>
              <w:rPr>
                <w:rFonts w:ascii="Arial" w:hAnsi="Arial" w:cs="Arial"/>
                <w:sz w:val="20"/>
                <w:szCs w:val="20"/>
              </w:rPr>
            </w:pPr>
            <w:r>
              <w:rPr>
                <w:rFonts w:cs="Arial" w:ascii="Arial" w:hAnsi="Arial"/>
                <w:sz w:val="20"/>
                <w:szCs w:val="20"/>
              </w:rPr>
              <w:t>SAP availability, SISNet support</w:t>
            </w:r>
          </w:p>
          <w:p>
            <w:pPr>
              <w:pStyle w:val="Normal"/>
              <w:spacing w:before="60" w:after="60"/>
              <w:rPr>
                <w:rFonts w:ascii="Arial" w:hAnsi="Arial" w:cs="Arial"/>
                <w:sz w:val="20"/>
                <w:szCs w:val="20"/>
              </w:rPr>
            </w:pPr>
            <w:r>
              <w:rPr>
                <w:rFonts w:cs="Arial" w:ascii="Arial" w:hAnsi="Arial"/>
                <w:sz w:val="20"/>
                <w:szCs w:val="20"/>
              </w:rPr>
              <w:t>mail</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Bank interface</w:t>
            </w:r>
          </w:p>
        </w:tc>
      </w:tr>
      <w:tr>
        <w:trPr>
          <w:trHeight w:val="938" w:hRule="atLeast"/>
        </w:trPr>
        <w:tc>
          <w:tcPr>
            <w:tcW w:w="1440" w:type="dxa"/>
            <w:tcBorders>
              <w:start w:val="single" w:sz="4" w:space="0" w:color="000000"/>
              <w:bottom w:val="single" w:sz="4" w:space="0" w:color="000000"/>
              <w:end w:val="single" w:sz="4" w:space="0" w:color="000000"/>
            </w:tcBorders>
          </w:tcPr>
          <w:p>
            <w:pPr>
              <w:pStyle w:val="Normal"/>
              <w:snapToGrid w:val="false"/>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Intercompany reconciliation</w:t>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Timely, complete and correct distribution</w:t>
            </w:r>
          </w:p>
        </w:tc>
        <w:tc>
          <w:tcPr>
            <w:tcW w:w="3014"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rPr>
            </w:pPr>
            <w:r>
              <w:rPr>
                <w:rFonts w:cs="Arial" w:ascii="Arial" w:hAnsi="Arial"/>
                <w:sz w:val="20"/>
                <w:szCs w:val="20"/>
              </w:rPr>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Head AP, deputy</w:t>
            </w:r>
          </w:p>
          <w:p>
            <w:pPr>
              <w:pStyle w:val="Normal"/>
              <w:spacing w:before="60" w:after="60"/>
              <w:rPr>
                <w:rFonts w:ascii="Arial" w:hAnsi="Arial" w:cs="Arial"/>
                <w:sz w:val="20"/>
                <w:szCs w:val="20"/>
              </w:rPr>
            </w:pPr>
            <w:r>
              <w:rPr>
                <w:rFonts w:cs="Arial" w:ascii="Arial" w:hAnsi="Arial"/>
                <w:sz w:val="20"/>
                <w:szCs w:val="20"/>
              </w:rPr>
              <w:t>workarea</w:t>
            </w:r>
          </w:p>
          <w:p>
            <w:pPr>
              <w:pStyle w:val="Normal"/>
              <w:spacing w:before="60" w:after="60"/>
              <w:rPr>
                <w:rFonts w:ascii="Arial" w:hAnsi="Arial" w:cs="Arial"/>
                <w:sz w:val="20"/>
                <w:szCs w:val="20"/>
              </w:rPr>
            </w:pPr>
            <w:r>
              <w:rPr>
                <w:rFonts w:cs="Arial" w:ascii="Arial" w:hAnsi="Arial"/>
                <w:sz w:val="20"/>
                <w:szCs w:val="20"/>
              </w:rPr>
              <w:t>Lan, Wan, e-mail, SAP availability, SISNet support</w:t>
            </w:r>
          </w:p>
        </w:tc>
        <w:tc>
          <w:tcPr>
            <w:tcW w:w="201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rPr>
            </w:pPr>
            <w:r>
              <w:rPr>
                <w:rFonts w:cs="Arial" w:ascii="Arial" w:hAnsi="Arial"/>
                <w:sz w:val="20"/>
                <w:szCs w:val="20"/>
              </w:rPr>
            </w:r>
          </w:p>
        </w:tc>
      </w:tr>
      <w:tr>
        <w:trPr>
          <w:trHeight w:val="298" w:hRule="atLeast"/>
          <w:cantSplit w:val="true"/>
        </w:trPr>
        <w:tc>
          <w:tcPr>
            <w:tcW w:w="14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NPMR</w:t>
            </w:r>
          </w:p>
          <w:p>
            <w:pPr>
              <w:pStyle w:val="Normal"/>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sz w:val="20"/>
                <w:szCs w:val="20"/>
              </w:rPr>
            </w:pPr>
            <w:r>
              <w:rPr>
                <w:rFonts w:cs="Arial" w:ascii="Arial" w:hAnsi="Arial"/>
                <w:b/>
                <w:sz w:val="20"/>
                <w:szCs w:val="20"/>
              </w:rPr>
            </w:r>
          </w:p>
          <w:p>
            <w:pPr>
              <w:pStyle w:val="Normal"/>
              <w:spacing w:before="60" w:after="60"/>
              <w:rPr>
                <w:rFonts w:ascii="Arial" w:hAnsi="Arial" w:cs="Arial"/>
                <w:b/>
                <w:sz w:val="20"/>
                <w:szCs w:val="20"/>
              </w:rPr>
            </w:pPr>
            <w:r>
              <w:rPr>
                <w:rFonts w:cs="Arial" w:ascii="Arial" w:hAnsi="Arial"/>
                <w:b/>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val="en-GB"/>
              </w:rPr>
            </w:pPr>
            <w:r>
              <w:rPr>
                <w:rFonts w:cs="Arial" w:ascii="Arial" w:hAnsi="Arial"/>
                <w:sz w:val="20"/>
                <w:szCs w:val="20"/>
              </w:rPr>
              <w:t>allow timely, accurate and complete consolidation and financial reporting process</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sz w:val="20"/>
                <w:szCs w:val="20"/>
                <w:lang w:val="en-GB"/>
              </w:rPr>
              <w:t>Product costing closing</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val="en-GB"/>
              </w:rPr>
            </w:pPr>
            <w:r>
              <w:rPr>
                <w:rFonts w:cs="Arial" w:ascii="Arial" w:hAnsi="Arial"/>
                <w:sz w:val="20"/>
                <w:szCs w:val="20"/>
                <w:lang w:val="en-GB"/>
              </w:rPr>
              <w:t>Head PC department, deputy</w:t>
            </w:r>
          </w:p>
          <w:p>
            <w:pPr>
              <w:pStyle w:val="Normal"/>
              <w:spacing w:before="60" w:after="60"/>
              <w:rPr>
                <w:rFonts w:ascii="Arial" w:hAnsi="Arial" w:cs="Arial"/>
                <w:sz w:val="20"/>
                <w:szCs w:val="20"/>
                <w:lang w:val="en-GB"/>
              </w:rPr>
            </w:pPr>
            <w:r>
              <w:rPr>
                <w:rFonts w:cs="Arial" w:ascii="Arial" w:hAnsi="Arial"/>
                <w:sz w:val="20"/>
                <w:szCs w:val="20"/>
                <w:lang w:val="en-GB"/>
              </w:rPr>
              <w:t>workarea</w:t>
            </w:r>
          </w:p>
          <w:p>
            <w:pPr>
              <w:pStyle w:val="Normal"/>
              <w:spacing w:before="60" w:after="60"/>
              <w:rPr>
                <w:rFonts w:ascii="Arial" w:hAnsi="Arial" w:cs="Arial"/>
                <w:sz w:val="20"/>
                <w:szCs w:val="20"/>
              </w:rPr>
            </w:pPr>
            <w:r>
              <w:rPr>
                <w:rFonts w:cs="Arial" w:ascii="Arial" w:hAnsi="Arial"/>
                <w:sz w:val="20"/>
                <w:szCs w:val="20"/>
              </w:rPr>
              <w:t>Lan, Wan, e-mail, BW P77, SAP availability, SISNet support</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sz w:val="20"/>
                <w:szCs w:val="20"/>
                <w:lang w:val="fr-FR"/>
              </w:rPr>
              <w:t>SCM organisation,</w:t>
            </w:r>
          </w:p>
          <w:p>
            <w:pPr>
              <w:pStyle w:val="Normal"/>
              <w:spacing w:before="60" w:after="60"/>
              <w:rPr>
                <w:rFonts w:ascii="Arial" w:hAnsi="Arial" w:cs="Arial"/>
                <w:sz w:val="20"/>
                <w:szCs w:val="20"/>
                <w:lang w:val="fr-FR"/>
              </w:rPr>
            </w:pPr>
            <w:r>
              <w:rPr>
                <w:rFonts w:cs="Arial" w:ascii="Arial" w:hAnsi="Arial"/>
                <w:sz w:val="20"/>
                <w:szCs w:val="20"/>
                <w:lang w:val="fr-FR"/>
              </w:rPr>
              <w:t>division consolidation group</w:t>
            </w:r>
          </w:p>
          <w:p>
            <w:pPr>
              <w:pStyle w:val="Normal"/>
              <w:spacing w:before="60" w:after="60"/>
              <w:rPr>
                <w:rFonts w:ascii="Arial" w:hAnsi="Arial" w:cs="Arial"/>
                <w:sz w:val="20"/>
                <w:szCs w:val="20"/>
                <w:lang w:val="fr-FR"/>
              </w:rPr>
            </w:pPr>
            <w:r>
              <w:rPr>
                <w:rFonts w:cs="Arial" w:ascii="Arial" w:hAnsi="Arial"/>
                <w:sz w:val="20"/>
                <w:szCs w:val="20"/>
                <w:lang w:val="fr-FR"/>
              </w:rPr>
            </w:r>
          </w:p>
        </w:tc>
      </w:tr>
      <w:tr>
        <w:trPr>
          <w:trHeight w:val="291" w:hRule="atLeast"/>
        </w:trPr>
        <w:tc>
          <w:tcPr>
            <w:tcW w:w="14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Inventory</w:t>
            </w:r>
          </w:p>
        </w:tc>
        <w:tc>
          <w:tcPr>
            <w:tcW w:w="2935"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sz w:val="20"/>
                <w:szCs w:val="20"/>
              </w:rPr>
            </w:pPr>
            <w:r>
              <w:rPr>
                <w:rFonts w:cs="Arial" w:ascii="Arial" w:hAnsi="Arial"/>
                <w:b/>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Timely, complete and correct distribution</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 xml:space="preserve">closing of Subledger </w:t>
            </w:r>
          </w:p>
          <w:p>
            <w:pPr>
              <w:pStyle w:val="Normal"/>
              <w:spacing w:before="60" w:after="60"/>
              <w:rPr>
                <w:rFonts w:ascii="Arial" w:hAnsi="Arial" w:cs="Arial"/>
                <w:sz w:val="20"/>
                <w:szCs w:val="20"/>
                <w:lang w:val="en-GB"/>
              </w:rPr>
            </w:pPr>
            <w:r>
              <w:rPr>
                <w:rFonts w:cs="Arial" w:ascii="Arial" w:hAnsi="Arial"/>
                <w:sz w:val="20"/>
                <w:szCs w:val="20"/>
              </w:rPr>
              <w:t>payment run</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val="en-GB"/>
              </w:rPr>
            </w:pPr>
            <w:r>
              <w:rPr>
                <w:rFonts w:cs="Arial" w:ascii="Arial" w:hAnsi="Arial"/>
                <w:sz w:val="20"/>
                <w:szCs w:val="20"/>
                <w:lang w:val="en-GB"/>
              </w:rPr>
              <w:t>Head PC department, deputy</w:t>
            </w:r>
          </w:p>
          <w:p>
            <w:pPr>
              <w:pStyle w:val="Normal"/>
              <w:spacing w:before="60" w:after="60"/>
              <w:rPr>
                <w:rFonts w:ascii="Arial" w:hAnsi="Arial" w:cs="Arial"/>
                <w:sz w:val="20"/>
                <w:szCs w:val="20"/>
              </w:rPr>
            </w:pPr>
            <w:r>
              <w:rPr>
                <w:rFonts w:cs="Arial" w:ascii="Arial" w:hAnsi="Arial"/>
                <w:sz w:val="20"/>
                <w:szCs w:val="20"/>
              </w:rPr>
              <w:t>SAP availability, SISNet support</w:t>
            </w:r>
          </w:p>
          <w:p>
            <w:pPr>
              <w:pStyle w:val="Normal"/>
              <w:spacing w:before="60" w:after="60"/>
              <w:rPr>
                <w:rFonts w:ascii="Arial" w:hAnsi="Arial" w:cs="Arial"/>
                <w:sz w:val="20"/>
                <w:szCs w:val="20"/>
                <w:lang w:val="en-GB"/>
              </w:rPr>
            </w:pPr>
            <w:r>
              <w:rPr>
                <w:rFonts w:cs="Arial" w:ascii="Arial" w:hAnsi="Arial"/>
                <w:sz w:val="20"/>
                <w:szCs w:val="20"/>
                <w:lang w:val="en-GB"/>
              </w:rPr>
              <w:t>workarea</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lang w:val="en-GB"/>
              </w:rPr>
            </w:pPr>
            <w:r>
              <w:rPr>
                <w:rFonts w:cs="Arial" w:ascii="Arial" w:hAnsi="Arial"/>
                <w:sz w:val="20"/>
                <w:szCs w:val="20"/>
                <w:lang w:val="en-GB"/>
              </w:rPr>
              <w:t>Production, SCM,</w:t>
            </w:r>
          </w:p>
          <w:p>
            <w:pPr>
              <w:pStyle w:val="Normal"/>
              <w:spacing w:before="60" w:after="60"/>
              <w:rPr/>
            </w:pPr>
            <w:r>
              <w:rPr>
                <w:rFonts w:cs="Arial" w:ascii="Arial" w:hAnsi="Arial"/>
                <w:sz w:val="20"/>
                <w:szCs w:val="20"/>
                <w:lang w:val="en-GB"/>
              </w:rPr>
              <w:t xml:space="preserve">global finance TechOps, </w:t>
            </w:r>
          </w:p>
        </w:tc>
      </w:tr>
      <w:tr>
        <w:trPr>
          <w:trHeight w:val="291" w:hRule="atLeast"/>
        </w:trPr>
        <w:tc>
          <w:tcPr>
            <w:tcW w:w="14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Closing of books</w:t>
            </w:r>
          </w:p>
          <w:p>
            <w:pPr>
              <w:pStyle w:val="Normal"/>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rPr>
            </w:pPr>
            <w:r>
              <w:rPr>
                <w:rFonts w:cs="Arial" w:ascii="Arial" w:hAnsi="Arial"/>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allow timely, accurate and complete consolidation and financial reporting process</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sz w:val="20"/>
                <w:szCs w:val="20"/>
              </w:rPr>
              <w:t>closing of asset accounting and other  Sub ledger</w:t>
            </w:r>
          </w:p>
          <w:p>
            <w:pPr>
              <w:pStyle w:val="Normal"/>
              <w:spacing w:before="60" w:after="60"/>
              <w:rPr>
                <w:rFonts w:ascii="Arial" w:hAnsi="Arial" w:cs="Arial"/>
                <w:sz w:val="20"/>
                <w:szCs w:val="20"/>
              </w:rPr>
            </w:pPr>
            <w:r>
              <w:rPr>
                <w:rFonts w:cs="Arial" w:ascii="Arial" w:hAnsi="Arial"/>
                <w:sz w:val="20"/>
                <w:szCs w:val="20"/>
              </w:rPr>
              <w:t>general Ledger analysis, project settlement, assessment of internal order and cost center</w:t>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System administrators, all involved departments Heads, deputies</w:t>
            </w:r>
          </w:p>
          <w:p>
            <w:pPr>
              <w:pStyle w:val="Normal"/>
              <w:spacing w:before="60" w:after="60"/>
              <w:rPr>
                <w:rFonts w:ascii="Arial" w:hAnsi="Arial" w:cs="Arial"/>
                <w:sz w:val="20"/>
                <w:szCs w:val="20"/>
              </w:rPr>
            </w:pPr>
            <w:r>
              <w:rPr>
                <w:rFonts w:cs="Arial" w:ascii="Arial" w:hAnsi="Arial"/>
                <w:sz w:val="20"/>
                <w:szCs w:val="20"/>
              </w:rPr>
              <w:t>SAP availability, SISNet support</w:t>
            </w:r>
          </w:p>
          <w:p>
            <w:pPr>
              <w:pStyle w:val="Normal"/>
              <w:spacing w:before="60" w:after="60"/>
              <w:rPr>
                <w:rFonts w:ascii="Arial" w:hAnsi="Arial" w:cs="Arial"/>
                <w:sz w:val="20"/>
                <w:szCs w:val="20"/>
              </w:rPr>
            </w:pPr>
            <w:r>
              <w:rPr>
                <w:rFonts w:cs="Arial" w:ascii="Arial" w:hAnsi="Arial"/>
                <w:sz w:val="20"/>
                <w:szCs w:val="20"/>
              </w:rPr>
              <w:t>g-drive remote available, Lan, Wan, e-mail</w:t>
            </w:r>
          </w:p>
        </w:tc>
        <w:tc>
          <w:tcPr>
            <w:tcW w:w="201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rPr>
            </w:pPr>
            <w:r>
              <w:rPr>
                <w:rFonts w:cs="Arial" w:ascii="Arial" w:hAnsi="Arial"/>
                <w:sz w:val="20"/>
                <w:szCs w:val="20"/>
              </w:rPr>
            </w:r>
          </w:p>
        </w:tc>
      </w:tr>
      <w:tr>
        <w:trPr>
          <w:trHeight w:val="938" w:hRule="atLeast"/>
        </w:trPr>
        <w:tc>
          <w:tcPr>
            <w:tcW w:w="144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sz w:val="20"/>
                <w:szCs w:val="20"/>
              </w:rPr>
            </w:pPr>
            <w:r>
              <w:rPr>
                <w:rFonts w:cs="Arial" w:ascii="Arial" w:hAnsi="Arial"/>
                <w:b/>
                <w:sz w:val="20"/>
                <w:szCs w:val="20"/>
              </w:rPr>
              <w:t>FRS Reporting</w:t>
            </w:r>
          </w:p>
          <w:p>
            <w:pPr>
              <w:pStyle w:val="Normal"/>
              <w:spacing w:before="60" w:after="60"/>
              <w:rPr>
                <w:rFonts w:ascii="Arial" w:hAnsi="Arial" w:cs="Arial"/>
                <w:b/>
                <w:sz w:val="20"/>
                <w:szCs w:val="20"/>
              </w:rPr>
            </w:pPr>
            <w:r>
              <w:rPr>
                <w:rFonts w:cs="Arial" w:ascii="Arial" w:hAnsi="Arial"/>
                <w:b/>
                <w:sz w:val="20"/>
                <w:szCs w:val="20"/>
              </w:rPr>
            </w:r>
          </w:p>
        </w:tc>
        <w:tc>
          <w:tcPr>
            <w:tcW w:w="2935"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sz w:val="20"/>
                <w:szCs w:val="20"/>
              </w:rPr>
            </w:pPr>
            <w:r>
              <w:rPr>
                <w:rFonts w:cs="Arial" w:ascii="Arial" w:hAnsi="Arial"/>
                <w:sz w:val="20"/>
                <w:szCs w:val="20"/>
              </w:rPr>
            </w:r>
          </w:p>
        </w:tc>
        <w:tc>
          <w:tcPr>
            <w:tcW w:w="282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allow timely, accurate and complete consolidation and financial reporting process</w:t>
            </w:r>
          </w:p>
        </w:tc>
        <w:tc>
          <w:tcPr>
            <w:tcW w:w="301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sz w:val="20"/>
                <w:szCs w:val="20"/>
              </w:rPr>
            </w:pPr>
            <w:r>
              <w:rPr>
                <w:rFonts w:cs="Arial" w:ascii="Arial" w:hAnsi="Arial"/>
                <w:sz w:val="20"/>
                <w:szCs w:val="20"/>
              </w:rPr>
              <w:t>BW Prefill, SAP-Analysis</w:t>
            </w:r>
          </w:p>
          <w:p>
            <w:pPr>
              <w:pStyle w:val="Normal"/>
              <w:spacing w:before="60" w:after="60"/>
              <w:rPr>
                <w:rFonts w:ascii="Arial" w:hAnsi="Arial" w:cs="Arial"/>
                <w:sz w:val="20"/>
                <w:szCs w:val="20"/>
              </w:rPr>
            </w:pPr>
            <w:r>
              <w:rPr>
                <w:rFonts w:cs="Arial" w:ascii="Arial" w:hAnsi="Arial"/>
                <w:sz w:val="20"/>
                <w:szCs w:val="20"/>
              </w:rPr>
            </w:r>
          </w:p>
        </w:tc>
        <w:tc>
          <w:tcPr>
            <w:tcW w:w="251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sz w:val="20"/>
                <w:szCs w:val="20"/>
              </w:rPr>
              <w:t xml:space="preserve">System administrators, all involved departments heads, deputies </w:t>
            </w:r>
          </w:p>
          <w:p>
            <w:pPr>
              <w:pStyle w:val="Normal"/>
              <w:spacing w:before="60" w:after="60"/>
              <w:rPr>
                <w:rFonts w:ascii="Arial" w:hAnsi="Arial" w:cs="Arial"/>
                <w:sz w:val="20"/>
                <w:szCs w:val="20"/>
              </w:rPr>
            </w:pPr>
            <w:r>
              <w:rPr>
                <w:rFonts w:cs="Arial" w:ascii="Arial" w:hAnsi="Arial"/>
                <w:sz w:val="20"/>
                <w:szCs w:val="20"/>
              </w:rPr>
              <w:t>Lan, Wan, e-mail, SAP availability, SISNet support, BW P77</w:t>
            </w:r>
          </w:p>
        </w:tc>
        <w:tc>
          <w:tcPr>
            <w:tcW w:w="20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Arial" w:cs="Arial"/>
                <w:sz w:val="20"/>
                <w:szCs w:val="20"/>
              </w:rPr>
            </w:pPr>
            <w:r>
              <w:rPr>
                <w:rFonts w:eastAsia="Arial" w:cs="Arial" w:ascii="Arial" w:hAnsi="Arial"/>
                <w:sz w:val="20"/>
                <w:szCs w:val="20"/>
              </w:rPr>
              <w:t xml:space="preserve"> </w:t>
            </w:r>
          </w:p>
          <w:p>
            <w:pPr>
              <w:pStyle w:val="Normal"/>
              <w:spacing w:before="60" w:after="60"/>
              <w:rPr>
                <w:rFonts w:ascii="Arial" w:hAnsi="Arial" w:cs="Arial"/>
                <w:sz w:val="20"/>
                <w:szCs w:val="20"/>
              </w:rPr>
            </w:pPr>
            <w:r>
              <w:rPr>
                <w:rFonts w:cs="Arial" w:ascii="Arial" w:hAnsi="Arial"/>
                <w:sz w:val="20"/>
                <w:szCs w:val="20"/>
              </w:rPr>
            </w:r>
          </w:p>
        </w:tc>
      </w:tr>
    </w:tbl>
    <w:p>
      <w:pPr>
        <w:pStyle w:val="Normal"/>
        <w:rPr>
          <w:sz w:val="20"/>
          <w:szCs w:val="20"/>
          <w:lang w:val="en-GB"/>
        </w:rPr>
      </w:pPr>
      <w:r>
        <w:rPr>
          <w:sz w:val="20"/>
          <w:szCs w:val="20"/>
          <w:lang w:val="en-GB"/>
        </w:rPr>
      </w:r>
    </w:p>
    <w:p>
      <w:pPr>
        <w:pStyle w:val="Heading2Numbered"/>
        <w:numPr>
          <w:ilvl w:val="1"/>
          <w:numId w:val="12"/>
        </w:numPr>
        <w:ind w:hanging="0" w:start="0"/>
        <w:rPr>
          <w:lang w:val="en-GB"/>
        </w:rPr>
      </w:pPr>
      <w:bookmarkStart w:id="8" w:name="__RefHeading___Toc157842746"/>
      <w:bookmarkEnd w:id="8"/>
      <w:r>
        <w:rPr>
          <w:lang w:val="en-GB"/>
        </w:rPr>
        <w:t>Time Dependent Business Impact</w:t>
      </w:r>
    </w:p>
    <w:p>
      <w:pPr>
        <w:pStyle w:val="TableText"/>
        <w:ind w:start="720" w:end="0"/>
        <w:rPr>
          <w:lang w:val="en-GB"/>
        </w:rPr>
      </w:pPr>
      <w:r>
        <w:rPr>
          <w:lang w:val="en-GB"/>
        </w:rPr>
        <w:t xml:space="preserve">The following tables rates the importance of the main incidents that can influence the listed business processes and indicates the severity of these incidents related to elapsed time. </w:t>
      </w:r>
    </w:p>
    <w:tbl>
      <w:tblPr>
        <w:tblW w:w="13980" w:type="dxa"/>
        <w:jc w:val="start"/>
        <w:tblInd w:w="392" w:type="dxa"/>
        <w:tblLayout w:type="fixed"/>
        <w:tblCellMar>
          <w:top w:w="0" w:type="dxa"/>
          <w:start w:w="108" w:type="dxa"/>
          <w:bottom w:w="0" w:type="dxa"/>
          <w:end w:w="108" w:type="dxa"/>
        </w:tblCellMar>
      </w:tblPr>
      <w:tblGrid>
        <w:gridCol w:w="3369"/>
        <w:gridCol w:w="1734"/>
        <w:gridCol w:w="993"/>
        <w:gridCol w:w="992"/>
        <w:gridCol w:w="992"/>
        <w:gridCol w:w="1180"/>
        <w:gridCol w:w="1180"/>
        <w:gridCol w:w="1180"/>
        <w:gridCol w:w="1180"/>
        <w:gridCol w:w="1180"/>
      </w:tblGrid>
      <w:tr>
        <w:trPr>
          <w:tblHeader w:val="true"/>
        </w:trPr>
        <w:tc>
          <w:tcPr>
            <w:tcW w:w="336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OPERATIONAL  IMPACT</w:t>
            </w:r>
          </w:p>
          <w:p>
            <w:pPr>
              <w:pStyle w:val="Normal"/>
              <w:spacing w:before="120" w:after="120"/>
              <w:jc w:val="center"/>
              <w:rPr>
                <w:rFonts w:ascii="Arial" w:hAnsi="Arial" w:cs="Arial"/>
                <w:sz w:val="16"/>
                <w:szCs w:val="16"/>
              </w:rPr>
            </w:pPr>
            <w:r>
              <w:rPr>
                <w:rFonts w:cs="Arial" w:ascii="Arial" w:hAnsi="Arial"/>
                <w:sz w:val="16"/>
                <w:szCs w:val="16"/>
              </w:rPr>
              <w:t>(1 Marginal / 4 catastrophic)</w:t>
            </w:r>
          </w:p>
        </w:tc>
        <w:tc>
          <w:tcPr>
            <w:tcW w:w="1734"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RELATIVE</w:t>
            </w:r>
          </w:p>
          <w:p>
            <w:pPr>
              <w:pStyle w:val="Normal"/>
              <w:jc w:val="center"/>
              <w:rPr>
                <w:rFonts w:ascii="Arial" w:hAnsi="Arial" w:cs="Arial"/>
                <w:b/>
              </w:rPr>
            </w:pPr>
            <w:r>
              <w:rPr>
                <w:rFonts w:cs="Arial" w:ascii="Arial" w:hAnsi="Arial"/>
                <w:b/>
              </w:rPr>
              <w:t>IMPORTANCE</w:t>
            </w:r>
          </w:p>
          <w:p>
            <w:pPr>
              <w:pStyle w:val="Normal"/>
              <w:spacing w:before="120" w:after="120"/>
              <w:jc w:val="center"/>
              <w:rPr>
                <w:rFonts w:ascii="Arial" w:hAnsi="Arial" w:cs="Arial"/>
                <w:sz w:val="16"/>
                <w:szCs w:val="16"/>
              </w:rPr>
            </w:pPr>
            <w:r>
              <w:rPr>
                <w:rFonts w:cs="Arial" w:ascii="Arial" w:hAnsi="Arial"/>
                <w:sz w:val="16"/>
                <w:szCs w:val="16"/>
              </w:rPr>
              <w:t>(0 – 10 high)</w:t>
            </w:r>
          </w:p>
        </w:tc>
        <w:tc>
          <w:tcPr>
            <w:tcW w:w="993"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&lt; 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2</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WEEK</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2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MONTH</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MONTH</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Cs w:val="22"/>
              </w:rPr>
            </w:pPr>
            <w:r>
              <w:rPr>
                <w:rFonts w:cs="Arial" w:ascii="Arial" w:hAnsi="Arial"/>
              </w:rPr>
              <w:t xml:space="preserve">Accounts Receivables / </w:t>
            </w:r>
            <w:r>
              <w:rPr>
                <w:rFonts w:cs="Arial" w:ascii="Arial" w:hAnsi="Arial"/>
                <w:bCs/>
              </w:rPr>
              <w:t>Credit Management</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18"/>
                <w:szCs w:val="18"/>
              </w:rPr>
              <w:t>Business interruption / Loss of sales</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5</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18"/>
                <w:szCs w:val="18"/>
              </w:rPr>
            </w:pPr>
            <w:r>
              <w:rPr>
                <w:rFonts w:cs="Arial" w:ascii="Arial" w:hAnsi="Arial"/>
                <w:sz w:val="18"/>
                <w:szCs w:val="18"/>
              </w:rPr>
              <w:t>Bad publicity / loss of reputation</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 xml:space="preserve">1 </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Cs w:val="22"/>
              </w:rPr>
            </w:pPr>
            <w:r>
              <w:rPr>
                <w:rFonts w:cs="Arial" w:ascii="Arial" w:hAnsi="Arial"/>
                <w:szCs w:val="22"/>
              </w:rPr>
              <w:t>Accounts Payables</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pPr>
            <w:r>
              <w:rPr>
                <w:rFonts w:cs="Arial" w:ascii="Arial" w:hAnsi="Arial"/>
                <w:sz w:val="18"/>
                <w:szCs w:val="18"/>
              </w:rPr>
              <w:t>Business interruption / loss of operating income</w:t>
            </w:r>
          </w:p>
        </w:tc>
        <w:tc>
          <w:tcPr>
            <w:tcW w:w="173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Production delay (delivery stop caused by delayed payment of invoices)</w:t>
            </w:r>
          </w:p>
        </w:tc>
        <w:tc>
          <w:tcPr>
            <w:tcW w:w="173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Bad publicity / loss of reputation</w:t>
            </w:r>
          </w:p>
        </w:tc>
        <w:tc>
          <w:tcPr>
            <w:tcW w:w="173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 xml:space="preserve">1 </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r>
    </w:tbl>
    <w:p>
      <w:pPr>
        <w:pStyle w:val="Normal"/>
        <w:rPr/>
      </w:pPr>
      <w:r>
        <w:rPr/>
      </w:r>
      <w:r>
        <w:br w:type="page"/>
      </w:r>
    </w:p>
    <w:p>
      <w:pPr>
        <w:pStyle w:val="Normal"/>
        <w:rPr/>
      </w:pPr>
      <w:r>
        <w:rPr/>
      </w:r>
    </w:p>
    <w:tbl>
      <w:tblPr>
        <w:tblW w:w="13980" w:type="dxa"/>
        <w:jc w:val="start"/>
        <w:tblInd w:w="392" w:type="dxa"/>
        <w:tblLayout w:type="fixed"/>
        <w:tblCellMar>
          <w:top w:w="0" w:type="dxa"/>
          <w:start w:w="108" w:type="dxa"/>
          <w:bottom w:w="0" w:type="dxa"/>
          <w:end w:w="108" w:type="dxa"/>
        </w:tblCellMar>
      </w:tblPr>
      <w:tblGrid>
        <w:gridCol w:w="3369"/>
        <w:gridCol w:w="1734"/>
        <w:gridCol w:w="993"/>
        <w:gridCol w:w="992"/>
        <w:gridCol w:w="992"/>
        <w:gridCol w:w="1180"/>
        <w:gridCol w:w="1180"/>
        <w:gridCol w:w="1180"/>
        <w:gridCol w:w="1180"/>
        <w:gridCol w:w="1180"/>
      </w:tblGrid>
      <w:tr>
        <w:trPr>
          <w:tblHeader w:val="true"/>
        </w:trPr>
        <w:tc>
          <w:tcPr>
            <w:tcW w:w="336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OPERATIONAL  IMPACT</w:t>
            </w:r>
          </w:p>
          <w:p>
            <w:pPr>
              <w:pStyle w:val="Normal"/>
              <w:spacing w:before="120" w:after="120"/>
              <w:jc w:val="center"/>
              <w:rPr>
                <w:rFonts w:ascii="Arial" w:hAnsi="Arial" w:cs="Arial"/>
                <w:sz w:val="16"/>
                <w:szCs w:val="16"/>
              </w:rPr>
            </w:pPr>
            <w:r>
              <w:rPr>
                <w:rFonts w:cs="Arial" w:ascii="Arial" w:hAnsi="Arial"/>
                <w:sz w:val="16"/>
                <w:szCs w:val="16"/>
              </w:rPr>
              <w:t>(1 Marginal / 4 catastrophic)</w:t>
            </w:r>
          </w:p>
        </w:tc>
        <w:tc>
          <w:tcPr>
            <w:tcW w:w="1734"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RELATIVE</w:t>
            </w:r>
          </w:p>
          <w:p>
            <w:pPr>
              <w:pStyle w:val="Normal"/>
              <w:jc w:val="center"/>
              <w:rPr>
                <w:rFonts w:ascii="Arial" w:hAnsi="Arial" w:cs="Arial"/>
                <w:b/>
              </w:rPr>
            </w:pPr>
            <w:r>
              <w:rPr>
                <w:rFonts w:cs="Arial" w:ascii="Arial" w:hAnsi="Arial"/>
                <w:b/>
              </w:rPr>
              <w:t>IMPORTANCE</w:t>
            </w:r>
          </w:p>
          <w:p>
            <w:pPr>
              <w:pStyle w:val="Normal"/>
              <w:spacing w:before="120" w:after="120"/>
              <w:jc w:val="center"/>
              <w:rPr>
                <w:rFonts w:ascii="Arial" w:hAnsi="Arial" w:cs="Arial"/>
                <w:sz w:val="16"/>
                <w:szCs w:val="16"/>
              </w:rPr>
            </w:pPr>
            <w:r>
              <w:rPr>
                <w:rFonts w:cs="Arial" w:ascii="Arial" w:hAnsi="Arial"/>
                <w:sz w:val="16"/>
                <w:szCs w:val="16"/>
              </w:rPr>
              <w:t>(0 – 10 high)</w:t>
            </w:r>
          </w:p>
        </w:tc>
        <w:tc>
          <w:tcPr>
            <w:tcW w:w="993"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&lt; 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2</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WEEK</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2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MONTH</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MONTH</w:t>
            </w:r>
          </w:p>
        </w:tc>
      </w:tr>
      <w:tr>
        <w:trPr>
          <w:trHeight w:val="424"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Cs/>
                <w:szCs w:val="22"/>
              </w:rPr>
            </w:pPr>
            <w:r>
              <w:rPr>
                <w:rFonts w:cs="Arial" w:ascii="Arial" w:hAnsi="Arial"/>
                <w:bCs/>
                <w:szCs w:val="22"/>
              </w:rPr>
              <w:t>NPMR</w:t>
            </w:r>
          </w:p>
        </w:tc>
      </w:tr>
      <w:tr>
        <w:trPr>
          <w:trHeight w:val="424"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Loss of information / data</w:t>
            </w:r>
            <w:r>
              <w:rPr>
                <w:rStyle w:val="FootnoteCharacters"/>
                <w:rStyle w:val="FootnoteReference"/>
                <w:rFonts w:cs="Arial" w:ascii="Arial" w:hAnsi="Arial"/>
                <w:sz w:val="18"/>
                <w:szCs w:val="18"/>
              </w:rPr>
              <w:footnoteReference w:id="2"/>
            </w:r>
          </w:p>
        </w:tc>
        <w:tc>
          <w:tcPr>
            <w:tcW w:w="173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r>
      <w:tr>
        <w:trPr>
          <w:cantSplit w:val="true"/>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pPr>
            <w:r>
              <w:rPr>
                <w:rFonts w:cs="Arial" w:ascii="Arial" w:hAnsi="Arial"/>
                <w:sz w:val="18"/>
                <w:szCs w:val="18"/>
              </w:rPr>
              <w:t>Bad publicity / loss of reputation and share price</w:t>
            </w:r>
          </w:p>
        </w:tc>
        <w:tc>
          <w:tcPr>
            <w:tcW w:w="173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7</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sz w:val="18"/>
                <w:szCs w:val="18"/>
              </w:rPr>
              <w:t>3</w:t>
            </w:r>
          </w:p>
        </w:tc>
      </w:tr>
      <w:tr>
        <w:trPr>
          <w:trHeight w:val="424"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4"/>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rPr>
            </w:pPr>
            <w:r>
              <w:rPr>
                <w:rFonts w:cs="Arial" w:ascii="Arial" w:hAnsi="Arial"/>
              </w:rPr>
              <w:t>Inventory / timely closing of sub ledger at end of month</w:t>
            </w:r>
          </w:p>
        </w:tc>
      </w:tr>
      <w:tr>
        <w:trPr>
          <w:trHeight w:val="424"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18"/>
                <w:szCs w:val="18"/>
              </w:rPr>
            </w:pPr>
            <w:r>
              <w:rPr>
                <w:rFonts w:cs="Arial" w:ascii="Arial" w:hAnsi="Arial"/>
                <w:sz w:val="18"/>
                <w:szCs w:val="18"/>
              </w:rPr>
              <w:t>Loss of information / data</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8</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18"/>
                <w:szCs w:val="18"/>
              </w:rPr>
              <w:t>Bad publicity / loss of reputation and share price</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7</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 w:val="18"/>
                <w:szCs w:val="18"/>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tabs>
                <w:tab w:val="clear" w:pos="720"/>
                <w:tab w:val="left" w:pos="3402" w:leader="none"/>
              </w:tabs>
              <w:spacing w:before="120" w:after="120"/>
              <w:rPr>
                <w:rFonts w:ascii="Arial" w:hAnsi="Arial" w:cs="Arial"/>
                <w:szCs w:val="22"/>
              </w:rPr>
            </w:pPr>
            <w:r>
              <w:rPr>
                <w:rFonts w:cs="Arial" w:ascii="Arial" w:hAnsi="Arial"/>
              </w:rPr>
              <w:t>Closing of books &amp; FRS Reporting</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18"/>
                <w:szCs w:val="18"/>
              </w:rPr>
              <w:t>Bad publicity / loss of reputation and share price</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7</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4</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4</w:t>
            </w:r>
          </w:p>
        </w:tc>
      </w:tr>
    </w:tbl>
    <w:p>
      <w:pPr>
        <w:pStyle w:val="Normal"/>
        <w:ind w:start="50" w:end="0"/>
        <w:rPr>
          <w:rFonts w:ascii="Arial" w:hAnsi="Arial" w:cs="Arial"/>
          <w:b/>
          <w:sz w:val="24"/>
        </w:rPr>
      </w:pPr>
      <w:r>
        <w:rPr>
          <w:rFonts w:cs="Arial" w:ascii="Arial" w:hAnsi="Arial"/>
          <w:b/>
          <w:sz w:val="24"/>
        </w:rPr>
      </w:r>
      <w:r>
        <w:br w:type="page"/>
      </w:r>
    </w:p>
    <w:p>
      <w:pPr>
        <w:pStyle w:val="Heading2Numbered"/>
        <w:numPr>
          <w:ilvl w:val="1"/>
          <w:numId w:val="12"/>
        </w:numPr>
        <w:ind w:hanging="0" w:start="0"/>
        <w:rPr/>
      </w:pPr>
      <w:bookmarkStart w:id="9" w:name="__RefHeading___Toc157842747"/>
      <w:bookmarkEnd w:id="9"/>
      <w:r>
        <w:rPr/>
        <w:t>Business Recovery</w:t>
      </w:r>
    </w:p>
    <w:p>
      <w:pPr>
        <w:pStyle w:val="TableText"/>
        <w:rPr/>
      </w:pPr>
      <w:r>
        <w:rPr/>
        <w:t>The following table list per sub-process resumes the business impact (highest possible impact on business process from a time-dependent view), and indicates after which time the backlog to be processed has become insurmountable. In addition, Max. Tolerable Downtime (MTD), Recovery Time Objective (RTO) and Recovery Point Objective (RPO) are stated.</w:t>
      </w:r>
    </w:p>
    <w:p>
      <w:pPr>
        <w:pStyle w:val="OmniPage7"/>
        <w:rPr>
          <w:sz w:val="2"/>
        </w:rPr>
      </w:pPr>
      <w:r>
        <w:rPr>
          <w:sz w:val="2"/>
        </w:rPr>
      </w:r>
      <w:r>
        <mc:AlternateContent>
          <mc:Choice Requires="wps">
            <w:drawing>
              <wp:anchor behindDoc="0" distT="127635" distB="127635" distL="127635" distR="127635" simplePos="0" locked="0" layoutInCell="0" allowOverlap="1" relativeHeight="2">
                <wp:simplePos x="0" y="0"/>
                <wp:positionH relativeFrom="page">
                  <wp:posOffset>9738360</wp:posOffset>
                </wp:positionH>
                <wp:positionV relativeFrom="page">
                  <wp:posOffset>1322705</wp:posOffset>
                </wp:positionV>
                <wp:extent cx="207010" cy="127635"/>
                <wp:effectExtent l="0" t="0" r="0" b="0"/>
                <wp:wrapSquare wrapText="bothSides"/>
                <wp:docPr id="6" name="Frame1"/>
                <a:graphic xmlns:a="http://schemas.openxmlformats.org/drawingml/2006/main">
                  <a:graphicData uri="http://schemas.microsoft.com/office/word/2010/wordprocessingShape">
                    <wps:wsp>
                      <wps:cNvSpPr txBox="1"/>
                      <wps:spPr>
                        <a:xfrm>
                          <a:off x="0" y="0"/>
                          <a:ext cx="207010" cy="127635"/>
                        </a:xfrm>
                        <a:prstGeom prst="rect"/>
                        <a:solidFill>
                          <a:srgbClr val="FFFFFF">
                            <a:alpha val="0"/>
                          </a:srgbClr>
                        </a:solidFill>
                      </wps:spPr>
                      <wps:txbx>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wps:txbx>
                      <wps:bodyPr anchor="t" lIns="0" tIns="0" rIns="0" bIns="0">
                        <a:noAutofit/>
                      </wps:bodyPr>
                    </wps:wsp>
                  </a:graphicData>
                </a:graphic>
              </wp:anchor>
            </w:drawing>
          </mc:Choice>
          <mc:Fallback>
            <w:pict>
              <v:rect fillcolor="#FFFFFF" style="position:absolute;rotation:-0;width:16.3pt;height:10.05pt;mso-wrap-distance-left:10.05pt;mso-wrap-distance-right:10.05pt;mso-wrap-distance-top:10.05pt;mso-wrap-distance-bottom:10.05pt;margin-top:104.15pt;mso-position-vertical-relative:page;margin-left:766.8pt;mso-position-horizontal-relative:page">
                <v:fill opacity="0f"/>
                <v:textbox inset="0in,0in,0in,0in">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v:textbox>
                <w10:wrap type="square"/>
              </v:rect>
            </w:pict>
          </mc:Fallback>
        </mc:AlternateContent>
      </w:r>
    </w:p>
    <w:tbl>
      <w:tblPr>
        <w:tblW w:w="14400" w:type="dxa"/>
        <w:jc w:val="start"/>
        <w:tblInd w:w="5" w:type="dxa"/>
        <w:tblLayout w:type="fixed"/>
        <w:tblCellMar>
          <w:top w:w="0" w:type="dxa"/>
          <w:start w:w="5" w:type="dxa"/>
          <w:bottom w:w="0" w:type="dxa"/>
          <w:end w:w="5" w:type="dxa"/>
        </w:tblCellMar>
      </w:tblPr>
      <w:tblGrid>
        <w:gridCol w:w="1199"/>
        <w:gridCol w:w="1321"/>
        <w:gridCol w:w="900"/>
        <w:gridCol w:w="900"/>
        <w:gridCol w:w="900"/>
        <w:gridCol w:w="900"/>
        <w:gridCol w:w="900"/>
        <w:gridCol w:w="1620"/>
        <w:gridCol w:w="3420"/>
        <w:gridCol w:w="2340"/>
      </w:tblGrid>
      <w:tr>
        <w:trPr>
          <w:tblHeader w:val="true"/>
        </w:trPr>
        <w:tc>
          <w:tcPr>
            <w:tcW w:w="119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Business</w:t>
            </w:r>
          </w:p>
          <w:p>
            <w:pPr>
              <w:pStyle w:val="Normal"/>
              <w:spacing w:before="120" w:after="120"/>
              <w:jc w:val="center"/>
              <w:rPr>
                <w:rFonts w:ascii="Arial" w:hAnsi="Arial" w:cs="Arial"/>
                <w:b/>
                <w:sz w:val="20"/>
                <w:szCs w:val="20"/>
              </w:rPr>
            </w:pPr>
            <w:r>
              <w:rPr>
                <w:rFonts w:cs="Arial" w:ascii="Arial" w:hAnsi="Arial"/>
                <w:b/>
                <w:sz w:val="20"/>
                <w:szCs w:val="20"/>
              </w:rPr>
              <w:t>Process</w:t>
            </w:r>
          </w:p>
        </w:tc>
        <w:tc>
          <w:tcPr>
            <w:tcW w:w="1321"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Sub-process</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Time of</w:t>
            </w:r>
          </w:p>
          <w:p>
            <w:pPr>
              <w:pStyle w:val="Normal"/>
              <w:spacing w:before="120" w:after="120"/>
              <w:jc w:val="center"/>
              <w:rPr>
                <w:rFonts w:ascii="Arial" w:hAnsi="Arial" w:cs="Arial"/>
                <w:b/>
                <w:sz w:val="20"/>
                <w:szCs w:val="20"/>
              </w:rPr>
            </w:pPr>
            <w:r>
              <w:rPr>
                <w:rFonts w:cs="Arial" w:ascii="Arial" w:hAnsi="Arial"/>
                <w:b/>
                <w:sz w:val="20"/>
                <w:szCs w:val="20"/>
              </w:rPr>
              <w:t>Impact</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day</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week</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month</w:t>
            </w:r>
          </w:p>
        </w:tc>
        <w:tc>
          <w:tcPr>
            <w:tcW w:w="90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3</w:t>
            </w:r>
          </w:p>
          <w:p>
            <w:pPr>
              <w:pStyle w:val="Normal"/>
              <w:spacing w:before="120" w:after="120"/>
              <w:jc w:val="center"/>
              <w:rPr>
                <w:rFonts w:ascii="Arial" w:hAnsi="Arial" w:cs="Arial"/>
                <w:b/>
                <w:sz w:val="20"/>
                <w:szCs w:val="20"/>
              </w:rPr>
            </w:pPr>
            <w:r>
              <w:rPr>
                <w:rFonts w:cs="Arial" w:ascii="Arial" w:hAnsi="Arial"/>
                <w:b/>
                <w:sz w:val="20"/>
                <w:szCs w:val="20"/>
              </w:rPr>
              <w:t>months and over</w:t>
            </w:r>
          </w:p>
        </w:tc>
        <w:tc>
          <w:tcPr>
            <w:tcW w:w="162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Backlog</w:t>
            </w:r>
          </w:p>
          <w:p>
            <w:pPr>
              <w:pStyle w:val="Normal"/>
              <w:spacing w:before="120" w:after="120"/>
              <w:jc w:val="center"/>
              <w:rPr>
                <w:rFonts w:ascii="Arial" w:hAnsi="Arial" w:cs="Arial"/>
                <w:b/>
                <w:sz w:val="20"/>
                <w:szCs w:val="20"/>
              </w:rPr>
            </w:pPr>
            <w:r>
              <w:rPr>
                <w:rFonts w:cs="Arial" w:ascii="Arial" w:hAnsi="Arial"/>
                <w:b/>
                <w:sz w:val="20"/>
                <w:szCs w:val="20"/>
              </w:rPr>
              <w:t>Insurmountable</w:t>
            </w:r>
          </w:p>
        </w:tc>
        <w:tc>
          <w:tcPr>
            <w:tcW w:w="342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pPr>
            <w:r>
              <w:rPr>
                <w:rFonts w:cs="Arial" w:ascii="Arial" w:hAnsi="Arial"/>
                <w:b/>
                <w:sz w:val="20"/>
                <w:szCs w:val="20"/>
              </w:rPr>
              <w:t>Max. Tolerable Downtime (MTD),</w:t>
            </w:r>
          </w:p>
          <w:p>
            <w:pPr>
              <w:pStyle w:val="Normal"/>
              <w:jc w:val="center"/>
              <w:rPr/>
            </w:pPr>
            <w:r>
              <w:rPr>
                <w:rFonts w:cs="Arial" w:ascii="Arial" w:hAnsi="Arial"/>
                <w:b/>
                <w:sz w:val="20"/>
                <w:szCs w:val="20"/>
              </w:rPr>
              <w:t>Recovery Time Objective (RTO)</w:t>
            </w:r>
          </w:p>
          <w:p>
            <w:pPr>
              <w:pStyle w:val="Normal"/>
              <w:spacing w:before="120" w:after="120"/>
              <w:jc w:val="center"/>
              <w:rPr/>
            </w:pPr>
            <w:r>
              <w:rPr>
                <w:rFonts w:cs="Arial" w:ascii="Arial" w:hAnsi="Arial"/>
                <w:b/>
                <w:sz w:val="20"/>
                <w:szCs w:val="20"/>
              </w:rPr>
              <w:t>Recovery Point Objective (RPO)</w:t>
            </w:r>
          </w:p>
        </w:tc>
        <w:tc>
          <w:tcPr>
            <w:tcW w:w="234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Comments</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rPr>
            </w:pPr>
            <w:r>
              <w:rPr>
                <w:rFonts w:cs="Arial" w:ascii="Arial" w:hAnsi="Arial"/>
                <w:b/>
                <w:sz w:val="20"/>
                <w:szCs w:val="20"/>
              </w:rPr>
              <w:t>Accounts Receivables</w:t>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Credit management</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Ongoing</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3</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3 weeks</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½ day</w:t>
            </w:r>
          </w:p>
          <w:p>
            <w:pPr>
              <w:pStyle w:val="Normal"/>
              <w:jc w:val="center"/>
              <w:rPr>
                <w:rFonts w:ascii="Arial" w:hAnsi="Arial" w:cs="Arial"/>
                <w:sz w:val="20"/>
                <w:szCs w:val="20"/>
              </w:rPr>
            </w:pPr>
            <w:r>
              <w:rPr>
                <w:rFonts w:cs="Arial" w:ascii="Arial" w:hAnsi="Arial"/>
                <w:sz w:val="20"/>
                <w:szCs w:val="20"/>
              </w:rPr>
              <w:t>RTO ½ day</w:t>
            </w:r>
          </w:p>
          <w:p>
            <w:pPr>
              <w:pStyle w:val="Normal"/>
              <w:spacing w:before="120" w:after="120"/>
              <w:jc w:val="center"/>
              <w:rPr>
                <w:rFonts w:ascii="Arial" w:hAnsi="Arial" w:cs="Arial"/>
                <w:sz w:val="20"/>
                <w:szCs w:val="20"/>
              </w:rPr>
            </w:pPr>
            <w:r>
              <w:rPr>
                <w:rFonts w:cs="Arial" w:ascii="Arial" w:hAnsi="Arial"/>
                <w:sz w:val="20"/>
                <w:szCs w:val="20"/>
              </w:rPr>
              <w:t>RPO 1 day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Only for non quarter month</w:t>
            </w:r>
          </w:p>
        </w:tc>
      </w:tr>
      <w:tr>
        <w:trPr>
          <w:cantSplit w:val="true"/>
        </w:trPr>
        <w:tc>
          <w:tcPr>
            <w:tcW w:w="11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c>
          <w:tcPr>
            <w:tcW w:w="1321"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sz w:val="20"/>
                <w:szCs w:val="20"/>
              </w:rPr>
              <w:t>IC payments</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rPr>
            </w:pPr>
            <w:r>
              <w:rPr>
                <w:rFonts w:cs="Arial" w:ascii="Arial" w:hAnsi="Arial"/>
                <w:b/>
                <w:bCs/>
                <w:sz w:val="20"/>
                <w:szCs w:val="20"/>
              </w:rPr>
              <w:t>Quarter End</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3¹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3 days</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½ day</w:t>
            </w:r>
          </w:p>
          <w:p>
            <w:pPr>
              <w:pStyle w:val="Normal"/>
              <w:jc w:val="center"/>
              <w:rPr>
                <w:rFonts w:ascii="Arial" w:hAnsi="Arial" w:cs="Arial"/>
                <w:sz w:val="20"/>
                <w:szCs w:val="20"/>
              </w:rPr>
            </w:pPr>
            <w:r>
              <w:rPr>
                <w:rFonts w:cs="Arial" w:ascii="Arial" w:hAnsi="Arial"/>
                <w:sz w:val="20"/>
                <w:szCs w:val="20"/>
              </w:rPr>
              <w:t>RTO ½ day</w:t>
            </w:r>
          </w:p>
          <w:p>
            <w:pPr>
              <w:pStyle w:val="Normal"/>
              <w:spacing w:before="120" w:after="120"/>
              <w:jc w:val="center"/>
              <w:rPr>
                <w:rFonts w:ascii="Arial" w:hAnsi="Arial" w:cs="Arial"/>
                <w:sz w:val="20"/>
                <w:szCs w:val="20"/>
              </w:rPr>
            </w:pPr>
            <w:r>
              <w:rPr>
                <w:rFonts w:cs="Arial" w:ascii="Arial" w:hAnsi="Arial"/>
                <w:sz w:val="20"/>
                <w:szCs w:val="20"/>
              </w:rPr>
              <w:t>RPO 1 day</w:t>
            </w:r>
          </w:p>
        </w:tc>
        <w:tc>
          <w:tcPr>
            <w:tcW w:w="23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0"/>
                <w:szCs w:val="20"/>
              </w:rPr>
            </w:pPr>
            <w:r>
              <w:rPr>
                <w:rFonts w:cs="Arial" w:ascii="Arial" w:hAnsi="Arial"/>
                <w:b/>
                <w:sz w:val="20"/>
                <w:szCs w:val="20"/>
              </w:rPr>
              <w:t>Accounts Payables</w:t>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Accounts Payables</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Ongoing</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3</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3 weeks</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½ day</w:t>
            </w:r>
          </w:p>
          <w:p>
            <w:pPr>
              <w:pStyle w:val="Normal"/>
              <w:jc w:val="center"/>
              <w:rPr>
                <w:rFonts w:ascii="Arial" w:hAnsi="Arial" w:cs="Arial"/>
                <w:sz w:val="20"/>
                <w:szCs w:val="20"/>
              </w:rPr>
            </w:pPr>
            <w:r>
              <w:rPr>
                <w:rFonts w:cs="Arial" w:ascii="Arial" w:hAnsi="Arial"/>
                <w:sz w:val="20"/>
                <w:szCs w:val="20"/>
              </w:rPr>
              <w:t>RTO ½ day</w:t>
            </w:r>
          </w:p>
          <w:p>
            <w:pPr>
              <w:pStyle w:val="Normal"/>
              <w:spacing w:before="120" w:after="120"/>
              <w:jc w:val="center"/>
              <w:rPr>
                <w:rFonts w:ascii="Arial" w:hAnsi="Arial" w:cs="Arial"/>
                <w:sz w:val="20"/>
                <w:szCs w:val="20"/>
              </w:rPr>
            </w:pPr>
            <w:r>
              <w:rPr>
                <w:rFonts w:cs="Arial" w:ascii="Arial" w:hAnsi="Arial"/>
                <w:sz w:val="20"/>
                <w:szCs w:val="20"/>
              </w:rPr>
              <w:t>RPO 1 day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Only for non quarter month</w:t>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c>
          <w:tcPr>
            <w:tcW w:w="1321"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Accounts Payables IC</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rPr>
            </w:pPr>
            <w:r>
              <w:rPr>
                <w:rFonts w:cs="Arial" w:ascii="Arial" w:hAnsi="Arial"/>
                <w:b/>
                <w:bCs/>
                <w:sz w:val="20"/>
                <w:szCs w:val="20"/>
              </w:rPr>
              <w:t>Quarter End</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3¹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2 days</w:t>
            </w:r>
          </w:p>
          <w:p>
            <w:pPr>
              <w:pStyle w:val="Normal"/>
              <w:spacing w:before="120" w:after="120"/>
              <w:rPr>
                <w:rFonts w:ascii="Arial" w:hAnsi="Arial" w:cs="Arial"/>
                <w:sz w:val="20"/>
                <w:szCs w:val="20"/>
              </w:rPr>
            </w:pPr>
            <w:r>
              <w:rPr>
                <w:rFonts w:cs="Arial" w:ascii="Arial" w:hAnsi="Arial"/>
                <w:sz w:val="20"/>
                <w:szCs w:val="20"/>
              </w:rPr>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½ day</w:t>
            </w:r>
          </w:p>
          <w:p>
            <w:pPr>
              <w:pStyle w:val="Normal"/>
              <w:jc w:val="center"/>
              <w:rPr>
                <w:rFonts w:ascii="Arial" w:hAnsi="Arial" w:cs="Arial"/>
                <w:sz w:val="20"/>
                <w:szCs w:val="20"/>
              </w:rPr>
            </w:pPr>
            <w:r>
              <w:rPr>
                <w:rFonts w:cs="Arial" w:ascii="Arial" w:hAnsi="Arial"/>
                <w:sz w:val="20"/>
                <w:szCs w:val="20"/>
              </w:rPr>
              <w:t>RTO ½ day</w:t>
            </w:r>
          </w:p>
          <w:p>
            <w:pPr>
              <w:pStyle w:val="Normal"/>
              <w:spacing w:before="120" w:after="120"/>
              <w:jc w:val="center"/>
              <w:rPr>
                <w:rFonts w:ascii="Arial" w:hAnsi="Arial" w:cs="Arial"/>
                <w:sz w:val="20"/>
                <w:szCs w:val="20"/>
              </w:rPr>
            </w:pPr>
            <w:r>
              <w:rPr>
                <w:rFonts w:cs="Arial" w:ascii="Arial" w:hAnsi="Arial"/>
                <w:sz w:val="20"/>
                <w:szCs w:val="20"/>
              </w:rPr>
              <w:t>RPO 1 day</w:t>
            </w:r>
          </w:p>
        </w:tc>
        <w:tc>
          <w:tcPr>
            <w:tcW w:w="23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r>
        <w:trPr>
          <w:cantSplit w:val="true"/>
        </w:trPr>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lang w:val="fr-FR"/>
              </w:rPr>
            </w:pPr>
            <w:r>
              <w:rPr>
                <w:rFonts w:cs="Arial" w:ascii="Arial" w:hAnsi="Arial"/>
                <w:b/>
                <w:bCs/>
                <w:sz w:val="20"/>
                <w:szCs w:val="20"/>
                <w:lang w:val="fr-FR"/>
              </w:rPr>
              <w:t>NPMR</w:t>
            </w:r>
          </w:p>
        </w:tc>
        <w:tc>
          <w:tcPr>
            <w:tcW w:w="132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b/>
                <w:bCs/>
                <w:sz w:val="20"/>
                <w:szCs w:val="20"/>
                <w:lang w:val="fr-FR"/>
              </w:rPr>
            </w:pPr>
            <w:r>
              <w:rPr>
                <w:rFonts w:cs="Arial" w:ascii="Arial" w:hAnsi="Arial"/>
                <w:b/>
                <w:bCs/>
                <w:sz w:val="20"/>
                <w:szCs w:val="20"/>
                <w:lang w:val="fr-FR"/>
              </w:rPr>
            </w:r>
          </w:p>
        </w:tc>
        <w:tc>
          <w:tcPr>
            <w:tcW w:w="900"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b/>
                <w:bCs/>
                <w:sz w:val="20"/>
                <w:szCs w:val="20"/>
              </w:rPr>
              <w:t>Quarter</w:t>
              <w:br/>
              <w:t>End</w:t>
            </w:r>
          </w:p>
          <w:p>
            <w:pPr>
              <w:pStyle w:val="Normal"/>
              <w:rPr>
                <w:rFonts w:ascii="Arial" w:hAnsi="Arial" w:cs="Arial"/>
                <w:sz w:val="20"/>
                <w:szCs w:val="20"/>
              </w:rPr>
            </w:pPr>
            <w:r>
              <w:rPr>
                <w:rFonts w:cs="Arial" w:ascii="Arial" w:hAnsi="Arial"/>
                <w:sz w:val="20"/>
                <w:szCs w:val="20"/>
              </w:rPr>
            </w:r>
          </w:p>
          <w:p>
            <w:pPr>
              <w:pStyle w:val="Normal"/>
              <w:spacing w:before="120" w:after="120"/>
              <w:rPr>
                <w:rFonts w:ascii="Arial" w:hAnsi="Arial" w:cs="Arial"/>
                <w:sz w:val="20"/>
                <w:szCs w:val="20"/>
              </w:rPr>
            </w:pPr>
            <w:r>
              <w:rPr>
                <w:rFonts w:cs="Arial" w:ascii="Arial" w:hAnsi="Arial"/>
                <w:sz w:val="20"/>
                <w:szCs w:val="20"/>
              </w:rPr>
              <w:t>ongoing</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¹</w:t>
            </w:r>
            <w:r>
              <w:rPr>
                <w:rFonts w:cs="Arial" w:ascii="Arial" w:hAnsi="Arial"/>
                <w:sz w:val="20"/>
                <w:szCs w:val="20"/>
              </w:rPr>
              <w:t>3</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r>
          </w:p>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¹</w:t>
            </w:r>
            <w:r>
              <w:rPr>
                <w:rFonts w:cs="Arial" w:ascii="Arial" w:hAnsi="Arial"/>
                <w:sz w:val="20"/>
                <w:szCs w:val="20"/>
              </w:rPr>
              <w:t>4</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r>
          </w:p>
          <w:p>
            <w:pPr>
              <w:pStyle w:val="Normal"/>
              <w:spacing w:before="120" w:after="120"/>
              <w:jc w:val="center"/>
              <w:rPr>
                <w:rFonts w:ascii="Arial" w:hAnsi="Arial" w:cs="Arial"/>
                <w:sz w:val="20"/>
                <w:szCs w:val="20"/>
              </w:rPr>
            </w:pPr>
            <w:r>
              <w:rPr>
                <w:rFonts w:cs="Arial" w:ascii="Arial" w:hAnsi="Arial"/>
                <w:sz w:val="20"/>
                <w:szCs w:val="20"/>
              </w:rPr>
              <w:t>2</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¹</w:t>
            </w:r>
            <w:r>
              <w:rPr>
                <w:rFonts w:cs="Arial" w:ascii="Arial" w:hAnsi="Arial"/>
                <w:sz w:val="20"/>
                <w:szCs w:val="20"/>
              </w:rPr>
              <w:t>4</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r>
          </w:p>
          <w:p>
            <w:pPr>
              <w:pStyle w:val="Normal"/>
              <w:spacing w:before="120" w:after="120"/>
              <w:jc w:val="center"/>
              <w:rPr>
                <w:rFonts w:ascii="Arial" w:hAnsi="Arial" w:cs="Arial"/>
                <w:sz w:val="20"/>
                <w:szCs w:val="20"/>
              </w:rPr>
            </w:pPr>
            <w:r>
              <w:rPr>
                <w:rFonts w:cs="Arial" w:ascii="Arial" w:hAnsi="Arial"/>
                <w:sz w:val="20"/>
                <w:szCs w:val="20"/>
              </w:rPr>
              <w:t>3</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¹</w:t>
            </w:r>
            <w:r>
              <w:rPr>
                <w:rFonts w:cs="Arial" w:ascii="Arial" w:hAnsi="Arial"/>
                <w:sz w:val="20"/>
                <w:szCs w:val="20"/>
              </w:rPr>
              <w:t>4</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r>
          </w:p>
          <w:p>
            <w:pPr>
              <w:pStyle w:val="Normal"/>
              <w:spacing w:before="120" w:after="120"/>
              <w:jc w:val="center"/>
              <w:rPr>
                <w:rFonts w:ascii="Arial" w:hAnsi="Arial" w:cs="Arial"/>
                <w:sz w:val="20"/>
                <w:szCs w:val="20"/>
              </w:rPr>
            </w:pPr>
            <w:r>
              <w:rPr>
                <w:rFonts w:cs="Arial" w:ascii="Arial" w:hAnsi="Arial"/>
                <w:sz w:val="20"/>
                <w:szCs w:val="20"/>
              </w:rPr>
              <w:t>3</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Minimal</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spacing w:before="120" w:after="120"/>
              <w:rPr>
                <w:rFonts w:ascii="Arial" w:hAnsi="Arial" w:cs="Arial"/>
                <w:sz w:val="20"/>
                <w:szCs w:val="20"/>
              </w:rPr>
            </w:pPr>
            <w:r>
              <w:rPr>
                <w:rFonts w:cs="Arial" w:ascii="Arial" w:hAnsi="Arial"/>
                <w:sz w:val="20"/>
                <w:szCs w:val="20"/>
              </w:rPr>
              <w:t>Minimal</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1 Day,</w:t>
            </w:r>
          </w:p>
          <w:p>
            <w:pPr>
              <w:pStyle w:val="Normal"/>
              <w:jc w:val="center"/>
              <w:rPr>
                <w:rFonts w:ascii="Arial" w:hAnsi="Arial" w:cs="Arial"/>
                <w:sz w:val="20"/>
                <w:szCs w:val="20"/>
              </w:rPr>
            </w:pPr>
            <w:r>
              <w:rPr>
                <w:rFonts w:cs="Arial" w:ascii="Arial" w:hAnsi="Arial"/>
                <w:sz w:val="20"/>
                <w:szCs w:val="20"/>
              </w:rPr>
              <w:t>RTO 1 Day,</w:t>
            </w:r>
          </w:p>
          <w:p>
            <w:pPr>
              <w:pStyle w:val="Normal"/>
              <w:spacing w:before="120" w:after="120"/>
              <w:jc w:val="center"/>
              <w:rPr>
                <w:rFonts w:ascii="Arial" w:hAnsi="Arial" w:cs="Arial"/>
                <w:sz w:val="20"/>
                <w:szCs w:val="20"/>
              </w:rPr>
            </w:pPr>
            <w:r>
              <w:rPr>
                <w:rFonts w:cs="Arial" w:ascii="Arial" w:hAnsi="Arial"/>
                <w:sz w:val="20"/>
                <w:szCs w:val="20"/>
              </w:rPr>
              <w:t>RPO: last submission</w:t>
            </w:r>
          </w:p>
        </w:tc>
        <w:tc>
          <w:tcPr>
            <w:tcW w:w="23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rPr>
            </w:pPr>
            <w:r>
              <w:rPr>
                <w:rFonts w:cs="Arial" w:ascii="Arial" w:hAnsi="Arial"/>
                <w:b/>
                <w:bCs/>
                <w:sz w:val="20"/>
                <w:szCs w:val="20"/>
              </w:rPr>
              <w:t>Inventory</w:t>
            </w:r>
          </w:p>
        </w:tc>
        <w:tc>
          <w:tcPr>
            <w:tcW w:w="132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b/>
                <w:bCs/>
                <w:sz w:val="20"/>
                <w:szCs w:val="20"/>
              </w:rPr>
            </w:pPr>
            <w:r>
              <w:rPr>
                <w:rFonts w:cs="Arial" w:ascii="Arial" w:hAnsi="Arial"/>
                <w:b/>
                <w:bCs/>
                <w:sz w:val="20"/>
                <w:szCs w:val="20"/>
              </w:rPr>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rPr>
            </w:pPr>
            <w:r>
              <w:rPr>
                <w:rFonts w:cs="Arial" w:ascii="Arial" w:hAnsi="Arial"/>
                <w:b/>
                <w:bCs/>
                <w:sz w:val="20"/>
                <w:szCs w:val="20"/>
              </w:rPr>
              <w:t>Month</w:t>
            </w:r>
          </w:p>
          <w:p>
            <w:pPr>
              <w:pStyle w:val="Normal"/>
              <w:rPr>
                <w:rFonts w:ascii="Arial" w:hAnsi="Arial" w:cs="Arial"/>
                <w:sz w:val="20"/>
                <w:szCs w:val="20"/>
              </w:rPr>
            </w:pPr>
            <w:r>
              <w:rPr>
                <w:rFonts w:cs="Arial" w:ascii="Arial" w:hAnsi="Arial"/>
                <w:b/>
                <w:bCs/>
                <w:sz w:val="20"/>
                <w:szCs w:val="20"/>
              </w:rPr>
              <w:t>End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ongoing</w:t>
            </w:r>
          </w:p>
          <w:p>
            <w:pPr>
              <w:pStyle w:val="Normal"/>
              <w:spacing w:before="120" w:after="120"/>
              <w:rPr>
                <w:rFonts w:ascii="Arial" w:hAnsi="Arial" w:cs="Arial"/>
                <w:sz w:val="20"/>
                <w:szCs w:val="20"/>
              </w:rPr>
            </w:pPr>
            <w:r>
              <w:rPr>
                <w:rFonts w:cs="Arial" w:ascii="Arial" w:hAnsi="Arial"/>
                <w:sz w:val="20"/>
                <w:szCs w:val="20"/>
              </w:rPr>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¹</w:t>
            </w:r>
            <w:r>
              <w:rPr>
                <w:rFonts w:cs="Arial" w:ascii="Arial" w:hAnsi="Arial"/>
                <w:sz w:val="20"/>
                <w:szCs w:val="20"/>
              </w:rPr>
              <w:t>3</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r>
          </w:p>
          <w:p>
            <w:pPr>
              <w:pStyle w:val="Normal"/>
              <w:spacing w:before="120" w:after="120"/>
              <w:jc w:val="center"/>
              <w:rPr>
                <w:rFonts w:ascii="Arial" w:hAnsi="Arial" w:cs="Arial"/>
                <w:sz w:val="20"/>
                <w:szCs w:val="20"/>
                <w:lang w:val="fr-FR"/>
              </w:rPr>
            </w:pPr>
            <w:r>
              <w:rPr>
                <w:rFonts w:cs="Arial" w:ascii="Arial" w:hAnsi="Arial"/>
                <w:sz w:val="20"/>
                <w:szCs w:val="20"/>
                <w:lang w:val="fr-FR"/>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lang w:val="fr-FR"/>
              </w:rPr>
            </w:pPr>
            <w:r>
              <w:rPr>
                <w:rFonts w:cs="Arial" w:ascii="Arial" w:hAnsi="Arial"/>
                <w:sz w:val="20"/>
                <w:szCs w:val="20"/>
                <w:lang w:val="fr-FR"/>
              </w:rPr>
              <w:t>¹</w:t>
            </w:r>
            <w:r>
              <w:rPr>
                <w:rFonts w:cs="Arial" w:ascii="Arial" w:hAnsi="Arial"/>
                <w:sz w:val="20"/>
                <w:szCs w:val="20"/>
                <w:lang w:val="fr-FR"/>
              </w:rPr>
              <w:t>4</w:t>
            </w:r>
          </w:p>
          <w:p>
            <w:pPr>
              <w:pStyle w:val="Normal"/>
              <w:jc w:val="center"/>
              <w:rPr>
                <w:rFonts w:ascii="Arial" w:hAnsi="Arial" w:cs="Arial"/>
                <w:sz w:val="20"/>
                <w:szCs w:val="20"/>
                <w:lang w:val="fr-FR"/>
              </w:rPr>
            </w:pPr>
            <w:r>
              <w:rPr>
                <w:rFonts w:cs="Arial" w:ascii="Arial" w:hAnsi="Arial"/>
                <w:sz w:val="20"/>
                <w:szCs w:val="20"/>
                <w:lang w:val="fr-FR"/>
              </w:rPr>
            </w:r>
          </w:p>
          <w:p>
            <w:pPr>
              <w:pStyle w:val="Normal"/>
              <w:jc w:val="center"/>
              <w:rPr>
                <w:rFonts w:ascii="Arial" w:hAnsi="Arial" w:cs="Arial"/>
                <w:sz w:val="20"/>
                <w:szCs w:val="20"/>
                <w:lang w:val="fr-FR"/>
              </w:rPr>
            </w:pPr>
            <w:r>
              <w:rPr>
                <w:rFonts w:cs="Arial" w:ascii="Arial" w:hAnsi="Arial"/>
                <w:sz w:val="20"/>
                <w:szCs w:val="20"/>
                <w:lang w:val="fr-FR"/>
              </w:rPr>
            </w:r>
          </w:p>
          <w:p>
            <w:pPr>
              <w:pStyle w:val="Normal"/>
              <w:spacing w:before="120" w:after="120"/>
              <w:jc w:val="center"/>
              <w:rPr>
                <w:rFonts w:ascii="Arial" w:hAnsi="Arial" w:cs="Arial"/>
                <w:sz w:val="20"/>
                <w:szCs w:val="20"/>
                <w:lang w:val="fr-FR"/>
              </w:rPr>
            </w:pPr>
            <w:r>
              <w:rPr>
                <w:rFonts w:cs="Arial" w:ascii="Arial" w:hAnsi="Arial"/>
                <w:sz w:val="20"/>
                <w:szCs w:val="20"/>
                <w:lang w:val="fr-FR"/>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lang w:val="fr-FR"/>
              </w:rPr>
            </w:pPr>
            <w:r>
              <w:rPr>
                <w:rFonts w:cs="Arial" w:ascii="Arial" w:hAnsi="Arial"/>
                <w:sz w:val="20"/>
                <w:szCs w:val="20"/>
                <w:lang w:val="fr-FR"/>
              </w:rPr>
              <w:t>¹</w:t>
            </w:r>
            <w:r>
              <w:rPr>
                <w:rFonts w:cs="Arial" w:ascii="Arial" w:hAnsi="Arial"/>
                <w:sz w:val="20"/>
                <w:szCs w:val="20"/>
                <w:lang w:val="fr-FR"/>
              </w:rPr>
              <w:t>4</w:t>
            </w:r>
          </w:p>
          <w:p>
            <w:pPr>
              <w:pStyle w:val="Normal"/>
              <w:jc w:val="center"/>
              <w:rPr>
                <w:rFonts w:ascii="Arial" w:hAnsi="Arial" w:cs="Arial"/>
                <w:sz w:val="20"/>
                <w:szCs w:val="20"/>
                <w:lang w:val="fr-FR"/>
              </w:rPr>
            </w:pPr>
            <w:r>
              <w:rPr>
                <w:rFonts w:cs="Arial" w:ascii="Arial" w:hAnsi="Arial"/>
                <w:sz w:val="20"/>
                <w:szCs w:val="20"/>
                <w:lang w:val="fr-FR"/>
              </w:rPr>
            </w:r>
          </w:p>
          <w:p>
            <w:pPr>
              <w:pStyle w:val="Normal"/>
              <w:jc w:val="center"/>
              <w:rPr>
                <w:rFonts w:ascii="Arial" w:hAnsi="Arial" w:cs="Arial"/>
                <w:sz w:val="20"/>
                <w:szCs w:val="20"/>
                <w:lang w:val="fr-FR"/>
              </w:rPr>
            </w:pPr>
            <w:r>
              <w:rPr>
                <w:rFonts w:cs="Arial" w:ascii="Arial" w:hAnsi="Arial"/>
                <w:sz w:val="20"/>
                <w:szCs w:val="20"/>
                <w:lang w:val="fr-FR"/>
              </w:rPr>
            </w:r>
          </w:p>
          <w:p>
            <w:pPr>
              <w:pStyle w:val="Normal"/>
              <w:spacing w:before="120" w:after="120"/>
              <w:jc w:val="center"/>
              <w:rPr>
                <w:rFonts w:ascii="Arial" w:hAnsi="Arial" w:cs="Arial"/>
                <w:sz w:val="20"/>
                <w:szCs w:val="20"/>
                <w:lang w:val="fr-FR"/>
              </w:rPr>
            </w:pPr>
            <w:r>
              <w:rPr>
                <w:rFonts w:cs="Arial" w:ascii="Arial" w:hAnsi="Arial"/>
                <w:sz w:val="20"/>
                <w:szCs w:val="20"/>
                <w:lang w:val="fr-FR"/>
              </w:rPr>
              <w:t>3</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lang w:val="fr-FR"/>
              </w:rPr>
            </w:pPr>
            <w:r>
              <w:rPr>
                <w:rFonts w:cs="Arial" w:ascii="Arial" w:hAnsi="Arial"/>
                <w:sz w:val="20"/>
                <w:szCs w:val="20"/>
                <w:lang w:val="fr-FR"/>
              </w:rPr>
              <w:t>¹</w:t>
            </w:r>
            <w:r>
              <w:rPr>
                <w:rFonts w:cs="Arial" w:ascii="Arial" w:hAnsi="Arial"/>
                <w:sz w:val="20"/>
                <w:szCs w:val="20"/>
                <w:lang w:val="fr-FR"/>
              </w:rPr>
              <w:t>4</w:t>
            </w:r>
          </w:p>
          <w:p>
            <w:pPr>
              <w:pStyle w:val="Normal"/>
              <w:jc w:val="center"/>
              <w:rPr>
                <w:rFonts w:ascii="Arial" w:hAnsi="Arial" w:cs="Arial"/>
                <w:sz w:val="20"/>
                <w:szCs w:val="20"/>
                <w:lang w:val="fr-FR"/>
              </w:rPr>
            </w:pPr>
            <w:r>
              <w:rPr>
                <w:rFonts w:cs="Arial" w:ascii="Arial" w:hAnsi="Arial"/>
                <w:sz w:val="20"/>
                <w:szCs w:val="20"/>
                <w:lang w:val="fr-FR"/>
              </w:rPr>
            </w:r>
          </w:p>
          <w:p>
            <w:pPr>
              <w:pStyle w:val="Normal"/>
              <w:jc w:val="center"/>
              <w:rPr>
                <w:rFonts w:ascii="Arial" w:hAnsi="Arial" w:cs="Arial"/>
                <w:sz w:val="20"/>
                <w:szCs w:val="20"/>
                <w:lang w:val="fr-FR"/>
              </w:rPr>
            </w:pPr>
            <w:r>
              <w:rPr>
                <w:rFonts w:cs="Arial" w:ascii="Arial" w:hAnsi="Arial"/>
                <w:sz w:val="20"/>
                <w:szCs w:val="20"/>
                <w:lang w:val="fr-FR"/>
              </w:rPr>
            </w:r>
          </w:p>
          <w:p>
            <w:pPr>
              <w:pStyle w:val="Normal"/>
              <w:spacing w:before="120" w:after="120"/>
              <w:jc w:val="center"/>
              <w:rPr>
                <w:rFonts w:ascii="Arial" w:hAnsi="Arial" w:cs="Arial"/>
                <w:sz w:val="20"/>
                <w:szCs w:val="20"/>
                <w:lang w:val="fr-FR"/>
              </w:rPr>
            </w:pPr>
            <w:r>
              <w:rPr>
                <w:rFonts w:cs="Arial" w:ascii="Arial" w:hAnsi="Arial"/>
                <w:sz w:val="20"/>
                <w:szCs w:val="20"/>
                <w:lang w:val="fr-FR"/>
              </w:rPr>
              <w:t>3</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lang w:val="fr-FR"/>
              </w:rPr>
            </w:pPr>
            <w:r>
              <w:rPr>
                <w:rFonts w:cs="Arial" w:ascii="Arial" w:hAnsi="Arial"/>
                <w:sz w:val="20"/>
                <w:szCs w:val="20"/>
                <w:lang w:val="fr-FR"/>
              </w:rPr>
              <w:t>Minimal</w:t>
            </w:r>
          </w:p>
          <w:p>
            <w:pPr>
              <w:pStyle w:val="Normal"/>
              <w:rPr>
                <w:rFonts w:ascii="Arial" w:hAnsi="Arial" w:cs="Arial"/>
                <w:sz w:val="20"/>
                <w:szCs w:val="20"/>
                <w:lang w:val="fr-FR"/>
              </w:rPr>
            </w:pPr>
            <w:r>
              <w:rPr>
                <w:rFonts w:cs="Arial" w:ascii="Arial" w:hAnsi="Arial"/>
                <w:sz w:val="20"/>
                <w:szCs w:val="20"/>
                <w:lang w:val="fr-FR"/>
              </w:rPr>
            </w:r>
          </w:p>
          <w:p>
            <w:pPr>
              <w:pStyle w:val="Normal"/>
              <w:rPr>
                <w:rFonts w:ascii="Arial" w:hAnsi="Arial" w:cs="Arial"/>
                <w:sz w:val="20"/>
                <w:szCs w:val="20"/>
                <w:lang w:val="fr-FR"/>
              </w:rPr>
            </w:pPr>
            <w:r>
              <w:rPr>
                <w:rFonts w:cs="Arial" w:ascii="Arial" w:hAnsi="Arial"/>
                <w:sz w:val="20"/>
                <w:szCs w:val="20"/>
                <w:lang w:val="fr-FR"/>
              </w:rPr>
            </w:r>
          </w:p>
          <w:p>
            <w:pPr>
              <w:pStyle w:val="Normal"/>
              <w:spacing w:before="120" w:after="120"/>
              <w:rPr>
                <w:rFonts w:ascii="Arial" w:hAnsi="Arial" w:cs="Arial"/>
                <w:sz w:val="20"/>
                <w:szCs w:val="20"/>
                <w:lang w:val="fr-FR"/>
              </w:rPr>
            </w:pPr>
            <w:r>
              <w:rPr>
                <w:rFonts w:cs="Arial" w:ascii="Arial" w:hAnsi="Arial"/>
                <w:sz w:val="20"/>
                <w:szCs w:val="20"/>
                <w:lang w:val="fr-FR"/>
              </w:rPr>
              <w:t>Minimal</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1 Day,</w:t>
            </w:r>
          </w:p>
          <w:p>
            <w:pPr>
              <w:pStyle w:val="Normal"/>
              <w:jc w:val="center"/>
              <w:rPr>
                <w:rFonts w:ascii="Arial" w:hAnsi="Arial" w:cs="Arial"/>
                <w:sz w:val="20"/>
                <w:szCs w:val="20"/>
              </w:rPr>
            </w:pPr>
            <w:r>
              <w:rPr>
                <w:rFonts w:cs="Arial" w:ascii="Arial" w:hAnsi="Arial"/>
                <w:sz w:val="20"/>
                <w:szCs w:val="20"/>
              </w:rPr>
              <w:t>RTO 1 Day,</w:t>
            </w:r>
          </w:p>
          <w:p>
            <w:pPr>
              <w:pStyle w:val="Normal"/>
              <w:spacing w:before="120" w:after="120"/>
              <w:jc w:val="center"/>
              <w:rPr>
                <w:rFonts w:ascii="Arial" w:hAnsi="Arial" w:cs="Arial"/>
                <w:sz w:val="20"/>
                <w:szCs w:val="20"/>
              </w:rPr>
            </w:pPr>
            <w:r>
              <w:rPr>
                <w:rFonts w:cs="Arial" w:ascii="Arial" w:hAnsi="Arial"/>
                <w:sz w:val="20"/>
                <w:szCs w:val="20"/>
              </w:rPr>
              <w:t>RPO: previous day</w:t>
            </w:r>
          </w:p>
        </w:tc>
        <w:tc>
          <w:tcPr>
            <w:tcW w:w="234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lang w:val="fr-FR"/>
              </w:rPr>
            </w:pPr>
            <w:r>
              <w:rPr>
                <w:rFonts w:cs="Arial" w:ascii="Arial" w:hAnsi="Arial"/>
                <w:sz w:val="20"/>
                <w:szCs w:val="20"/>
                <w:lang w:val="fr-FR"/>
              </w:rPr>
            </w:r>
          </w:p>
        </w:tc>
      </w:tr>
      <w:tr>
        <w:trPr/>
        <w:tc>
          <w:tcPr>
            <w:tcW w:w="119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Closing of books % FRS Reporting</w:t>
            </w:r>
          </w:p>
        </w:tc>
        <w:tc>
          <w:tcPr>
            <w:tcW w:w="1321"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bCs/>
                <w:sz w:val="20"/>
                <w:szCs w:val="20"/>
              </w:rPr>
            </w:pPr>
            <w:r>
              <w:rPr>
                <w:rFonts w:cs="Arial" w:ascii="Arial" w:hAnsi="Arial"/>
                <w:b/>
                <w:bCs/>
                <w:sz w:val="20"/>
                <w:szCs w:val="20"/>
              </w:rPr>
              <w:t>Quarter End</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3¹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4¹</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1 day</w:t>
            </w:r>
          </w:p>
        </w:tc>
        <w:tc>
          <w:tcPr>
            <w:tcW w:w="3420"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½ day</w:t>
            </w:r>
          </w:p>
          <w:p>
            <w:pPr>
              <w:pStyle w:val="Normal"/>
              <w:jc w:val="center"/>
              <w:rPr>
                <w:rFonts w:ascii="Arial" w:hAnsi="Arial" w:cs="Arial"/>
                <w:sz w:val="20"/>
                <w:szCs w:val="20"/>
              </w:rPr>
            </w:pPr>
            <w:r>
              <w:rPr>
                <w:rFonts w:cs="Arial" w:ascii="Arial" w:hAnsi="Arial"/>
                <w:sz w:val="20"/>
                <w:szCs w:val="20"/>
              </w:rPr>
              <w:t>RTO ½ day</w:t>
            </w:r>
          </w:p>
          <w:p>
            <w:pPr>
              <w:pStyle w:val="Normal"/>
              <w:spacing w:before="120" w:after="120"/>
              <w:jc w:val="center"/>
              <w:rPr>
                <w:rFonts w:ascii="Arial" w:hAnsi="Arial" w:cs="Arial"/>
                <w:sz w:val="20"/>
                <w:szCs w:val="20"/>
              </w:rPr>
            </w:pPr>
            <w:r>
              <w:rPr>
                <w:rFonts w:cs="Arial" w:ascii="Arial" w:hAnsi="Arial"/>
                <w:sz w:val="20"/>
                <w:szCs w:val="20"/>
              </w:rPr>
              <w:t>RPO 1 day</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0"/>
                <w:szCs w:val="20"/>
              </w:rPr>
            </w:pPr>
            <w:r>
              <w:rPr>
                <w:rFonts w:cs="Arial" w:ascii="Arial" w:hAnsi="Arial"/>
                <w:sz w:val="20"/>
                <w:szCs w:val="20"/>
              </w:rPr>
              <w:t>All activities according to timetable</w:t>
            </w:r>
          </w:p>
        </w:tc>
      </w:tr>
    </w:tbl>
    <w:p>
      <w:pPr>
        <w:pStyle w:val="Normal"/>
        <w:rPr>
          <w:rFonts w:ascii="Arial" w:hAnsi="Arial" w:cs="Arial"/>
          <w:lang w:val="fr-FR"/>
        </w:rPr>
      </w:pPr>
      <w:r>
        <w:rPr>
          <w:rFonts w:cs="Arial" w:ascii="Arial" w:hAnsi="Arial"/>
          <w:lang w:val="fr-FR"/>
        </w:rPr>
        <w:t>¹</w:t>
      </w:r>
      <w:r>
        <w:rPr>
          <w:rFonts w:eastAsia="Arial" w:cs="Arial" w:ascii="Arial" w:hAnsi="Arial"/>
          <w:lang w:val="fr-FR"/>
        </w:rPr>
        <w:t xml:space="preserve"> </w:t>
      </w:r>
      <w:r>
        <w:rPr>
          <w:rFonts w:cs="Arial" w:ascii="Arial" w:hAnsi="Arial"/>
          <w:lang w:val="fr-FR"/>
        </w:rPr>
        <w:t>worst case scenario</w:t>
      </w:r>
      <w:r>
        <w:br w:type="page"/>
      </w:r>
      <w:r>
        <mc:AlternateContent>
          <mc:Choice Requires="wps">
            <w:drawing>
              <wp:anchor behindDoc="0" distT="127635" distB="127635" distL="127635" distR="127635" simplePos="0" locked="0" layoutInCell="0" allowOverlap="1" relativeHeight="3">
                <wp:simplePos x="0" y="0"/>
                <wp:positionH relativeFrom="page">
                  <wp:posOffset>9738360</wp:posOffset>
                </wp:positionH>
                <wp:positionV relativeFrom="page">
                  <wp:posOffset>1322705</wp:posOffset>
                </wp:positionV>
                <wp:extent cx="207010" cy="127635"/>
                <wp:effectExtent l="0" t="0" r="0" b="0"/>
                <wp:wrapSquare wrapText="bothSides"/>
                <wp:docPr id="7" name="Frame2"/>
                <a:graphic xmlns:a="http://schemas.openxmlformats.org/drawingml/2006/main">
                  <a:graphicData uri="http://schemas.microsoft.com/office/word/2010/wordprocessingShape">
                    <wps:wsp>
                      <wps:cNvSpPr txBox="1"/>
                      <wps:spPr>
                        <a:xfrm>
                          <a:off x="0" y="0"/>
                          <a:ext cx="207010" cy="127635"/>
                        </a:xfrm>
                        <a:prstGeom prst="rect"/>
                        <a:solidFill>
                          <a:srgbClr val="FFFFFF">
                            <a:alpha val="0"/>
                          </a:srgbClr>
                        </a:solidFill>
                      </wps:spPr>
                      <wps:txbx>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wps:txbx>
                      <wps:bodyPr anchor="t" lIns="0" tIns="0" rIns="0" bIns="0">
                        <a:noAutofit/>
                      </wps:bodyPr>
                    </wps:wsp>
                  </a:graphicData>
                </a:graphic>
              </wp:anchor>
            </w:drawing>
          </mc:Choice>
          <mc:Fallback>
            <w:pict>
              <v:rect fillcolor="#FFFFFF" style="position:absolute;rotation:-0;width:16.3pt;height:10.05pt;mso-wrap-distance-left:10.05pt;mso-wrap-distance-right:10.05pt;mso-wrap-distance-top:10.05pt;mso-wrap-distance-bottom:10.05pt;margin-top:104.15pt;mso-position-vertical-relative:page;margin-left:766.8pt;mso-position-horizontal-relative:page">
                <v:fill opacity="0f"/>
                <v:textbox inset="0in,0in,0in,0in">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v:textbox>
                <w10:wrap type="square"/>
              </v:rect>
            </w:pict>
          </mc:Fallback>
        </mc:AlternateContent>
      </w:r>
    </w:p>
    <w:p>
      <w:pPr>
        <w:pStyle w:val="Heading1Numbered"/>
        <w:numPr>
          <w:ilvl w:val="0"/>
          <w:numId w:val="12"/>
        </w:numPr>
        <w:ind w:hanging="0" w:start="0"/>
        <w:rPr/>
      </w:pPr>
      <w:bookmarkStart w:id="10" w:name="__RefHeading___Toc157842748"/>
      <w:bookmarkEnd w:id="10"/>
      <w:r>
        <w:rPr/>
        <w:t>Indirect Purchasing</w:t>
      </w:r>
    </w:p>
    <w:p>
      <w:pPr>
        <w:pStyle w:val="Heading2Numbered"/>
        <w:numPr>
          <w:ilvl w:val="1"/>
          <w:numId w:val="12"/>
        </w:numPr>
        <w:ind w:hanging="0" w:start="0"/>
        <w:rPr/>
      </w:pPr>
      <w:bookmarkStart w:id="11" w:name="__RefHeading___Toc157842749"/>
      <w:bookmarkEnd w:id="11"/>
      <w:r>
        <w:rPr/>
        <w:t>Main Business Processes</w:t>
      </w:r>
    </w:p>
    <w:p>
      <w:pPr>
        <w:pStyle w:val="Normal"/>
        <w:rPr/>
      </w:pPr>
      <w:r>
        <w:rPr/>
        <w:t>The following table lists the main business processes in Indirect Purchasing and their links and dependencies.</w:t>
      </w:r>
    </w:p>
    <w:tbl>
      <w:tblPr>
        <w:tblW w:w="13760" w:type="dxa"/>
        <w:jc w:val="start"/>
        <w:tblInd w:w="15" w:type="dxa"/>
        <w:tblLayout w:type="fixed"/>
        <w:tblCellMar>
          <w:top w:w="0" w:type="dxa"/>
          <w:start w:w="15" w:type="dxa"/>
          <w:bottom w:w="0" w:type="dxa"/>
          <w:end w:w="15" w:type="dxa"/>
        </w:tblCellMar>
      </w:tblPr>
      <w:tblGrid>
        <w:gridCol w:w="1438"/>
        <w:gridCol w:w="2299"/>
        <w:gridCol w:w="3283"/>
        <w:gridCol w:w="2340"/>
        <w:gridCol w:w="1980"/>
        <w:gridCol w:w="2420"/>
      </w:tblGrid>
      <w:tr>
        <w:trPr>
          <w:tblHeader w:val="true"/>
          <w:trHeight w:val="776" w:hRule="atLeast"/>
        </w:trPr>
        <w:tc>
          <w:tcPr>
            <w:tcW w:w="1438"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Business</w:t>
            </w:r>
          </w:p>
          <w:p>
            <w:pPr>
              <w:pStyle w:val="Normal"/>
              <w:spacing w:before="60" w:after="60"/>
              <w:jc w:val="center"/>
              <w:rPr>
                <w:rFonts w:ascii="Arial" w:hAnsi="Arial" w:cs="Arial"/>
                <w:b/>
              </w:rPr>
            </w:pPr>
            <w:r>
              <w:rPr>
                <w:rFonts w:cs="Arial" w:ascii="Arial" w:hAnsi="Arial"/>
                <w:b/>
              </w:rPr>
              <w:t>process</w:t>
            </w:r>
          </w:p>
        </w:tc>
        <w:tc>
          <w:tcPr>
            <w:tcW w:w="229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pPr>
            <w:r>
              <w:rPr>
                <w:rFonts w:cs="Arial" w:ascii="Arial" w:hAnsi="Arial"/>
                <w:b/>
              </w:rPr>
              <w:t xml:space="preserve">Sub-Process </w:t>
            </w:r>
          </w:p>
        </w:tc>
        <w:tc>
          <w:tcPr>
            <w:tcW w:w="3283"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Critical Success Factors</w:t>
            </w:r>
          </w:p>
        </w:tc>
        <w:tc>
          <w:tcPr>
            <w:tcW w:w="234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 xml:space="preserve">Sub-processes / Activities </w:t>
            </w:r>
          </w:p>
        </w:tc>
        <w:tc>
          <w:tcPr>
            <w:tcW w:w="19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Resources needed</w:t>
            </w:r>
          </w:p>
        </w:tc>
        <w:tc>
          <w:tcPr>
            <w:tcW w:w="242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60" w:after="60"/>
              <w:jc w:val="center"/>
              <w:rPr>
                <w:rFonts w:ascii="Arial" w:hAnsi="Arial" w:cs="Arial"/>
                <w:b/>
              </w:rPr>
            </w:pPr>
            <w:r>
              <w:rPr>
                <w:rFonts w:cs="Arial" w:ascii="Arial" w:hAnsi="Arial"/>
                <w:b/>
              </w:rPr>
              <w:t>Dependencies on / Interfaces to other processes</w:t>
            </w:r>
          </w:p>
        </w:tc>
      </w:tr>
      <w:tr>
        <w:trPr>
          <w:trHeight w:val="1035" w:hRule="atLeast"/>
        </w:trPr>
        <w:tc>
          <w:tcPr>
            <w:tcW w:w="1438" w:type="dxa"/>
            <w:tcBorders>
              <w:top w:val="single" w:sz="4" w:space="0" w:color="000000"/>
              <w:start w:val="single" w:sz="4" w:space="0" w:color="000000"/>
              <w:end w:val="single" w:sz="4" w:space="0" w:color="000000"/>
            </w:tcBorders>
          </w:tcPr>
          <w:p>
            <w:pPr>
              <w:pStyle w:val="Normal"/>
              <w:spacing w:before="60" w:after="60"/>
              <w:rPr/>
            </w:pPr>
            <w:r>
              <w:rPr>
                <w:rFonts w:cs="Arial" w:ascii="Arial" w:hAnsi="Arial"/>
                <w:b/>
              </w:rPr>
              <w:t>Indirect Purchasing</w:t>
            </w:r>
          </w:p>
        </w:tc>
        <w:tc>
          <w:tcPr>
            <w:tcW w:w="2299"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rPr>
            </w:pPr>
            <w:r>
              <w:rPr>
                <w:rFonts w:cs="Arial" w:ascii="Arial" w:hAnsi="Arial"/>
                <w:b/>
              </w:rPr>
              <w:t>Order placement and order management</w:t>
            </w:r>
          </w:p>
          <w:p>
            <w:pPr>
              <w:pStyle w:val="Normal"/>
              <w:spacing w:before="60" w:after="60"/>
              <w:jc w:val="center"/>
              <w:rPr>
                <w:rFonts w:ascii="Arial" w:hAnsi="Arial" w:cs="Arial"/>
                <w:b/>
              </w:rPr>
            </w:pPr>
            <w:r>
              <w:rPr>
                <w:rFonts w:cs="Arial" w:ascii="Arial" w:hAnsi="Arial"/>
                <w:b/>
              </w:rPr>
            </w:r>
          </w:p>
        </w:tc>
        <w:tc>
          <w:tcPr>
            <w:tcW w:w="3283"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 xml:space="preserve">Management of ordering system, including master data management. </w:t>
            </w:r>
          </w:p>
          <w:p>
            <w:pPr>
              <w:pStyle w:val="Normal"/>
              <w:spacing w:before="60" w:after="60"/>
              <w:ind w:start="28" w:end="0"/>
              <w:rPr>
                <w:rFonts w:ascii="Arial" w:hAnsi="Arial" w:cs="Arial"/>
              </w:rPr>
            </w:pPr>
            <w:r>
              <w:rPr>
                <w:rFonts w:cs="Arial" w:ascii="Arial" w:hAnsi="Arial"/>
              </w:rPr>
              <w:t>Timely execution of purchase orders (PO)</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pPr>
            <w:r>
              <w:rPr>
                <w:rFonts w:cs="Arial" w:ascii="Arial" w:hAnsi="Arial"/>
              </w:rPr>
              <w:t>Master data Management</w:t>
            </w:r>
          </w:p>
          <w:p>
            <w:pPr>
              <w:pStyle w:val="Normal"/>
              <w:spacing w:before="60" w:after="60"/>
              <w:ind w:start="28" w:end="0"/>
              <w:rPr>
                <w:rFonts w:ascii="Arial" w:hAnsi="Arial" w:cs="Arial"/>
              </w:rPr>
            </w:pPr>
            <w:r>
              <w:rPr>
                <w:rFonts w:cs="Arial" w:ascii="Arial" w:hAnsi="Arial"/>
              </w:rPr>
              <w:t>Manage approval flow  issues</w:t>
            </w:r>
          </w:p>
        </w:tc>
        <w:tc>
          <w:tcPr>
            <w:tcW w:w="1980" w:type="dxa"/>
            <w:vMerge w:val="restart"/>
            <w:tcBorders>
              <w:top w:val="single" w:sz="4" w:space="0" w:color="000000"/>
              <w:start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 xml:space="preserve">People, </w:t>
            </w:r>
          </w:p>
          <w:p>
            <w:pPr>
              <w:pStyle w:val="Normal"/>
              <w:spacing w:before="60" w:after="60"/>
              <w:ind w:start="28" w:end="0"/>
              <w:rPr>
                <w:rFonts w:ascii="Arial" w:hAnsi="Arial" w:cs="Arial"/>
              </w:rPr>
            </w:pPr>
            <w:r>
              <w:rPr>
                <w:rFonts w:cs="Arial" w:ascii="Arial" w:hAnsi="Arial"/>
              </w:rPr>
              <w:t>Offices</w:t>
            </w:r>
          </w:p>
          <w:p>
            <w:pPr>
              <w:pStyle w:val="Normal"/>
              <w:spacing w:before="60" w:after="60"/>
              <w:ind w:start="28" w:end="0"/>
              <w:rPr>
                <w:rFonts w:ascii="Arial" w:hAnsi="Arial" w:cs="Arial"/>
              </w:rPr>
            </w:pPr>
            <w:r>
              <w:rPr>
                <w:rFonts w:cs="Arial" w:ascii="Arial" w:hAnsi="Arial"/>
              </w:rPr>
              <w:t xml:space="preserve">Tel, Fax, </w:t>
            </w:r>
          </w:p>
          <w:p>
            <w:pPr>
              <w:pStyle w:val="Normal"/>
              <w:spacing w:before="60" w:after="60"/>
              <w:ind w:start="28" w:end="0"/>
              <w:rPr>
                <w:rFonts w:ascii="Arial" w:hAnsi="Arial" w:cs="Arial"/>
              </w:rPr>
            </w:pPr>
            <w:r>
              <w:rPr>
                <w:rFonts w:cs="Arial" w:ascii="Arial" w:hAnsi="Arial"/>
              </w:rPr>
              <w:t>PCs, laptops</w:t>
            </w:r>
          </w:p>
          <w:p>
            <w:pPr>
              <w:pStyle w:val="Normal"/>
              <w:spacing w:before="60" w:after="60"/>
              <w:ind w:start="28" w:end="0"/>
              <w:rPr>
                <w:rFonts w:ascii="Arial" w:hAnsi="Arial" w:cs="Arial"/>
              </w:rPr>
            </w:pPr>
            <w:r>
              <w:rPr>
                <w:rFonts w:cs="Arial" w:ascii="Arial" w:hAnsi="Arial"/>
              </w:rPr>
              <w:t>e-mail</w:t>
            </w:r>
          </w:p>
          <w:p>
            <w:pPr>
              <w:pStyle w:val="Normal"/>
              <w:spacing w:before="60" w:after="60"/>
              <w:ind w:start="28" w:end="0"/>
              <w:rPr>
                <w:rFonts w:ascii="Arial" w:hAnsi="Arial" w:cs="Arial"/>
              </w:rPr>
            </w:pPr>
            <w:r>
              <w:rPr>
                <w:rFonts w:cs="Arial" w:ascii="Arial" w:hAnsi="Arial"/>
              </w:rPr>
              <w:t>IT applications:</w:t>
            </w:r>
          </w:p>
          <w:p>
            <w:pPr>
              <w:pStyle w:val="Normal"/>
              <w:spacing w:before="60" w:after="60"/>
              <w:ind w:start="28" w:end="0"/>
              <w:rPr>
                <w:rFonts w:ascii="Arial" w:hAnsi="Arial" w:cs="Arial"/>
              </w:rPr>
            </w:pPr>
            <w:r>
              <w:rPr>
                <w:rFonts w:cs="Arial" w:ascii="Arial" w:hAnsi="Arial"/>
              </w:rPr>
              <w:t>ARIBA, SAP, ERP</w:t>
            </w:r>
          </w:p>
          <w:p>
            <w:pPr>
              <w:pStyle w:val="Normal"/>
              <w:spacing w:before="60" w:after="60"/>
              <w:ind w:start="28" w:end="0"/>
              <w:rPr>
                <w:rFonts w:ascii="Arial" w:hAnsi="Arial" w:cs="Arial"/>
              </w:rPr>
            </w:pPr>
            <w:r>
              <w:rPr>
                <w:rFonts w:cs="Arial" w:ascii="Arial" w:hAnsi="Arial"/>
              </w:rPr>
            </w:r>
          </w:p>
        </w:tc>
        <w:tc>
          <w:tcPr>
            <w:tcW w:w="2420" w:type="dxa"/>
            <w:vMerge w:val="restart"/>
            <w:tcBorders>
              <w:top w:val="single" w:sz="4" w:space="0" w:color="000000"/>
              <w:start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IT support</w:t>
            </w:r>
          </w:p>
          <w:p>
            <w:pPr>
              <w:pStyle w:val="Normal"/>
              <w:spacing w:before="60" w:after="60"/>
              <w:ind w:start="28" w:end="0"/>
              <w:rPr>
                <w:rFonts w:ascii="Arial" w:hAnsi="Arial" w:cs="Arial"/>
              </w:rPr>
            </w:pPr>
            <w:r>
              <w:rPr>
                <w:rFonts w:cs="Arial" w:ascii="Arial" w:hAnsi="Arial"/>
              </w:rPr>
              <w:t>Legal</w:t>
            </w:r>
          </w:p>
          <w:p>
            <w:pPr>
              <w:pStyle w:val="Normal"/>
              <w:spacing w:before="60" w:after="60"/>
              <w:ind w:start="28" w:end="0"/>
              <w:rPr>
                <w:rFonts w:ascii="Arial" w:hAnsi="Arial" w:cs="Arial"/>
                <w:b/>
              </w:rPr>
            </w:pPr>
            <w:r>
              <w:rPr>
                <w:rFonts w:cs="Arial" w:ascii="Arial" w:hAnsi="Arial"/>
              </w:rPr>
              <w:t>3rd party service providers</w:t>
            </w:r>
          </w:p>
        </w:tc>
      </w:tr>
      <w:tr>
        <w:trPr>
          <w:trHeight w:val="938" w:hRule="atLeast"/>
        </w:trPr>
        <w:tc>
          <w:tcPr>
            <w:tcW w:w="1438" w:type="dxa"/>
            <w:tcBorders>
              <w:start w:val="single" w:sz="4" w:space="0" w:color="000000"/>
              <w:end w:val="single" w:sz="4" w:space="0" w:color="000000"/>
            </w:tcBorders>
          </w:tcPr>
          <w:p>
            <w:pPr>
              <w:pStyle w:val="Normal"/>
              <w:snapToGrid w:val="false"/>
              <w:spacing w:before="60" w:after="60"/>
              <w:jc w:val="center"/>
              <w:rPr>
                <w:rFonts w:ascii="Arial" w:hAnsi="Arial" w:cs="Arial"/>
                <w:b/>
              </w:rPr>
            </w:pPr>
            <w:r>
              <w:rPr>
                <w:rFonts w:cs="Arial" w:ascii="Arial" w:hAnsi="Arial"/>
                <w:b/>
              </w:rPr>
            </w:r>
          </w:p>
        </w:tc>
        <w:tc>
          <w:tcPr>
            <w:tcW w:w="2299"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rPr>
            </w:pPr>
            <w:r>
              <w:rPr>
                <w:rFonts w:cs="Arial" w:ascii="Arial" w:hAnsi="Arial"/>
                <w:b/>
              </w:rPr>
              <w:t>Transactional buying</w:t>
            </w:r>
          </w:p>
          <w:p>
            <w:pPr>
              <w:pStyle w:val="Normal"/>
              <w:spacing w:before="60" w:after="60"/>
              <w:jc w:val="center"/>
              <w:rPr>
                <w:rFonts w:ascii="Arial" w:hAnsi="Arial" w:cs="Arial"/>
                <w:b/>
              </w:rPr>
            </w:pPr>
            <w:r>
              <w:rPr>
                <w:rFonts w:cs="Arial" w:ascii="Arial" w:hAnsi="Arial"/>
                <w:b/>
              </w:rPr>
            </w:r>
          </w:p>
        </w:tc>
        <w:tc>
          <w:tcPr>
            <w:tcW w:w="3283"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Assure timely placement of orders in the supply markets</w:t>
            </w:r>
          </w:p>
          <w:p>
            <w:pPr>
              <w:pStyle w:val="Normal"/>
              <w:spacing w:before="60" w:after="60"/>
              <w:ind w:start="28" w:end="0"/>
              <w:rPr>
                <w:rFonts w:ascii="Arial" w:hAnsi="Arial" w:cs="Arial"/>
              </w:rPr>
            </w:pPr>
            <w:r>
              <w:rPr>
                <w:rFonts w:cs="Arial" w:ascii="Arial" w:hAnsi="Arial"/>
              </w:rPr>
              <w:t>Timely communication with internal users/suppliers</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PO management in the ordering systems</w:t>
            </w:r>
          </w:p>
          <w:p>
            <w:pPr>
              <w:pStyle w:val="Normal"/>
              <w:spacing w:before="60" w:after="60"/>
              <w:ind w:start="28" w:end="0"/>
              <w:rPr>
                <w:rFonts w:ascii="Arial" w:hAnsi="Arial" w:cs="Arial"/>
              </w:rPr>
            </w:pPr>
            <w:r>
              <w:rPr>
                <w:rFonts w:cs="Arial" w:ascii="Arial" w:hAnsi="Arial"/>
              </w:rPr>
              <w:t>Internal and external communications</w:t>
            </w:r>
          </w:p>
        </w:tc>
        <w:tc>
          <w:tcPr>
            <w:tcW w:w="1980" w:type="dxa"/>
            <w:vMerge w:val="continue"/>
            <w:tcBorders>
              <w:top w:val="single" w:sz="4" w:space="0" w:color="000000"/>
              <w:start w:val="single" w:sz="4" w:space="0" w:color="000000"/>
              <w:end w:val="single" w:sz="4" w:space="0" w:color="000000"/>
            </w:tcBorders>
          </w:tcPr>
          <w:p>
            <w:pPr>
              <w:pStyle w:val="Normal"/>
              <w:snapToGrid w:val="false"/>
              <w:spacing w:before="60" w:after="60"/>
              <w:ind w:start="28" w:end="0"/>
              <w:jc w:val="center"/>
              <w:rPr>
                <w:rFonts w:ascii="Arial" w:hAnsi="Arial" w:cs="Arial"/>
                <w:b/>
              </w:rPr>
            </w:pPr>
            <w:r>
              <w:rPr>
                <w:rFonts w:cs="Arial" w:ascii="Arial" w:hAnsi="Arial"/>
                <w:b/>
              </w:rPr>
            </w:r>
          </w:p>
        </w:tc>
        <w:tc>
          <w:tcPr>
            <w:tcW w:w="2420" w:type="dxa"/>
            <w:vMerge w:val="continue"/>
            <w:tcBorders>
              <w:top w:val="single" w:sz="4" w:space="0" w:color="000000"/>
              <w:start w:val="single" w:sz="4" w:space="0" w:color="000000"/>
              <w:end w:val="single" w:sz="4" w:space="0" w:color="000000"/>
            </w:tcBorders>
          </w:tcPr>
          <w:p>
            <w:pPr>
              <w:pStyle w:val="Normal"/>
              <w:snapToGrid w:val="false"/>
              <w:spacing w:before="60" w:after="60"/>
              <w:ind w:start="28" w:end="0"/>
              <w:jc w:val="center"/>
              <w:rPr>
                <w:rFonts w:ascii="Arial" w:hAnsi="Arial" w:cs="Arial"/>
                <w:b/>
              </w:rPr>
            </w:pPr>
            <w:r>
              <w:rPr>
                <w:rFonts w:cs="Arial" w:ascii="Arial" w:hAnsi="Arial"/>
                <w:b/>
              </w:rPr>
            </w:r>
          </w:p>
        </w:tc>
      </w:tr>
      <w:tr>
        <w:trPr>
          <w:trHeight w:val="938" w:hRule="atLeast"/>
        </w:trPr>
        <w:tc>
          <w:tcPr>
            <w:tcW w:w="1438" w:type="dxa"/>
            <w:tcBorders>
              <w:start w:val="single" w:sz="4" w:space="0" w:color="000000"/>
              <w:bottom w:val="single" w:sz="4" w:space="0" w:color="000000"/>
              <w:end w:val="single" w:sz="4" w:space="0" w:color="000000"/>
            </w:tcBorders>
          </w:tcPr>
          <w:p>
            <w:pPr>
              <w:pStyle w:val="Normal"/>
              <w:snapToGrid w:val="false"/>
              <w:spacing w:before="60" w:after="60"/>
              <w:jc w:val="center"/>
              <w:rPr>
                <w:rFonts w:ascii="Arial" w:hAnsi="Arial" w:cs="Arial"/>
                <w:b/>
              </w:rPr>
            </w:pPr>
            <w:r>
              <w:rPr>
                <w:rFonts w:cs="Arial" w:ascii="Arial" w:hAnsi="Arial"/>
                <w:b/>
              </w:rPr>
            </w:r>
          </w:p>
        </w:tc>
        <w:tc>
          <w:tcPr>
            <w:tcW w:w="2299"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rPr>
            </w:pPr>
            <w:r>
              <w:rPr>
                <w:rFonts w:cs="Arial" w:ascii="Arial" w:hAnsi="Arial"/>
                <w:b/>
              </w:rPr>
              <w:t>Sourcing Management</w:t>
            </w:r>
          </w:p>
          <w:p>
            <w:pPr>
              <w:pStyle w:val="Normal"/>
              <w:spacing w:before="60" w:after="60"/>
              <w:jc w:val="center"/>
              <w:rPr>
                <w:rFonts w:ascii="Arial" w:hAnsi="Arial" w:cs="Arial"/>
                <w:b/>
              </w:rPr>
            </w:pPr>
            <w:r>
              <w:rPr>
                <w:rFonts w:cs="Arial" w:ascii="Arial" w:hAnsi="Arial"/>
                <w:b/>
              </w:rPr>
            </w:r>
          </w:p>
        </w:tc>
        <w:tc>
          <w:tcPr>
            <w:tcW w:w="3283"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 xml:space="preserve">Overall management of resources. </w:t>
            </w:r>
          </w:p>
          <w:p>
            <w:pPr>
              <w:pStyle w:val="Normal"/>
              <w:spacing w:before="60" w:after="60"/>
              <w:ind w:start="28" w:end="0"/>
              <w:rPr>
                <w:rFonts w:ascii="Arial" w:hAnsi="Arial" w:cs="Arial"/>
              </w:rPr>
            </w:pPr>
            <w:r>
              <w:rPr>
                <w:rFonts w:cs="Arial" w:ascii="Arial" w:hAnsi="Arial"/>
              </w:rPr>
              <w:t>Renewal of existing contracts and establishment of new contracts</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60" w:after="60"/>
              <w:ind w:start="28" w:end="0"/>
              <w:rPr>
                <w:rFonts w:ascii="Arial" w:hAnsi="Arial" w:cs="Arial"/>
              </w:rPr>
            </w:pPr>
            <w:r>
              <w:rPr>
                <w:rFonts w:cs="Arial" w:ascii="Arial" w:hAnsi="Arial"/>
              </w:rPr>
              <w:t>Leading and maintaining the sourcing and purchasing network</w:t>
            </w:r>
          </w:p>
          <w:p>
            <w:pPr>
              <w:pStyle w:val="Normal"/>
              <w:spacing w:before="60" w:after="60"/>
              <w:ind w:start="28" w:end="0"/>
              <w:rPr>
                <w:rFonts w:ascii="Arial" w:hAnsi="Arial" w:cs="Arial"/>
              </w:rPr>
            </w:pPr>
            <w:r>
              <w:rPr>
                <w:rFonts w:cs="Arial" w:ascii="Arial" w:hAnsi="Arial"/>
              </w:rPr>
              <w:t>Maintaining internal and external business contacts.</w:t>
            </w:r>
          </w:p>
          <w:p>
            <w:pPr>
              <w:pStyle w:val="Normal"/>
              <w:spacing w:before="60" w:after="60"/>
              <w:ind w:start="28" w:end="0"/>
              <w:rPr>
                <w:rFonts w:ascii="Arial" w:hAnsi="Arial" w:cs="Arial"/>
              </w:rPr>
            </w:pPr>
            <w:r>
              <w:rPr>
                <w:rFonts w:cs="Arial" w:ascii="Arial" w:hAnsi="Arial"/>
              </w:rPr>
              <w:t>Management of exceptional supply and demand situations.</w:t>
            </w:r>
          </w:p>
        </w:tc>
        <w:tc>
          <w:tcPr>
            <w:tcW w:w="1980" w:type="dxa"/>
            <w:vMerge w:val="continue"/>
            <w:tcBorders>
              <w:top w:val="single" w:sz="4" w:space="0" w:color="000000"/>
              <w:start w:val="single" w:sz="4" w:space="0" w:color="000000"/>
              <w:end w:val="single" w:sz="4" w:space="0" w:color="000000"/>
            </w:tcBorders>
          </w:tcPr>
          <w:p>
            <w:pPr>
              <w:pStyle w:val="Normal"/>
              <w:snapToGrid w:val="false"/>
              <w:spacing w:before="60" w:after="60"/>
              <w:ind w:start="28" w:end="0"/>
              <w:jc w:val="center"/>
              <w:rPr>
                <w:rFonts w:ascii="Arial" w:hAnsi="Arial" w:cs="Arial"/>
                <w:b/>
              </w:rPr>
            </w:pPr>
            <w:r>
              <w:rPr>
                <w:rFonts w:cs="Arial" w:ascii="Arial" w:hAnsi="Arial"/>
                <w:b/>
              </w:rPr>
            </w:r>
          </w:p>
        </w:tc>
        <w:tc>
          <w:tcPr>
            <w:tcW w:w="2420" w:type="dxa"/>
            <w:vMerge w:val="continue"/>
            <w:tcBorders>
              <w:top w:val="single" w:sz="4" w:space="0" w:color="000000"/>
              <w:start w:val="single" w:sz="4" w:space="0" w:color="000000"/>
              <w:end w:val="single" w:sz="4" w:space="0" w:color="000000"/>
            </w:tcBorders>
          </w:tcPr>
          <w:p>
            <w:pPr>
              <w:pStyle w:val="Normal"/>
              <w:snapToGrid w:val="false"/>
              <w:spacing w:before="60" w:after="60"/>
              <w:ind w:start="28" w:end="0"/>
              <w:jc w:val="center"/>
              <w:rPr>
                <w:rFonts w:ascii="Arial" w:hAnsi="Arial" w:cs="Arial"/>
                <w:b/>
              </w:rPr>
            </w:pPr>
            <w:r>
              <w:rPr>
                <w:rFonts w:cs="Arial" w:ascii="Arial" w:hAnsi="Arial"/>
                <w:b/>
              </w:rPr>
            </w:r>
          </w:p>
        </w:tc>
      </w:tr>
    </w:tbl>
    <w:p>
      <w:pPr>
        <w:pStyle w:val="Heading2Numbered"/>
        <w:numPr>
          <w:ilvl w:val="1"/>
          <w:numId w:val="12"/>
        </w:numPr>
        <w:ind w:hanging="0" w:start="0"/>
        <w:rPr/>
      </w:pPr>
      <w:r>
        <w:br w:type="page"/>
      </w:r>
      <w:bookmarkStart w:id="12" w:name="__RefHeading___Toc157842750"/>
      <w:bookmarkEnd w:id="12"/>
      <w:r>
        <w:rPr>
          <w:lang w:val="en-GB"/>
        </w:rPr>
        <w:t>Time Dependent Business Impact</w:t>
      </w:r>
    </w:p>
    <w:p>
      <w:pPr>
        <w:pStyle w:val="Normal"/>
        <w:rPr>
          <w:sz w:val="12"/>
        </w:rPr>
      </w:pPr>
      <w:r>
        <w:rPr>
          <w:sz w:val="12"/>
        </w:rPr>
      </w:r>
    </w:p>
    <w:tbl>
      <w:tblPr>
        <w:tblW w:w="13980" w:type="dxa"/>
        <w:jc w:val="start"/>
        <w:tblInd w:w="392" w:type="dxa"/>
        <w:tblLayout w:type="fixed"/>
        <w:tblCellMar>
          <w:top w:w="0" w:type="dxa"/>
          <w:start w:w="108" w:type="dxa"/>
          <w:bottom w:w="0" w:type="dxa"/>
          <w:end w:w="108" w:type="dxa"/>
        </w:tblCellMar>
      </w:tblPr>
      <w:tblGrid>
        <w:gridCol w:w="3369"/>
        <w:gridCol w:w="1734"/>
        <w:gridCol w:w="993"/>
        <w:gridCol w:w="992"/>
        <w:gridCol w:w="992"/>
        <w:gridCol w:w="1180"/>
        <w:gridCol w:w="1180"/>
        <w:gridCol w:w="1180"/>
        <w:gridCol w:w="1180"/>
        <w:gridCol w:w="1180"/>
      </w:tblGrid>
      <w:tr>
        <w:trPr/>
        <w:tc>
          <w:tcPr>
            <w:tcW w:w="336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OPERATIONAL IMPACT</w:t>
            </w:r>
          </w:p>
          <w:p>
            <w:pPr>
              <w:pStyle w:val="Normal"/>
              <w:spacing w:before="120" w:after="120"/>
              <w:jc w:val="center"/>
              <w:rPr>
                <w:rFonts w:ascii="Arial" w:hAnsi="Arial" w:cs="Arial"/>
                <w:sz w:val="16"/>
                <w:szCs w:val="16"/>
              </w:rPr>
            </w:pPr>
            <w:r>
              <w:rPr>
                <w:rFonts w:cs="Arial" w:ascii="Arial" w:hAnsi="Arial"/>
                <w:sz w:val="16"/>
                <w:szCs w:val="16"/>
              </w:rPr>
              <w:t>(1 Marginal / 4 catastrophic)</w:t>
            </w:r>
          </w:p>
        </w:tc>
        <w:tc>
          <w:tcPr>
            <w:tcW w:w="1734"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RELATIVE</w:t>
            </w:r>
          </w:p>
          <w:p>
            <w:pPr>
              <w:pStyle w:val="Normal"/>
              <w:jc w:val="center"/>
              <w:rPr>
                <w:rFonts w:ascii="Arial" w:hAnsi="Arial" w:cs="Arial"/>
                <w:b/>
              </w:rPr>
            </w:pPr>
            <w:r>
              <w:rPr>
                <w:rFonts w:cs="Arial" w:ascii="Arial" w:hAnsi="Arial"/>
                <w:b/>
              </w:rPr>
              <w:t>IMPORTANCE</w:t>
            </w:r>
          </w:p>
          <w:p>
            <w:pPr>
              <w:pStyle w:val="Normal"/>
              <w:spacing w:before="120" w:after="120"/>
              <w:jc w:val="center"/>
              <w:rPr>
                <w:rFonts w:ascii="Arial" w:hAnsi="Arial" w:cs="Arial"/>
                <w:sz w:val="16"/>
                <w:szCs w:val="16"/>
              </w:rPr>
            </w:pPr>
            <w:r>
              <w:rPr>
                <w:rFonts w:cs="Arial" w:ascii="Arial" w:hAnsi="Arial"/>
                <w:sz w:val="16"/>
                <w:szCs w:val="16"/>
              </w:rPr>
              <w:t>(0 – 10 high)</w:t>
            </w:r>
          </w:p>
        </w:tc>
        <w:tc>
          <w:tcPr>
            <w:tcW w:w="993"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&lt; 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1</w:t>
            </w:r>
          </w:p>
        </w:tc>
        <w:tc>
          <w:tcPr>
            <w:tcW w:w="99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DAY 2</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WEEK</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2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WEEKS</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1 MONTH</w:t>
            </w:r>
          </w:p>
        </w:tc>
        <w:tc>
          <w:tcPr>
            <w:tcW w:w="118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rPr>
            </w:pPr>
            <w:r>
              <w:rPr>
                <w:rFonts w:cs="Arial" w:ascii="Arial" w:hAnsi="Arial"/>
                <w:b/>
              </w:rPr>
              <w:t>3 MONTH</w:t>
            </w:r>
          </w:p>
        </w:tc>
      </w:tr>
      <w:tr>
        <w:trPr>
          <w:trHeight w:val="41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4"/>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rPr>
            </w:pPr>
            <w:r>
              <w:rPr>
                <w:rFonts w:cs="Arial" w:ascii="Arial" w:hAnsi="Arial"/>
              </w:rPr>
              <w:t xml:space="preserve">Order Placement and Management + Transactional Buying </w:t>
            </w:r>
          </w:p>
        </w:tc>
      </w:tr>
      <w:tr>
        <w:trPr>
          <w:trHeight w:val="41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Production delays</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4</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operating income</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of data / information</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rHeight w:val="316"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of know-how</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rHeight w:val="42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Legal actions</w:t>
            </w:r>
          </w:p>
          <w:p>
            <w:pPr>
              <w:pStyle w:val="Normal"/>
              <w:spacing w:before="120" w:after="120"/>
              <w:rPr>
                <w:rFonts w:ascii="Arial" w:hAnsi="Arial" w:cs="Arial"/>
                <w:sz w:val="18"/>
                <w:szCs w:val="18"/>
              </w:rPr>
            </w:pPr>
            <w:r>
              <w:rPr>
                <w:rFonts w:cs="Arial" w:ascii="Arial" w:hAnsi="Arial"/>
                <w:sz w:val="18"/>
                <w:szCs w:val="18"/>
              </w:rPr>
              <w:t>(due to disruption of payments)</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rHeight w:val="41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b/>
                <w:sz w:val="24"/>
              </w:rPr>
            </w:pPr>
            <w:r>
              <w:rPr>
                <w:rFonts w:cs="Arial" w:ascii="Arial" w:hAnsi="Arial"/>
                <w:b/>
                <w:sz w:val="24"/>
              </w:rPr>
              <w:t>Business Process</w:t>
            </w:r>
          </w:p>
        </w:tc>
        <w:tc>
          <w:tcPr>
            <w:tcW w:w="10611" w:type="dxa"/>
            <w:gridSpan w:val="9"/>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rPr>
            </w:pPr>
            <w:r>
              <w:rPr>
                <w:rFonts w:cs="Arial" w:ascii="Arial" w:hAnsi="Arial"/>
              </w:rPr>
              <w:t>Sourcing Management</w:t>
            </w:r>
          </w:p>
        </w:tc>
      </w:tr>
      <w:tr>
        <w:trPr>
          <w:trHeight w:val="41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Production delays</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operating income</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r>
      <w:tr>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of data / information</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r>
      <w:tr>
        <w:trPr>
          <w:trHeight w:val="316"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Loss of know-how</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4</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r>
        <w:trPr>
          <w:trHeight w:val="420" w:hRule="atLeast"/>
        </w:trPr>
        <w:tc>
          <w:tcPr>
            <w:tcW w:w="3369"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Legal actions</w:t>
            </w:r>
          </w:p>
          <w:p>
            <w:pPr>
              <w:pStyle w:val="Normal"/>
              <w:spacing w:before="120" w:after="120"/>
              <w:rPr>
                <w:rFonts w:ascii="Arial" w:hAnsi="Arial" w:cs="Arial"/>
                <w:sz w:val="18"/>
                <w:szCs w:val="18"/>
              </w:rPr>
            </w:pPr>
            <w:r>
              <w:rPr>
                <w:rFonts w:cs="Arial" w:ascii="Arial" w:hAnsi="Arial"/>
                <w:sz w:val="18"/>
                <w:szCs w:val="18"/>
              </w:rPr>
              <w:t>(due to disruption of payments)</w:t>
            </w:r>
          </w:p>
        </w:tc>
        <w:tc>
          <w:tcPr>
            <w:tcW w:w="1734"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3</w:t>
            </w:r>
          </w:p>
        </w:tc>
        <w:tc>
          <w:tcPr>
            <w:tcW w:w="993"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992"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1</w:t>
            </w:r>
          </w:p>
        </w:tc>
        <w:tc>
          <w:tcPr>
            <w:tcW w:w="118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18"/>
                <w:szCs w:val="18"/>
              </w:rPr>
            </w:pPr>
            <w:r>
              <w:rPr>
                <w:rFonts w:cs="Arial" w:ascii="Arial" w:hAnsi="Arial"/>
                <w:sz w:val="18"/>
                <w:szCs w:val="18"/>
              </w:rPr>
              <w:t>2</w:t>
            </w:r>
          </w:p>
        </w:tc>
      </w:tr>
    </w:tbl>
    <w:p>
      <w:pPr>
        <w:pStyle w:val="Normal"/>
        <w:rPr/>
      </w:pPr>
      <w:r>
        <w:rPr/>
      </w:r>
    </w:p>
    <w:p>
      <w:pPr>
        <w:pStyle w:val="Heading2Numbered"/>
        <w:numPr>
          <w:ilvl w:val="1"/>
          <w:numId w:val="12"/>
        </w:numPr>
        <w:ind w:hanging="0" w:start="0"/>
        <w:rPr/>
      </w:pPr>
      <w:bookmarkStart w:id="13" w:name="__RefHeading___Toc157842751"/>
      <w:bookmarkEnd w:id="13"/>
      <w:r>
        <w:rPr/>
        <w:t>Business Recovery</w:t>
      </w:r>
    </w:p>
    <w:p>
      <w:pPr>
        <w:pStyle w:val="TableText"/>
        <w:rPr/>
      </w:pPr>
      <w:r>
        <w:rPr/>
        <w:t>The following table list per sub-process resumes the business impact (highest possible impact on business process from a time-dependent view), and indicates after which time the backlog to be processed has become insurmountable. In addition, Max. Tolerable Downtime (MTD), Recovery Time Objective (RTO) and Recovery Point Objective (RPO) are stated.</w:t>
      </w:r>
    </w:p>
    <w:p>
      <w:pPr>
        <w:pStyle w:val="OmniPage7"/>
        <w:rPr>
          <w:sz w:val="2"/>
        </w:rPr>
      </w:pPr>
      <w:r>
        <w:rPr>
          <w:sz w:val="2"/>
        </w:rPr>
      </w:r>
      <w:r>
        <mc:AlternateContent>
          <mc:Choice Requires="wps">
            <w:drawing>
              <wp:anchor behindDoc="0" distT="127635" distB="127635" distL="127635" distR="127635" simplePos="0" locked="0" layoutInCell="0" allowOverlap="1" relativeHeight="4">
                <wp:simplePos x="0" y="0"/>
                <wp:positionH relativeFrom="page">
                  <wp:posOffset>9738360</wp:posOffset>
                </wp:positionH>
                <wp:positionV relativeFrom="page">
                  <wp:posOffset>1322705</wp:posOffset>
                </wp:positionV>
                <wp:extent cx="207010" cy="127635"/>
                <wp:effectExtent l="0" t="0" r="0" b="0"/>
                <wp:wrapSquare wrapText="bothSides"/>
                <wp:docPr id="8" name="Frame3"/>
                <a:graphic xmlns:a="http://schemas.openxmlformats.org/drawingml/2006/main">
                  <a:graphicData uri="http://schemas.microsoft.com/office/word/2010/wordprocessingShape">
                    <wps:wsp>
                      <wps:cNvSpPr txBox="1"/>
                      <wps:spPr>
                        <a:xfrm>
                          <a:off x="0" y="0"/>
                          <a:ext cx="207010" cy="127635"/>
                        </a:xfrm>
                        <a:prstGeom prst="rect"/>
                        <a:solidFill>
                          <a:srgbClr val="FFFFFF">
                            <a:alpha val="0"/>
                          </a:srgbClr>
                        </a:solidFill>
                      </wps:spPr>
                      <wps:txbx>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wps:txbx>
                      <wps:bodyPr anchor="t" lIns="0" tIns="0" rIns="0" bIns="0">
                        <a:noAutofit/>
                      </wps:bodyPr>
                    </wps:wsp>
                  </a:graphicData>
                </a:graphic>
              </wp:anchor>
            </w:drawing>
          </mc:Choice>
          <mc:Fallback>
            <w:pict>
              <v:rect fillcolor="#FFFFFF" style="position:absolute;rotation:-0;width:16.3pt;height:10.05pt;mso-wrap-distance-left:10.05pt;mso-wrap-distance-right:10.05pt;mso-wrap-distance-top:10.05pt;mso-wrap-distance-bottom:10.05pt;margin-top:104.15pt;mso-position-vertical-relative:page;margin-left:766.8pt;mso-position-horizontal-relative:page">
                <v:fill opacity="0f"/>
                <v:textbox inset="0in,0in,0in,0in">
                  <w:txbxContent>
                    <w:p>
                      <w:pPr>
                        <w:pStyle w:val="OmniPage7"/>
                        <w:ind w:start="50" w:end="50"/>
                        <w:rPr>
                          <w:sz w:val="18"/>
                        </w:rPr>
                      </w:pPr>
                      <w:r>
                        <w:rPr>
                          <w:sz w:val="18"/>
                        </w:rPr>
                      </w:r>
                    </w:p>
                    <w:p>
                      <w:pPr>
                        <w:pStyle w:val="OmniPage7"/>
                        <w:ind w:start="50" w:end="50"/>
                        <w:rPr>
                          <w:sz w:val="18"/>
                        </w:rPr>
                      </w:pPr>
                      <w:r>
                        <w:rPr>
                          <w:sz w:val="18"/>
                        </w:rPr>
                      </w:r>
                    </w:p>
                    <w:p>
                      <w:pPr>
                        <w:pStyle w:val="OmniPage7"/>
                        <w:ind w:start="50" w:end="50"/>
                        <w:rPr>
                          <w:sz w:val="18"/>
                        </w:rPr>
                      </w:pPr>
                      <w:r>
                        <w:rPr>
                          <w:sz w:val="18"/>
                        </w:rPr>
                        <w:t>r</w:t>
                      </w:r>
                    </w:p>
                  </w:txbxContent>
                </v:textbox>
                <w10:wrap type="square"/>
              </v:rect>
            </w:pict>
          </mc:Fallback>
        </mc:AlternateContent>
      </w:r>
    </w:p>
    <w:tbl>
      <w:tblPr>
        <w:tblW w:w="14220" w:type="dxa"/>
        <w:jc w:val="start"/>
        <w:tblInd w:w="5" w:type="dxa"/>
        <w:tblLayout w:type="fixed"/>
        <w:tblCellMar>
          <w:top w:w="0" w:type="dxa"/>
          <w:start w:w="5" w:type="dxa"/>
          <w:bottom w:w="0" w:type="dxa"/>
          <w:end w:w="5" w:type="dxa"/>
        </w:tblCellMar>
      </w:tblPr>
      <w:tblGrid>
        <w:gridCol w:w="1219"/>
        <w:gridCol w:w="1481"/>
        <w:gridCol w:w="894"/>
        <w:gridCol w:w="872"/>
        <w:gridCol w:w="872"/>
        <w:gridCol w:w="872"/>
        <w:gridCol w:w="872"/>
        <w:gridCol w:w="1636"/>
        <w:gridCol w:w="3342"/>
        <w:gridCol w:w="2160"/>
      </w:tblGrid>
      <w:tr>
        <w:trPr/>
        <w:tc>
          <w:tcPr>
            <w:tcW w:w="1219"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Business</w:t>
            </w:r>
          </w:p>
          <w:p>
            <w:pPr>
              <w:pStyle w:val="Normal"/>
              <w:spacing w:before="120" w:after="120"/>
              <w:jc w:val="center"/>
              <w:rPr>
                <w:rFonts w:ascii="Arial" w:hAnsi="Arial" w:cs="Arial"/>
                <w:b/>
                <w:sz w:val="20"/>
                <w:szCs w:val="20"/>
              </w:rPr>
            </w:pPr>
            <w:r>
              <w:rPr>
                <w:rFonts w:cs="Arial" w:ascii="Arial" w:hAnsi="Arial"/>
                <w:b/>
                <w:sz w:val="20"/>
                <w:szCs w:val="20"/>
              </w:rPr>
              <w:t>Process</w:t>
            </w:r>
          </w:p>
        </w:tc>
        <w:tc>
          <w:tcPr>
            <w:tcW w:w="1481"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Sub-process</w:t>
            </w:r>
          </w:p>
        </w:tc>
        <w:tc>
          <w:tcPr>
            <w:tcW w:w="894"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Time of</w:t>
            </w:r>
          </w:p>
          <w:p>
            <w:pPr>
              <w:pStyle w:val="Normal"/>
              <w:spacing w:before="120" w:after="120"/>
              <w:jc w:val="center"/>
              <w:rPr>
                <w:rFonts w:ascii="Arial" w:hAnsi="Arial" w:cs="Arial"/>
                <w:b/>
                <w:sz w:val="20"/>
                <w:szCs w:val="20"/>
              </w:rPr>
            </w:pPr>
            <w:r>
              <w:rPr>
                <w:rFonts w:cs="Arial" w:ascii="Arial" w:hAnsi="Arial"/>
                <w:b/>
                <w:sz w:val="20"/>
                <w:szCs w:val="20"/>
              </w:rPr>
              <w:t>Impact</w:t>
            </w:r>
          </w:p>
        </w:tc>
        <w:tc>
          <w:tcPr>
            <w:tcW w:w="87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day</w:t>
            </w:r>
          </w:p>
        </w:tc>
        <w:tc>
          <w:tcPr>
            <w:tcW w:w="87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week</w:t>
            </w:r>
          </w:p>
        </w:tc>
        <w:tc>
          <w:tcPr>
            <w:tcW w:w="87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1</w:t>
            </w:r>
          </w:p>
          <w:p>
            <w:pPr>
              <w:pStyle w:val="Normal"/>
              <w:spacing w:before="120" w:after="120"/>
              <w:jc w:val="center"/>
              <w:rPr>
                <w:rFonts w:ascii="Arial" w:hAnsi="Arial" w:cs="Arial"/>
                <w:b/>
                <w:sz w:val="20"/>
                <w:szCs w:val="20"/>
              </w:rPr>
            </w:pPr>
            <w:r>
              <w:rPr>
                <w:rFonts w:cs="Arial" w:ascii="Arial" w:hAnsi="Arial"/>
                <w:b/>
                <w:sz w:val="20"/>
                <w:szCs w:val="20"/>
              </w:rPr>
              <w:t>month</w:t>
            </w:r>
          </w:p>
        </w:tc>
        <w:tc>
          <w:tcPr>
            <w:tcW w:w="87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3</w:t>
            </w:r>
          </w:p>
          <w:p>
            <w:pPr>
              <w:pStyle w:val="Normal"/>
              <w:spacing w:before="120" w:after="120"/>
              <w:jc w:val="center"/>
              <w:rPr>
                <w:rFonts w:ascii="Arial" w:hAnsi="Arial" w:cs="Arial"/>
                <w:b/>
                <w:sz w:val="20"/>
                <w:szCs w:val="20"/>
              </w:rPr>
            </w:pPr>
            <w:r>
              <w:rPr>
                <w:rFonts w:cs="Arial" w:ascii="Arial" w:hAnsi="Arial"/>
                <w:b/>
                <w:sz w:val="20"/>
                <w:szCs w:val="20"/>
              </w:rPr>
              <w:t>months and over</w:t>
            </w:r>
          </w:p>
        </w:tc>
        <w:tc>
          <w:tcPr>
            <w:tcW w:w="1636"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Backlog</w:t>
            </w:r>
          </w:p>
          <w:p>
            <w:pPr>
              <w:pStyle w:val="Normal"/>
              <w:spacing w:before="120" w:after="120"/>
              <w:jc w:val="center"/>
              <w:rPr>
                <w:rFonts w:ascii="Arial" w:hAnsi="Arial" w:cs="Arial"/>
                <w:b/>
                <w:sz w:val="20"/>
                <w:szCs w:val="20"/>
              </w:rPr>
            </w:pPr>
            <w:r>
              <w:rPr>
                <w:rFonts w:cs="Arial" w:ascii="Arial" w:hAnsi="Arial"/>
                <w:b/>
                <w:sz w:val="20"/>
                <w:szCs w:val="20"/>
              </w:rPr>
              <w:t>Insurmountable</w:t>
            </w:r>
          </w:p>
        </w:tc>
        <w:tc>
          <w:tcPr>
            <w:tcW w:w="3342"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Max. Tolerable Downtime (MTD),</w:t>
            </w:r>
          </w:p>
          <w:p>
            <w:pPr>
              <w:pStyle w:val="Normal"/>
              <w:jc w:val="center"/>
              <w:rPr/>
            </w:pPr>
            <w:r>
              <w:rPr>
                <w:rFonts w:cs="Arial" w:ascii="Arial" w:hAnsi="Arial"/>
                <w:b/>
                <w:sz w:val="20"/>
                <w:szCs w:val="20"/>
              </w:rPr>
              <w:t>Recovery Time Objective (RTO)</w:t>
            </w:r>
          </w:p>
          <w:p>
            <w:pPr>
              <w:pStyle w:val="Normal"/>
              <w:spacing w:before="120" w:after="120"/>
              <w:jc w:val="center"/>
              <w:rPr/>
            </w:pPr>
            <w:r>
              <w:rPr>
                <w:rFonts w:cs="Arial" w:ascii="Arial" w:hAnsi="Arial"/>
                <w:b/>
                <w:sz w:val="20"/>
                <w:szCs w:val="20"/>
              </w:rPr>
              <w:t>Recovery Point Objective (RPO)</w:t>
            </w:r>
          </w:p>
        </w:tc>
        <w:tc>
          <w:tcPr>
            <w:tcW w:w="2160" w:type="dxa"/>
            <w:tcBorders>
              <w:top w:val="single" w:sz="4" w:space="0" w:color="000000"/>
              <w:start w:val="single" w:sz="4" w:space="0" w:color="000000"/>
              <w:bottom w:val="single" w:sz="4" w:space="0" w:color="000000"/>
              <w:end w:val="single" w:sz="4" w:space="0" w:color="000000"/>
            </w:tcBorders>
            <w:shd w:fill="CCFFCC" w:val="clear"/>
          </w:tcPr>
          <w:p>
            <w:pPr>
              <w:pStyle w:val="Normal"/>
              <w:spacing w:before="120" w:after="120"/>
              <w:jc w:val="center"/>
              <w:rPr>
                <w:rFonts w:ascii="Arial" w:hAnsi="Arial" w:cs="Arial"/>
                <w:b/>
                <w:sz w:val="20"/>
                <w:szCs w:val="20"/>
              </w:rPr>
            </w:pPr>
            <w:r>
              <w:rPr>
                <w:rFonts w:cs="Arial" w:ascii="Arial" w:hAnsi="Arial"/>
                <w:b/>
                <w:sz w:val="20"/>
                <w:szCs w:val="20"/>
              </w:rPr>
              <w:t>Comments</w:t>
            </w:r>
          </w:p>
        </w:tc>
      </w:tr>
      <w:tr>
        <w:trPr>
          <w:trHeight w:val="891" w:hRule="atLeast"/>
        </w:trPr>
        <w:tc>
          <w:tcPr>
            <w:tcW w:w="1219"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sz w:val="20"/>
                <w:szCs w:val="20"/>
              </w:rPr>
              <w:t>Indirect Purchasing</w:t>
            </w:r>
          </w:p>
        </w:tc>
        <w:tc>
          <w:tcPr>
            <w:tcW w:w="1481"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sz w:val="20"/>
                <w:szCs w:val="20"/>
              </w:rPr>
              <w:t xml:space="preserve">Order placement </w:t>
            </w:r>
          </w:p>
        </w:tc>
        <w:tc>
          <w:tcPr>
            <w:tcW w:w="894"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20"/>
                <w:szCs w:val="20"/>
              </w:rPr>
              <w:t>Ongoing</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1636"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 month</w:t>
            </w:r>
          </w:p>
        </w:tc>
        <w:tc>
          <w:tcPr>
            <w:tcW w:w="334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1 month</w:t>
            </w:r>
          </w:p>
          <w:p>
            <w:pPr>
              <w:pStyle w:val="Normal"/>
              <w:jc w:val="center"/>
              <w:rPr>
                <w:rFonts w:ascii="Arial" w:hAnsi="Arial" w:cs="Arial"/>
                <w:sz w:val="20"/>
                <w:szCs w:val="20"/>
              </w:rPr>
            </w:pPr>
            <w:r>
              <w:rPr>
                <w:rFonts w:cs="Arial" w:ascii="Arial" w:hAnsi="Arial"/>
                <w:sz w:val="20"/>
                <w:szCs w:val="20"/>
              </w:rPr>
              <w:t>RTO 1 week</w:t>
            </w:r>
          </w:p>
          <w:p>
            <w:pPr>
              <w:pStyle w:val="Normal"/>
              <w:spacing w:before="120" w:after="120"/>
              <w:jc w:val="center"/>
              <w:rPr>
                <w:rFonts w:ascii="Arial" w:hAnsi="Arial" w:cs="Arial"/>
                <w:sz w:val="20"/>
                <w:szCs w:val="20"/>
              </w:rPr>
            </w:pPr>
            <w:r>
              <w:rPr>
                <w:rFonts w:cs="Arial" w:ascii="Arial" w:hAnsi="Arial"/>
                <w:sz w:val="20"/>
                <w:szCs w:val="20"/>
              </w:rPr>
              <w:t>RPO 2 weeks</w:t>
            </w:r>
          </w:p>
        </w:tc>
        <w:tc>
          <w:tcPr>
            <w:tcW w:w="21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r>
        <w:trPr>
          <w:trHeight w:val="617" w:hRule="atLeast"/>
        </w:trPr>
        <w:tc>
          <w:tcPr>
            <w:tcW w:w="121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spacing w:before="120" w:after="120"/>
              <w:rPr>
                <w:rFonts w:ascii="Arial" w:hAnsi="Arial" w:cs="Arial"/>
                <w:sz w:val="20"/>
                <w:szCs w:val="20"/>
              </w:rPr>
            </w:pPr>
            <w:r>
              <w:rPr>
                <w:rFonts w:cs="Arial" w:ascii="Arial" w:hAnsi="Arial"/>
                <w:sz w:val="20"/>
                <w:szCs w:val="20"/>
              </w:rPr>
            </w:r>
          </w:p>
        </w:tc>
        <w:tc>
          <w:tcPr>
            <w:tcW w:w="1481"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sz w:val="20"/>
                <w:szCs w:val="20"/>
              </w:rPr>
              <w:t>Transactional buying</w:t>
            </w:r>
          </w:p>
        </w:tc>
        <w:tc>
          <w:tcPr>
            <w:tcW w:w="894"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20"/>
                <w:szCs w:val="20"/>
              </w:rPr>
              <w:t>Ongoing</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1636"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&gt;1 month</w:t>
            </w:r>
          </w:p>
        </w:tc>
        <w:tc>
          <w:tcPr>
            <w:tcW w:w="334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3 months</w:t>
            </w:r>
          </w:p>
          <w:p>
            <w:pPr>
              <w:pStyle w:val="Normal"/>
              <w:jc w:val="center"/>
              <w:rPr>
                <w:rFonts w:ascii="Arial" w:hAnsi="Arial" w:cs="Arial"/>
                <w:sz w:val="20"/>
                <w:szCs w:val="20"/>
              </w:rPr>
            </w:pPr>
            <w:r>
              <w:rPr>
                <w:rFonts w:cs="Arial" w:ascii="Arial" w:hAnsi="Arial"/>
                <w:sz w:val="20"/>
                <w:szCs w:val="20"/>
              </w:rPr>
              <w:t>RTO 1 week</w:t>
            </w:r>
          </w:p>
          <w:p>
            <w:pPr>
              <w:pStyle w:val="Normal"/>
              <w:spacing w:before="120" w:after="120"/>
              <w:jc w:val="center"/>
              <w:rPr>
                <w:rFonts w:ascii="Arial" w:hAnsi="Arial" w:cs="Arial"/>
                <w:sz w:val="20"/>
                <w:szCs w:val="20"/>
              </w:rPr>
            </w:pPr>
            <w:r>
              <w:rPr>
                <w:rFonts w:cs="Arial" w:ascii="Arial" w:hAnsi="Arial"/>
                <w:sz w:val="20"/>
                <w:szCs w:val="20"/>
              </w:rPr>
              <w:t>RPO 2 weeks</w:t>
            </w:r>
          </w:p>
        </w:tc>
        <w:tc>
          <w:tcPr>
            <w:tcW w:w="21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r>
        <w:trPr/>
        <w:tc>
          <w:tcPr>
            <w:tcW w:w="1219"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spacing w:before="120" w:after="120"/>
              <w:rPr>
                <w:rFonts w:ascii="Arial" w:hAnsi="Arial" w:cs="Arial"/>
                <w:sz w:val="20"/>
                <w:szCs w:val="20"/>
              </w:rPr>
            </w:pPr>
            <w:r>
              <w:rPr>
                <w:rFonts w:cs="Arial" w:ascii="Arial" w:hAnsi="Arial"/>
                <w:sz w:val="20"/>
                <w:szCs w:val="20"/>
              </w:rPr>
            </w:r>
          </w:p>
        </w:tc>
        <w:tc>
          <w:tcPr>
            <w:tcW w:w="1481"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rFonts w:ascii="Arial" w:hAnsi="Arial" w:cs="Arial"/>
                <w:sz w:val="20"/>
                <w:szCs w:val="20"/>
              </w:rPr>
            </w:pPr>
            <w:r>
              <w:rPr>
                <w:rFonts w:cs="Arial" w:ascii="Arial" w:hAnsi="Arial"/>
                <w:sz w:val="20"/>
                <w:szCs w:val="20"/>
              </w:rPr>
              <w:t>Sourcing management</w:t>
            </w:r>
          </w:p>
        </w:tc>
        <w:tc>
          <w:tcPr>
            <w:tcW w:w="894"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rFonts w:cs="Arial" w:ascii="Arial" w:hAnsi="Arial"/>
                <w:sz w:val="20"/>
                <w:szCs w:val="20"/>
              </w:rPr>
              <w:t>Ongoing</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1</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87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2</w:t>
            </w:r>
          </w:p>
        </w:tc>
        <w:tc>
          <w:tcPr>
            <w:tcW w:w="1636"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&gt;3 month</w:t>
            </w:r>
          </w:p>
        </w:tc>
        <w:tc>
          <w:tcPr>
            <w:tcW w:w="3342"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rFonts w:ascii="Arial" w:hAnsi="Arial" w:cs="Arial"/>
                <w:sz w:val="20"/>
                <w:szCs w:val="20"/>
              </w:rPr>
            </w:pPr>
            <w:r>
              <w:rPr>
                <w:rFonts w:cs="Arial" w:ascii="Arial" w:hAnsi="Arial"/>
                <w:sz w:val="20"/>
                <w:szCs w:val="20"/>
              </w:rPr>
              <w:t>MTD 3 months</w:t>
            </w:r>
          </w:p>
          <w:p>
            <w:pPr>
              <w:pStyle w:val="Normal"/>
              <w:jc w:val="center"/>
              <w:rPr>
                <w:rFonts w:ascii="Arial" w:hAnsi="Arial" w:cs="Arial"/>
                <w:sz w:val="20"/>
                <w:szCs w:val="20"/>
              </w:rPr>
            </w:pPr>
            <w:r>
              <w:rPr>
                <w:rFonts w:cs="Arial" w:ascii="Arial" w:hAnsi="Arial"/>
                <w:sz w:val="20"/>
                <w:szCs w:val="20"/>
              </w:rPr>
              <w:t>RTO 1 week</w:t>
            </w:r>
          </w:p>
          <w:p>
            <w:pPr>
              <w:pStyle w:val="Normal"/>
              <w:spacing w:before="120" w:after="120"/>
              <w:jc w:val="center"/>
              <w:rPr>
                <w:rFonts w:ascii="Arial" w:hAnsi="Arial" w:cs="Arial"/>
                <w:sz w:val="20"/>
                <w:szCs w:val="20"/>
              </w:rPr>
            </w:pPr>
            <w:r>
              <w:rPr>
                <w:rFonts w:cs="Arial" w:ascii="Arial" w:hAnsi="Arial"/>
                <w:sz w:val="20"/>
                <w:szCs w:val="20"/>
              </w:rPr>
              <w:t>RPO 2 weeks</w:t>
            </w:r>
          </w:p>
        </w:tc>
        <w:tc>
          <w:tcPr>
            <w:tcW w:w="21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0"/>
                <w:szCs w:val="20"/>
              </w:rPr>
            </w:pPr>
            <w:r>
              <w:rPr>
                <w:rFonts w:cs="Arial" w:ascii="Arial" w:hAnsi="Arial"/>
                <w:sz w:val="20"/>
                <w:szCs w:val="20"/>
              </w:rPr>
            </w:r>
          </w:p>
        </w:tc>
      </w:tr>
    </w:tbl>
    <w:p>
      <w:pPr>
        <w:sectPr>
          <w:headerReference w:type="default" r:id="rId8"/>
          <w:headerReference w:type="first" r:id="rId9"/>
          <w:footerReference w:type="default" r:id="rId10"/>
          <w:footerReference w:type="first" r:id="rId11"/>
          <w:footnotePr>
            <w:numFmt w:val="decimal"/>
          </w:footnotePr>
          <w:type w:val="nextPage"/>
          <w:pgSz w:orient="landscape" w:w="15840" w:h="12240"/>
          <w:pgMar w:left="567" w:right="567" w:gutter="0" w:header="708" w:top="764" w:footer="708" w:bottom="764"/>
          <w:pgNumType w:fmt="decimal"/>
          <w:formProt w:val="false"/>
          <w:textDirection w:val="lrTb"/>
          <w:docGrid w:type="default" w:linePitch="360" w:charSpace="0"/>
        </w:sectPr>
        <w:pStyle w:val="BodyText"/>
        <w:ind w:start="0" w:end="0"/>
        <w:rPr/>
      </w:pPr>
      <w:r>
        <w:rPr/>
      </w:r>
    </w:p>
    <w:p>
      <w:pPr>
        <w:pStyle w:val="Heading1Numbered"/>
        <w:numPr>
          <w:ilvl w:val="0"/>
          <w:numId w:val="12"/>
        </w:numPr>
        <w:tabs>
          <w:tab w:val="clear" w:pos="720"/>
          <w:tab w:val="left" w:pos="1440" w:leader="none"/>
        </w:tabs>
        <w:ind w:hanging="540" w:start="1440" w:end="0"/>
        <w:rPr/>
      </w:pPr>
      <w:bookmarkStart w:id="14" w:name="__RefHeading___Toc157842752"/>
      <w:bookmarkEnd w:id="14"/>
      <w:r>
        <w:rPr/>
        <w:t>ServicePro BCP solution</w:t>
      </w:r>
    </w:p>
    <w:p>
      <w:pPr>
        <w:pStyle w:val="Heading3Numbered"/>
        <w:numPr>
          <w:ilvl w:val="2"/>
          <w:numId w:val="12"/>
        </w:numPr>
        <w:tabs>
          <w:tab w:val="clear" w:pos="720"/>
          <w:tab w:val="left" w:pos="1620" w:leader="none"/>
        </w:tabs>
        <w:spacing w:before="240" w:after="120"/>
        <w:ind w:hanging="720" w:start="1620" w:end="0"/>
        <w:rPr/>
      </w:pPr>
      <w:r>
        <w:rPr/>
        <w:t>The Service Provider</w:t>
      </w:r>
      <w:r>
        <w:rPr>
          <w:rFonts w:cs="Times New Roman" w:ascii="Times New Roman" w:hAnsi="Times New Roman"/>
        </w:rPr>
        <w:t>’</w:t>
      </w:r>
      <w:r>
        <w:rPr/>
        <w:t>s responsibilities include, but are not limited to:</w:t>
      </w:r>
    </w:p>
    <w:p>
      <w:pPr>
        <w:pStyle w:val="Heading3Numbered"/>
        <w:numPr>
          <w:ilvl w:val="2"/>
          <w:numId w:val="12"/>
        </w:numPr>
        <w:tabs>
          <w:tab w:val="clear" w:pos="720"/>
          <w:tab w:val="left" w:pos="1620" w:leader="none"/>
        </w:tabs>
        <w:spacing w:before="240" w:after="120"/>
        <w:ind w:hanging="720" w:start="1620" w:end="0"/>
        <w:rPr/>
      </w:pPr>
      <w:r>
        <w:rPr/>
        <w:t>Review and provide input to GlobalPharma about measures and details of the portion of the Business Continuity Plans and activities that relate to the provisioning of the Services in accordance with the appropriate section of The Agreement.</w:t>
      </w:r>
    </w:p>
    <w:p>
      <w:pPr>
        <w:pStyle w:val="Heading3Numbered"/>
        <w:numPr>
          <w:ilvl w:val="2"/>
          <w:numId w:val="12"/>
        </w:numPr>
        <w:tabs>
          <w:tab w:val="clear" w:pos="720"/>
          <w:tab w:val="left" w:pos="1620" w:leader="none"/>
        </w:tabs>
        <w:spacing w:before="240" w:after="120"/>
        <w:ind w:hanging="720" w:start="1620" w:end="0"/>
        <w:rPr/>
      </w:pPr>
      <w:r>
        <w:rPr/>
        <w:t>Provide risk mitigation strategies to reduce risk for approval by GlobalPharma within 30 days after commencement date.</w:t>
      </w:r>
    </w:p>
    <w:p>
      <w:pPr>
        <w:pStyle w:val="Heading3Numbered"/>
        <w:numPr>
          <w:ilvl w:val="2"/>
          <w:numId w:val="12"/>
        </w:numPr>
        <w:tabs>
          <w:tab w:val="clear" w:pos="720"/>
          <w:tab w:val="left" w:pos="1620" w:leader="none"/>
        </w:tabs>
        <w:spacing w:before="240" w:after="120"/>
        <w:ind w:hanging="720" w:start="1620" w:end="0"/>
        <w:rPr/>
      </w:pPr>
      <w:r>
        <w:rPr/>
        <w:t>Provide business restoration strategy (incl. back up sites – inter and intra city, Telecom, software and IT hardware back up, timelines for restoration of activities, Critical processes and data back up, incl. critical vendor lists, communication to GlobalPharma in case of event and media handling guidelines) to get operations back on stream as soon as possible for approval by GlobalPharma within 30 days after Commencement Date.</w:t>
      </w:r>
    </w:p>
    <w:p>
      <w:pPr>
        <w:pStyle w:val="Heading3Numbered"/>
        <w:numPr>
          <w:ilvl w:val="2"/>
          <w:numId w:val="12"/>
        </w:numPr>
        <w:tabs>
          <w:tab w:val="clear" w:pos="720"/>
          <w:tab w:val="left" w:pos="1620" w:leader="none"/>
        </w:tabs>
        <w:spacing w:before="240" w:after="120"/>
        <w:ind w:hanging="720" w:start="1620" w:end="0"/>
        <w:rPr/>
      </w:pPr>
      <w:r>
        <w:rPr/>
        <w:t>Provide a solution which will meet GlobalPharma’s Business Recovery requirements, as specified above</w:t>
      </w:r>
      <w:r>
        <w:rPr>
          <w:rFonts w:cs="Times New Roman" w:ascii="Times New Roman" w:hAnsi="Times New Roman"/>
        </w:rPr>
      </w:r>
      <w:r>
        <w:rPr/>
      </w:r>
    </w:p>
    <w:p>
      <w:pPr>
        <w:pStyle w:val="Heading3Numbered"/>
        <w:numPr>
          <w:ilvl w:val="2"/>
          <w:numId w:val="12"/>
        </w:numPr>
        <w:tabs>
          <w:tab w:val="clear" w:pos="720"/>
          <w:tab w:val="left" w:pos="1620" w:leader="none"/>
        </w:tabs>
        <w:spacing w:before="240" w:after="120"/>
        <w:ind w:hanging="720" w:start="1620" w:end="0"/>
        <w:rPr/>
      </w:pPr>
      <w:r>
        <w:rPr/>
        <w:t>Provide a BCP solution as described below</w:t>
      </w:r>
    </w:p>
    <w:p>
      <w:pPr>
        <w:pStyle w:val="BodyTextBullet"/>
        <w:numPr>
          <w:ilvl w:val="0"/>
          <w:numId w:val="18"/>
        </w:numPr>
        <w:rPr/>
      </w:pPr>
      <w:r>
        <w:rPr/>
        <w:t xml:space="preserve">BCP </w:t>
      </w:r>
    </w:p>
    <w:p>
      <w:pPr>
        <w:pStyle w:val="BodyTextBullet"/>
        <w:numPr>
          <w:ilvl w:val="1"/>
          <w:numId w:val="18"/>
        </w:numPr>
        <w:rPr>
          <w:lang w:val="hu-HU"/>
        </w:rPr>
      </w:pPr>
      <w:r>
        <w:rPr/>
        <w:t xml:space="preserve">0 to 4 hours: Outage </w:t>
      </w:r>
      <w:r>
        <w:rPr>
          <w:lang w:val="en-GB"/>
        </w:rPr>
        <w:t>immediate notification to NVS/GP immediate start of emergency communication plan.</w:t>
      </w:r>
    </w:p>
    <w:p>
      <w:pPr>
        <w:pStyle w:val="BodyTextBullet"/>
        <w:numPr>
          <w:ilvl w:val="1"/>
          <w:numId w:val="18"/>
        </w:numPr>
        <w:rPr>
          <w:lang w:val="hu-HU"/>
        </w:rPr>
      </w:pPr>
      <w:r>
        <w:rPr/>
        <w:t>4 to 24 hours: Invoke BCP at retained organisation in GlobalPharma. Invoke solution for ESL agents with laptops at home/temporary local facility. This starts at 4 hours &amp; is complete by 24 hours.</w:t>
      </w:r>
      <w:r>
        <w:rPr>
          <w:lang w:val="en-GB"/>
        </w:rPr>
      </w:r>
    </w:p>
    <w:p>
      <w:pPr>
        <w:pStyle w:val="BodyTextBullet"/>
        <w:numPr>
          <w:ilvl w:val="1"/>
          <w:numId w:val="18"/>
        </w:numPr>
        <w:rPr/>
      </w:pPr>
      <w:r>
        <w:rPr/>
        <w:t>24 to 48 hours: ESL agents at Service Provider working from home/ temporary local facility via ADSL connection. Transfer of agents to secondary Service Provider location.</w:t>
      </w:r>
    </w:p>
    <w:p>
      <w:pPr>
        <w:pStyle w:val="BodyTextBullet"/>
        <w:numPr>
          <w:ilvl w:val="1"/>
          <w:numId w:val="18"/>
        </w:numPr>
        <w:rPr/>
      </w:pPr>
      <w:r>
        <w:rPr/>
        <w:t>48+ hours: BCP Invoked at secondary Service Provider location.</w:t>
      </w:r>
    </w:p>
    <w:p>
      <w:pPr>
        <w:pStyle w:val="BodyTextBullet"/>
        <w:numPr>
          <w:ilvl w:val="0"/>
          <w:numId w:val="18"/>
        </w:numPr>
        <w:rPr/>
      </w:pPr>
      <w:r>
        <w:rPr/>
        <w:t>BCP locations</w:t>
      </w:r>
    </w:p>
    <w:p>
      <w:pPr>
        <w:pStyle w:val="BodyTextBullet"/>
        <w:numPr>
          <w:ilvl w:val="1"/>
          <w:numId w:val="18"/>
        </w:numPr>
        <w:rPr/>
      </w:pPr>
      <w:r>
        <w:rPr/>
        <w:t>For Kolkata (India) the BCP location is Hyderabad (India)</w:t>
      </w:r>
    </w:p>
    <w:p>
      <w:pPr>
        <w:pStyle w:val="BodyTextBullet"/>
        <w:numPr>
          <w:ilvl w:val="1"/>
          <w:numId w:val="18"/>
        </w:numPr>
        <w:rPr/>
      </w:pPr>
      <w:r>
        <w:rPr/>
        <w:t>For Bucharest (Romania) the BCP location in 2007 is Budapest (Hungary), from 2008 it is Cluj (Romania)</w:t>
      </w:r>
    </w:p>
    <w:p>
      <w:pPr>
        <w:pStyle w:val="BodyTextBullet"/>
        <w:numPr>
          <w:ilvl w:val="0"/>
          <w:numId w:val="18"/>
        </w:numPr>
        <w:rPr/>
      </w:pPr>
      <w:r>
        <w:rPr/>
        <w:t>BCP seats</w:t>
      </w:r>
    </w:p>
    <w:p>
      <w:pPr>
        <w:pStyle w:val="BodyTextBullet"/>
        <w:numPr>
          <w:ilvl w:val="1"/>
          <w:numId w:val="18"/>
        </w:numPr>
        <w:rPr/>
      </w:pPr>
      <w:r>
        <w:rPr/>
        <w:t>For India: 11</w:t>
      </w:r>
    </w:p>
    <w:p>
      <w:pPr>
        <w:pStyle w:val="BodyTextBullet"/>
        <w:numPr>
          <w:ilvl w:val="1"/>
          <w:numId w:val="18"/>
        </w:numPr>
        <w:rPr/>
      </w:pPr>
      <w:r>
        <w:rPr/>
        <w:t>For Romania: 26</w:t>
      </w:r>
    </w:p>
    <w:p>
      <w:pPr>
        <w:pStyle w:val="BodyTextBullet"/>
        <w:numPr>
          <w:ilvl w:val="0"/>
          <w:numId w:val="18"/>
        </w:numPr>
        <w:rPr/>
      </w:pPr>
      <w:r>
        <w:rPr/>
        <w:t>IT setup</w:t>
      </w:r>
    </w:p>
    <w:p>
      <w:pPr>
        <w:pStyle w:val="BodyTextBullet"/>
        <w:numPr>
          <w:ilvl w:val="1"/>
          <w:numId w:val="18"/>
        </w:numPr>
        <w:rPr/>
      </w:pPr>
      <w:r>
        <w:rPr/>
        <w:t>BCP devices (phones, PCs, monitors) kept in stock</w:t>
      </w:r>
    </w:p>
    <w:p>
      <w:pPr>
        <w:pStyle w:val="BodyTextBullet"/>
        <w:numPr>
          <w:ilvl w:val="1"/>
          <w:numId w:val="18"/>
        </w:numPr>
        <w:rPr/>
      </w:pPr>
      <w:r>
        <w:rPr/>
        <w:t>PCs regularly checked (Anti-Virus and Patch updates)</w:t>
      </w:r>
    </w:p>
    <w:p>
      <w:pPr>
        <w:pStyle w:val="BodyTextBullet"/>
        <w:numPr>
          <w:ilvl w:val="1"/>
          <w:numId w:val="18"/>
        </w:numPr>
        <w:rPr/>
      </w:pPr>
      <w:r>
        <w:rPr/>
        <w:t xml:space="preserve">Devices operational in 8 to 12 hours </w:t>
      </w:r>
    </w:p>
    <w:p>
      <w:pPr>
        <w:pStyle w:val="BodyTextBullet"/>
        <w:numPr>
          <w:ilvl w:val="1"/>
          <w:numId w:val="18"/>
        </w:numPr>
        <w:rPr/>
      </w:pPr>
      <w:r>
        <w:rPr/>
        <w:t>Files, reports stored in Service Provider file servers (on production site) synchronized to file server in BCP location</w:t>
      </w:r>
    </w:p>
    <w:p>
      <w:pPr>
        <w:pStyle w:val="BodyTextBullet"/>
        <w:numPr>
          <w:ilvl w:val="1"/>
          <w:numId w:val="18"/>
        </w:numPr>
        <w:rPr/>
      </w:pPr>
      <w:r>
        <w:rPr/>
        <w:t>Workflow (Savvion) data synchronized to BCP workflow server</w:t>
      </w:r>
    </w:p>
    <w:p>
      <w:pPr>
        <w:pStyle w:val="BodyTextBullet"/>
        <w:numPr>
          <w:ilvl w:val="0"/>
          <w:numId w:val="18"/>
        </w:numPr>
        <w:rPr/>
      </w:pPr>
      <w:r>
        <w:rPr/>
        <w:t>Detailed BCP to be created during the Transition – Exceptions to above to be agreed: eg. – BCP for T&amp;E process in UK.</w:t>
      </w:r>
    </w:p>
    <w:p>
      <w:pPr>
        <w:pStyle w:val="BodyTextBullet"/>
        <w:numPr>
          <w:ilvl w:val="0"/>
          <w:numId w:val="18"/>
        </w:numPr>
        <w:rPr/>
      </w:pPr>
      <w:r>
        <w:rPr/>
        <w:t xml:space="preserve">BCP framework </w:t>
      </w:r>
    </w:p>
    <w:p>
      <w:pPr>
        <w:pStyle w:val="BodyTextBullet"/>
        <w:numPr>
          <w:ilvl w:val="0"/>
          <w:numId w:val="0"/>
        </w:numPr>
        <w:ind w:hanging="360" w:start="1440" w:end="0"/>
        <w:rPr/>
      </w:pPr>
      <w:r>
        <w:rPr/>
      </w:r>
    </w:p>
    <w:tbl>
      <w:tblPr>
        <w:tblW w:w="9210" w:type="dxa"/>
        <w:jc w:val="start"/>
        <w:tblInd w:w="1225" w:type="dxa"/>
        <w:tblLayout w:type="fixed"/>
        <w:tblCellMar>
          <w:top w:w="0" w:type="dxa"/>
          <w:start w:w="0" w:type="dxa"/>
          <w:bottom w:w="0" w:type="dxa"/>
          <w:end w:w="0" w:type="dxa"/>
        </w:tblCellMar>
      </w:tblPr>
      <w:tblGrid>
        <w:gridCol w:w="1655"/>
        <w:gridCol w:w="2880"/>
        <w:gridCol w:w="2340"/>
        <w:gridCol w:w="2335"/>
      </w:tblGrid>
      <w:tr>
        <w:trPr>
          <w:trHeight w:val="615" w:hRule="atLeast"/>
        </w:trPr>
        <w:tc>
          <w:tcPr>
            <w:tcW w:w="1655" w:type="dxa"/>
            <w:tcBorders>
              <w:top w:val="single" w:sz="12" w:space="0" w:color="000000"/>
              <w:start w:val="single" w:sz="12" w:space="0" w:color="000000"/>
              <w:bottom w:val="single" w:sz="6" w:space="0" w:color="000000"/>
              <w:end w:val="single" w:sz="6" w:space="0" w:color="000000"/>
            </w:tcBorders>
            <w:shd w:fill="FFFF99" w:val="clear"/>
          </w:tcPr>
          <w:p>
            <w:pPr>
              <w:pStyle w:val="BodyTextBullet"/>
              <w:numPr>
                <w:ilvl w:val="0"/>
                <w:numId w:val="0"/>
              </w:numPr>
              <w:spacing w:before="120" w:after="120"/>
              <w:ind w:hanging="0" w:start="0"/>
              <w:rPr>
                <w:b/>
                <w:sz w:val="20"/>
                <w:szCs w:val="20"/>
                <w:lang w:val="hu-HU"/>
              </w:rPr>
            </w:pPr>
            <w:r>
              <w:rPr>
                <w:b/>
                <w:bCs/>
                <w:sz w:val="20"/>
                <w:szCs w:val="20"/>
                <w:lang w:val="hu-HU"/>
              </w:rPr>
              <w:t>Solution type</w:t>
            </w:r>
          </w:p>
        </w:tc>
        <w:tc>
          <w:tcPr>
            <w:tcW w:w="2880" w:type="dxa"/>
            <w:tcBorders>
              <w:top w:val="single" w:sz="12" w:space="0" w:color="000000"/>
              <w:start w:val="single" w:sz="6" w:space="0" w:color="000000"/>
              <w:bottom w:val="single" w:sz="6" w:space="0" w:color="000000"/>
              <w:end w:val="single" w:sz="6" w:space="0" w:color="000000"/>
            </w:tcBorders>
            <w:shd w:fill="FFFF99" w:val="clear"/>
          </w:tcPr>
          <w:p>
            <w:pPr>
              <w:pStyle w:val="BodyTextBullet"/>
              <w:numPr>
                <w:ilvl w:val="0"/>
                <w:numId w:val="0"/>
              </w:numPr>
              <w:spacing w:before="120" w:after="120"/>
              <w:ind w:hanging="0" w:start="0"/>
              <w:rPr>
                <w:b/>
                <w:sz w:val="20"/>
                <w:szCs w:val="20"/>
                <w:lang w:val="hu-HU"/>
              </w:rPr>
            </w:pPr>
            <w:r>
              <w:rPr>
                <w:b/>
                <w:bCs/>
                <w:sz w:val="20"/>
                <w:szCs w:val="20"/>
              </w:rPr>
              <w:t>GlobalPharma Retained Org</w:t>
            </w:r>
          </w:p>
        </w:tc>
        <w:tc>
          <w:tcPr>
            <w:tcW w:w="2340" w:type="dxa"/>
            <w:tcBorders>
              <w:top w:val="single" w:sz="12" w:space="0" w:color="000000"/>
              <w:start w:val="single" w:sz="6" w:space="0" w:color="000000"/>
              <w:bottom w:val="single" w:sz="6" w:space="0" w:color="000000"/>
              <w:end w:val="single" w:sz="6" w:space="0" w:color="000000"/>
            </w:tcBorders>
            <w:shd w:fill="FFFF99" w:val="clear"/>
          </w:tcPr>
          <w:p>
            <w:pPr>
              <w:pStyle w:val="BodyTextBullet"/>
              <w:numPr>
                <w:ilvl w:val="0"/>
                <w:numId w:val="0"/>
              </w:numPr>
              <w:spacing w:before="120" w:after="120"/>
              <w:ind w:hanging="0" w:start="0"/>
              <w:rPr>
                <w:b/>
                <w:sz w:val="20"/>
                <w:szCs w:val="20"/>
                <w:lang w:val="hu-HU"/>
              </w:rPr>
            </w:pPr>
            <w:r>
              <w:rPr>
                <w:b/>
                <w:bCs/>
                <w:sz w:val="20"/>
                <w:szCs w:val="20"/>
                <w:lang w:val="hu-HU"/>
              </w:rPr>
              <w:t>Intra-city</w:t>
            </w:r>
          </w:p>
        </w:tc>
        <w:tc>
          <w:tcPr>
            <w:tcW w:w="2335" w:type="dxa"/>
            <w:tcBorders>
              <w:top w:val="single" w:sz="12" w:space="0" w:color="000000"/>
              <w:start w:val="single" w:sz="6" w:space="0" w:color="000000"/>
              <w:bottom w:val="single" w:sz="6" w:space="0" w:color="000000"/>
              <w:end w:val="single" w:sz="12" w:space="0" w:color="000000"/>
            </w:tcBorders>
            <w:shd w:fill="FFFF99" w:val="clear"/>
          </w:tcPr>
          <w:p>
            <w:pPr>
              <w:pStyle w:val="BodyTextBullet"/>
              <w:numPr>
                <w:ilvl w:val="0"/>
                <w:numId w:val="0"/>
              </w:numPr>
              <w:spacing w:before="120" w:after="120"/>
              <w:ind w:hanging="0" w:start="0"/>
              <w:rPr>
                <w:b/>
                <w:sz w:val="20"/>
                <w:szCs w:val="20"/>
                <w:lang w:val="hu-HU"/>
              </w:rPr>
            </w:pPr>
            <w:r>
              <w:rPr>
                <w:b/>
                <w:bCs/>
                <w:sz w:val="20"/>
                <w:szCs w:val="20"/>
                <w:lang w:val="hu-HU"/>
              </w:rPr>
              <w:t>Inter-city (from 2007)</w:t>
            </w:r>
          </w:p>
        </w:tc>
      </w:tr>
      <w:tr>
        <w:trPr>
          <w:trHeight w:val="1215" w:hRule="atLeast"/>
        </w:trPr>
        <w:tc>
          <w:tcPr>
            <w:tcW w:w="1655" w:type="dxa"/>
            <w:tcBorders>
              <w:top w:val="single" w:sz="6" w:space="0" w:color="000000"/>
              <w:start w:val="single" w:sz="12"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lang w:val="hu-HU"/>
              </w:rPr>
            </w:pPr>
            <w:r>
              <w:rPr>
                <w:bCs/>
                <w:sz w:val="20"/>
                <w:szCs w:val="20"/>
                <w:lang w:val="hu-HU"/>
              </w:rPr>
              <w:t>Delivery method</w:t>
            </w:r>
          </w:p>
        </w:tc>
        <w:tc>
          <w:tcPr>
            <w:tcW w:w="2880" w:type="dxa"/>
            <w:tcBorders>
              <w:top w:val="single" w:sz="6" w:space="0" w:color="000000"/>
              <w:start w:val="single" w:sz="6"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lang w:val="hu-HU"/>
              </w:rPr>
            </w:pPr>
            <w:r>
              <w:rPr>
                <w:sz w:val="20"/>
                <w:szCs w:val="20"/>
              </w:rPr>
              <w:t xml:space="preserve">Retained org at GlobalPharma take on GA activities at period end on a short term basis </w:t>
            </w:r>
          </w:p>
        </w:tc>
        <w:tc>
          <w:tcPr>
            <w:tcW w:w="2340" w:type="dxa"/>
            <w:tcBorders>
              <w:top w:val="single" w:sz="6" w:space="0" w:color="000000"/>
              <w:start w:val="single" w:sz="6"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lang w:val="hu-HU"/>
              </w:rPr>
            </w:pPr>
            <w:r>
              <w:rPr>
                <w:sz w:val="20"/>
                <w:szCs w:val="20"/>
                <w:lang w:val="hu-HU"/>
              </w:rPr>
              <w:t>Laptop based with VPN – from home / hotel</w:t>
            </w:r>
          </w:p>
        </w:tc>
        <w:tc>
          <w:tcPr>
            <w:tcW w:w="2335" w:type="dxa"/>
            <w:tcBorders>
              <w:top w:val="single" w:sz="6" w:space="0" w:color="000000"/>
              <w:start w:val="single" w:sz="6" w:space="0" w:color="000000"/>
              <w:bottom w:val="single" w:sz="6" w:space="0" w:color="000000"/>
              <w:end w:val="single" w:sz="12" w:space="0" w:color="000000"/>
            </w:tcBorders>
          </w:tcPr>
          <w:p>
            <w:pPr>
              <w:pStyle w:val="BodyTextBullet"/>
              <w:numPr>
                <w:ilvl w:val="0"/>
                <w:numId w:val="0"/>
              </w:numPr>
              <w:spacing w:before="120" w:after="120"/>
              <w:ind w:hanging="0" w:start="0"/>
              <w:rPr>
                <w:sz w:val="20"/>
                <w:szCs w:val="20"/>
                <w:lang w:val="hu-HU"/>
              </w:rPr>
            </w:pPr>
            <w:r>
              <w:rPr>
                <w:sz w:val="20"/>
                <w:szCs w:val="20"/>
                <w:lang w:val="hu-HU"/>
              </w:rPr>
              <w:t>Reserved seats at 2nd site within country</w:t>
            </w:r>
          </w:p>
        </w:tc>
      </w:tr>
      <w:tr>
        <w:trPr>
          <w:trHeight w:val="1800" w:hRule="atLeast"/>
        </w:trPr>
        <w:tc>
          <w:tcPr>
            <w:tcW w:w="1655" w:type="dxa"/>
            <w:tcBorders>
              <w:top w:val="single" w:sz="6" w:space="0" w:color="000000"/>
              <w:start w:val="single" w:sz="12"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lang w:val="hu-HU"/>
              </w:rPr>
            </w:pPr>
            <w:r>
              <w:rPr>
                <w:bCs/>
                <w:sz w:val="20"/>
                <w:szCs w:val="20"/>
                <w:lang w:val="hu-HU"/>
              </w:rPr>
              <w:t>Advantages</w:t>
            </w:r>
          </w:p>
        </w:tc>
        <w:tc>
          <w:tcPr>
            <w:tcW w:w="2880" w:type="dxa"/>
            <w:tcBorders>
              <w:top w:val="single" w:sz="6" w:space="0" w:color="000000"/>
              <w:start w:val="single" w:sz="6"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rPr>
            </w:pPr>
            <w:r>
              <w:rPr>
                <w:sz w:val="20"/>
                <w:szCs w:val="20"/>
              </w:rPr>
              <w:t>Short turnaround time to deploy.</w:t>
            </w:r>
          </w:p>
          <w:p>
            <w:pPr>
              <w:pStyle w:val="BodyTextBullet"/>
              <w:numPr>
                <w:ilvl w:val="0"/>
                <w:numId w:val="0"/>
              </w:numPr>
              <w:ind w:hanging="0" w:start="0"/>
              <w:rPr>
                <w:sz w:val="20"/>
                <w:szCs w:val="20"/>
              </w:rPr>
            </w:pPr>
            <w:r>
              <w:rPr>
                <w:sz w:val="20"/>
                <w:szCs w:val="20"/>
              </w:rPr>
              <w:t>Limited training requirements.</w:t>
            </w:r>
          </w:p>
          <w:p>
            <w:pPr>
              <w:pStyle w:val="BodyTextBullet"/>
              <w:numPr>
                <w:ilvl w:val="0"/>
                <w:numId w:val="0"/>
              </w:numPr>
              <w:spacing w:before="120" w:after="120"/>
              <w:ind w:hanging="0" w:start="0"/>
              <w:rPr>
                <w:sz w:val="20"/>
                <w:szCs w:val="20"/>
                <w:lang w:val="hu-HU"/>
              </w:rPr>
            </w:pPr>
            <w:r>
              <w:rPr>
                <w:sz w:val="20"/>
                <w:szCs w:val="20"/>
              </w:rPr>
              <w:t>Applicable even in a Force Majeure event.</w:t>
            </w:r>
          </w:p>
        </w:tc>
        <w:tc>
          <w:tcPr>
            <w:tcW w:w="2340" w:type="dxa"/>
            <w:tcBorders>
              <w:top w:val="single" w:sz="6" w:space="0" w:color="000000"/>
              <w:start w:val="single" w:sz="6" w:space="0" w:color="000000"/>
              <w:bottom w:val="single" w:sz="6" w:space="0" w:color="000000"/>
              <w:end w:val="single" w:sz="6" w:space="0" w:color="000000"/>
            </w:tcBorders>
          </w:tcPr>
          <w:p>
            <w:pPr>
              <w:pStyle w:val="BodyTextBullet"/>
              <w:numPr>
                <w:ilvl w:val="0"/>
                <w:numId w:val="0"/>
              </w:numPr>
              <w:spacing w:before="120" w:after="120"/>
              <w:ind w:hanging="0" w:start="0"/>
              <w:rPr>
                <w:sz w:val="20"/>
                <w:szCs w:val="20"/>
                <w:lang w:val="hu-HU"/>
              </w:rPr>
            </w:pPr>
            <w:r>
              <w:rPr>
                <w:sz w:val="20"/>
                <w:szCs w:val="20"/>
                <w:lang w:val="hu-HU"/>
              </w:rPr>
              <w:t>Flexible to deploy</w:t>
            </w:r>
          </w:p>
          <w:p>
            <w:pPr>
              <w:pStyle w:val="BodyTextBullet"/>
              <w:numPr>
                <w:ilvl w:val="0"/>
                <w:numId w:val="0"/>
              </w:numPr>
              <w:spacing w:before="120" w:after="120"/>
              <w:ind w:hanging="0" w:start="0"/>
              <w:rPr>
                <w:sz w:val="20"/>
                <w:szCs w:val="20"/>
                <w:lang w:val="hu-HU"/>
              </w:rPr>
            </w:pPr>
            <w:r>
              <w:rPr>
                <w:sz w:val="20"/>
                <w:szCs w:val="20"/>
                <w:lang w:val="hu-HU"/>
              </w:rPr>
              <w:t>Can be a basis of inter-city solution</w:t>
            </w:r>
          </w:p>
        </w:tc>
        <w:tc>
          <w:tcPr>
            <w:tcW w:w="2335" w:type="dxa"/>
            <w:tcBorders>
              <w:top w:val="single" w:sz="6" w:space="0" w:color="000000"/>
              <w:start w:val="single" w:sz="6" w:space="0" w:color="000000"/>
              <w:bottom w:val="single" w:sz="6" w:space="0" w:color="000000"/>
              <w:end w:val="single" w:sz="12" w:space="0" w:color="000000"/>
            </w:tcBorders>
          </w:tcPr>
          <w:p>
            <w:pPr>
              <w:pStyle w:val="BodyTextBullet"/>
              <w:numPr>
                <w:ilvl w:val="0"/>
                <w:numId w:val="0"/>
              </w:numPr>
              <w:spacing w:before="120" w:after="120"/>
              <w:ind w:hanging="0" w:start="0"/>
              <w:rPr>
                <w:sz w:val="20"/>
                <w:szCs w:val="20"/>
                <w:lang w:val="hu-HU"/>
              </w:rPr>
            </w:pPr>
            <w:r>
              <w:rPr>
                <w:sz w:val="20"/>
                <w:szCs w:val="20"/>
                <w:lang w:val="hu-HU"/>
              </w:rPr>
              <w:t>Addresses city outage as well as site outage with voice functionality</w:t>
            </w:r>
          </w:p>
          <w:p>
            <w:pPr>
              <w:pStyle w:val="BodyTextBullet"/>
              <w:numPr>
                <w:ilvl w:val="0"/>
                <w:numId w:val="0"/>
              </w:numPr>
              <w:ind w:hanging="0" w:start="0"/>
              <w:rPr>
                <w:sz w:val="20"/>
                <w:szCs w:val="20"/>
                <w:lang w:val="hu-HU"/>
              </w:rPr>
            </w:pPr>
            <w:r>
              <w:rPr>
                <w:sz w:val="20"/>
                <w:szCs w:val="20"/>
                <w:lang w:val="hu-HU"/>
              </w:rPr>
              <w:t>Solid, sizeable solution with same functionality for ESL agents</w:t>
            </w:r>
          </w:p>
          <w:p>
            <w:pPr>
              <w:pStyle w:val="BodyTextBullet"/>
              <w:numPr>
                <w:ilvl w:val="0"/>
                <w:numId w:val="0"/>
              </w:numPr>
              <w:ind w:hanging="0" w:start="0"/>
              <w:rPr/>
            </w:pPr>
            <w:r>
              <w:rPr>
                <w:sz w:val="20"/>
                <w:szCs w:val="20"/>
                <w:lang w:val="hu-HU"/>
              </w:rPr>
              <w:t>Complete security and condifentiality of GlobalPharma related data</w:t>
            </w:r>
          </w:p>
          <w:p>
            <w:pPr>
              <w:pStyle w:val="BodyTextBullet"/>
              <w:numPr>
                <w:ilvl w:val="0"/>
                <w:numId w:val="0"/>
              </w:numPr>
              <w:spacing w:before="120" w:after="120"/>
              <w:ind w:hanging="0" w:start="0"/>
              <w:rPr>
                <w:sz w:val="20"/>
                <w:szCs w:val="20"/>
                <w:lang w:val="hu-HU"/>
              </w:rPr>
            </w:pPr>
            <w:r>
              <w:rPr>
                <w:sz w:val="20"/>
                <w:szCs w:val="20"/>
                <w:lang w:val="hu-HU"/>
              </w:rPr>
              <w:t>Already included in BAFO</w:t>
            </w:r>
          </w:p>
        </w:tc>
      </w:tr>
      <w:tr>
        <w:trPr>
          <w:trHeight w:val="765" w:hRule="atLeast"/>
        </w:trPr>
        <w:tc>
          <w:tcPr>
            <w:tcW w:w="1655" w:type="dxa"/>
            <w:tcBorders>
              <w:top w:val="single" w:sz="6" w:space="0" w:color="000000"/>
              <w:start w:val="single" w:sz="12" w:space="0" w:color="000000"/>
              <w:bottom w:val="single" w:sz="12" w:space="0" w:color="000000"/>
              <w:end w:val="single" w:sz="6" w:space="0" w:color="000000"/>
            </w:tcBorders>
          </w:tcPr>
          <w:p>
            <w:pPr>
              <w:pStyle w:val="BodyTextBullet"/>
              <w:numPr>
                <w:ilvl w:val="0"/>
                <w:numId w:val="0"/>
              </w:numPr>
              <w:spacing w:before="120" w:after="120"/>
              <w:ind w:hanging="0" w:start="0"/>
              <w:rPr>
                <w:sz w:val="20"/>
                <w:szCs w:val="20"/>
                <w:lang w:val="hu-HU"/>
              </w:rPr>
            </w:pPr>
            <w:r>
              <w:rPr>
                <w:bCs/>
                <w:sz w:val="20"/>
                <w:szCs w:val="20"/>
                <w:lang w:val="hu-HU"/>
              </w:rPr>
              <w:t>Disadvantage</w:t>
            </w:r>
          </w:p>
        </w:tc>
        <w:tc>
          <w:tcPr>
            <w:tcW w:w="2880" w:type="dxa"/>
            <w:tcBorders>
              <w:top w:val="single" w:sz="6" w:space="0" w:color="000000"/>
              <w:start w:val="single" w:sz="6" w:space="0" w:color="000000"/>
              <w:bottom w:val="single" w:sz="12" w:space="0" w:color="000000"/>
              <w:end w:val="single" w:sz="6" w:space="0" w:color="000000"/>
            </w:tcBorders>
          </w:tcPr>
          <w:p>
            <w:pPr>
              <w:pStyle w:val="BodyTextBullet"/>
              <w:numPr>
                <w:ilvl w:val="0"/>
                <w:numId w:val="0"/>
              </w:numPr>
              <w:spacing w:before="120" w:after="120"/>
              <w:ind w:hanging="0" w:start="0"/>
              <w:rPr>
                <w:sz w:val="20"/>
                <w:szCs w:val="20"/>
                <w:lang w:val="hu-HU"/>
              </w:rPr>
            </w:pPr>
            <w:r>
              <w:rPr>
                <w:sz w:val="20"/>
                <w:szCs w:val="20"/>
              </w:rPr>
              <w:t>Additional work at period end for retained employees</w:t>
            </w:r>
          </w:p>
        </w:tc>
        <w:tc>
          <w:tcPr>
            <w:tcW w:w="2340" w:type="dxa"/>
            <w:tcBorders>
              <w:top w:val="single" w:sz="6" w:space="0" w:color="000000"/>
              <w:start w:val="single" w:sz="6" w:space="0" w:color="000000"/>
              <w:bottom w:val="single" w:sz="12" w:space="0" w:color="000000"/>
              <w:end w:val="single" w:sz="6" w:space="0" w:color="000000"/>
            </w:tcBorders>
          </w:tcPr>
          <w:p>
            <w:pPr>
              <w:pStyle w:val="BodyTextBullet"/>
              <w:numPr>
                <w:ilvl w:val="0"/>
                <w:numId w:val="0"/>
              </w:numPr>
              <w:spacing w:before="120" w:after="120"/>
              <w:ind w:hanging="0" w:start="0"/>
              <w:rPr>
                <w:sz w:val="20"/>
                <w:szCs w:val="20"/>
                <w:lang w:val="hu-HU"/>
              </w:rPr>
            </w:pPr>
            <w:r>
              <w:rPr>
                <w:sz w:val="20"/>
                <w:szCs w:val="20"/>
                <w:lang w:val="hu-HU"/>
              </w:rPr>
              <w:t>Addresses only site outage</w:t>
            </w:r>
          </w:p>
          <w:p>
            <w:pPr>
              <w:pStyle w:val="BodyTextBullet"/>
              <w:numPr>
                <w:ilvl w:val="0"/>
                <w:numId w:val="0"/>
              </w:numPr>
              <w:spacing w:before="120" w:after="120"/>
              <w:ind w:hanging="0" w:start="0"/>
              <w:rPr>
                <w:sz w:val="20"/>
                <w:szCs w:val="20"/>
                <w:lang w:val="hu-HU"/>
              </w:rPr>
            </w:pPr>
            <w:r>
              <w:rPr>
                <w:sz w:val="20"/>
                <w:szCs w:val="20"/>
                <w:lang w:val="hu-HU"/>
              </w:rPr>
              <w:t>Limited functionality for ESL</w:t>
            </w:r>
          </w:p>
        </w:tc>
        <w:tc>
          <w:tcPr>
            <w:tcW w:w="2335" w:type="dxa"/>
            <w:tcBorders>
              <w:top w:val="single" w:sz="6" w:space="0" w:color="000000"/>
              <w:start w:val="single" w:sz="6" w:space="0" w:color="000000"/>
              <w:bottom w:val="single" w:sz="12" w:space="0" w:color="000000"/>
              <w:end w:val="single" w:sz="12" w:space="0" w:color="000000"/>
            </w:tcBorders>
          </w:tcPr>
          <w:p>
            <w:pPr>
              <w:pStyle w:val="BodyTextBullet"/>
              <w:numPr>
                <w:ilvl w:val="0"/>
                <w:numId w:val="0"/>
              </w:numPr>
              <w:spacing w:before="120" w:after="120"/>
              <w:ind w:hanging="0" w:start="0"/>
              <w:rPr>
                <w:sz w:val="20"/>
                <w:szCs w:val="20"/>
                <w:lang w:val="hu-HU"/>
              </w:rPr>
            </w:pPr>
            <w:r>
              <w:rPr>
                <w:sz w:val="20"/>
                <w:szCs w:val="20"/>
                <w:lang w:val="hu-HU"/>
              </w:rPr>
              <w:t>Longer (initial) recovery time</w:t>
            </w:r>
          </w:p>
        </w:tc>
      </w:tr>
    </w:tbl>
    <w:p>
      <w:pPr>
        <w:pStyle w:val="BodyTextBullet"/>
        <w:numPr>
          <w:ilvl w:val="0"/>
          <w:numId w:val="0"/>
        </w:numPr>
        <w:ind w:hanging="360" w:start="1440" w:end="0"/>
        <w:rPr>
          <w:lang w:val="hu-HU"/>
        </w:rPr>
      </w:pPr>
      <w:r>
        <w:rPr>
          <w:lang w:val="hu-HU"/>
        </w:rPr>
      </w:r>
    </w:p>
    <w:p>
      <w:pPr>
        <w:pStyle w:val="BodyTextBullet"/>
        <w:numPr>
          <w:ilvl w:val="0"/>
          <w:numId w:val="18"/>
        </w:numPr>
        <w:rPr>
          <w:bCs/>
        </w:rPr>
      </w:pPr>
      <w:r>
        <w:rPr>
          <w:bCs/>
        </w:rPr>
        <w:t>BCP not valid for Force Majeur Event that would restrict travel for the following reasons: Quarantine due to outbreak of disease, natural calamities, bomb attack etc</w:t>
      </w:r>
    </w:p>
    <w:p>
      <w:pPr>
        <w:pStyle w:val="BodyTextBullet"/>
        <w:numPr>
          <w:ilvl w:val="0"/>
          <w:numId w:val="0"/>
        </w:numPr>
        <w:ind w:hanging="360" w:start="1440" w:end="0"/>
        <w:rPr>
          <w:bCs/>
        </w:rPr>
      </w:pPr>
      <w:r>
        <w:rPr>
          <w:bCs/>
        </w:rPr>
      </w:r>
    </w:p>
    <w:p>
      <w:pPr>
        <w:pStyle w:val="TableText"/>
        <w:rPr/>
      </w:pPr>
      <w:r>
        <w:rPr/>
      </w:r>
    </w:p>
    <w:p>
      <w:pPr>
        <w:pStyle w:val="Heading3Numbered"/>
        <w:numPr>
          <w:ilvl w:val="2"/>
          <w:numId w:val="12"/>
        </w:numPr>
        <w:tabs>
          <w:tab w:val="clear" w:pos="720"/>
          <w:tab w:val="left" w:pos="1620" w:leader="none"/>
        </w:tabs>
        <w:spacing w:before="240" w:after="240"/>
        <w:ind w:hanging="0" w:start="1077" w:end="0"/>
        <w:rPr>
          <w:highlight w:val="yellow"/>
        </w:rPr>
      </w:pPr>
      <w:r>
        <w:rPr>
          <w:rFonts w:eastAsia="Times New Roman Bold;Times New Roman"/>
        </w:rPr>
        <w:t xml:space="preserve"> </w:t>
      </w:r>
      <w:r>
        <w:rPr>
          <w:highlight w:val="yellow"/>
        </w:rPr>
        <w:t>The responsibility of the Service Provider for Business Continuity is effective as of the go-live date within the respective country.</w:t>
      </w:r>
      <w:bookmarkStart w:id="15" w:name="_PictureBullets"/>
      <w:bookmarkEnd w:id="15"/>
    </w:p>
    <w:sectPr>
      <w:headerReference w:type="default" r:id="rId12"/>
      <w:headerReference w:type="first" r:id="rId13"/>
      <w:footerReference w:type="default" r:id="rId14"/>
      <w:footerReference w:type="first" r:id="rId15"/>
      <w:footnotePr>
        <w:numFmt w:val="decimal"/>
      </w:footnotePr>
      <w:type w:val="nextPage"/>
      <w:pgSz w:w="12240" w:h="15840"/>
      <w:pgMar w:left="567" w:right="567"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E-15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GlobalPharma</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E-15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GlobalPharma</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E-15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GlobalPharma</w:t>
      <w:tab/>
      <w:t>CONFIDENTIAL</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E-15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p>
    <w:pPr>
      <w:pStyle w:val="Footer"/>
      <w:tabs>
        <w:tab w:val="clear" w:pos="4680"/>
        <w:tab w:val="clear" w:pos="7200"/>
        <w:tab w:val="right" w:pos="9000" w:leader="none"/>
        <w:tab w:val="right" w:pos="14400" w:leader="none"/>
      </w:tabs>
      <w:spacing w:before="120" w:after="120"/>
      <w:rPr/>
    </w:pPr>
    <w:r>
      <w:rPr/>
      <w:t>GlobalPharma</w:t>
      <w:tab/>
      <w:t>CONFIDENTIAL</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120" w:after="120"/>
        <w:rPr/>
      </w:pPr>
      <w:r>
        <w:rPr>
          <w:rStyle w:val="FootnoteCharacters"/>
        </w:rPr>
        <w:footnoteRef/>
      </w:r>
      <w:r>
        <w:rPr/>
        <w:t xml:space="preserve"> </w:t>
      </w:r>
      <w:r>
        <w:rPr>
          <w:rFonts w:cs="Arial" w:ascii="Arial" w:hAnsi="Arial"/>
          <w:sz w:val="18"/>
          <w:szCs w:val="18"/>
        </w:rPr>
        <w:t>Note: consolidation for division not possible without this data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rPr/>
    </w:pPr>
    <w:r>
      <w:drawing>
        <wp:anchor behindDoc="1" distT="0" distB="0" distL="114935" distR="114935" simplePos="0" locked="0" layoutInCell="1" allowOverlap="1" relativeHeight="16">
          <wp:simplePos x="0" y="0"/>
          <wp:positionH relativeFrom="column">
            <wp:posOffset>4931410</wp:posOffset>
          </wp:positionH>
          <wp:positionV relativeFrom="paragraph">
            <wp:posOffset>-29845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rPr/>
    </w:pPr>
    <w:r>
      <w:drawing>
        <wp:anchor behindDoc="1" distT="0" distB="0" distL="114935" distR="114935" simplePos="0" locked="0" layoutInCell="1" allowOverlap="1" relativeHeight="21">
          <wp:simplePos x="0" y="0"/>
          <wp:positionH relativeFrom="column">
            <wp:posOffset>4931410</wp:posOffset>
          </wp:positionH>
          <wp:positionV relativeFrom="paragraph">
            <wp:posOffset>-29845</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jc w:val="end"/>
      <w:rPr/>
    </w:pPr>
    <w:r>
      <w:rPr/>
      <w:tab/>
    </w:r>
    <w:r>
      <w:rPr/>
      <w:drawing>
        <wp:inline distT="0" distB="0" distL="0" distR="0">
          <wp:extent cx="1494155" cy="345440"/>
          <wp:effectExtent l="0" t="0" r="0" b="0"/>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
                  <a:srcRect l="-24" t="-104" r="-24" b="-104"/>
                  <a:stretch>
                    <a:fillRect/>
                  </a:stretch>
                </pic:blipFill>
                <pic:spPr bwMode="auto">
                  <a:xfrm>
                    <a:off x="0" y="0"/>
                    <a:ext cx="1494155" cy="345440"/>
                  </a:xfrm>
                  <a:prstGeom prst="rect">
                    <a:avLst/>
                  </a:prstGeom>
                  <a:noFill/>
                </pic:spPr>
              </pic:pic>
            </a:graphicData>
          </a:graphic>
        </wp:inline>
      </w:drawing>
    </w:r>
  </w:p>
  <w:p>
    <w:pPr>
      <w:pStyle w:val="Header"/>
      <w:tabs>
        <w:tab w:val="clear" w:pos="9360"/>
        <w:tab w:val="right" w:pos="8820" w:leader="none"/>
        <w:tab w:val="right" w:pos="14400" w:leader="none"/>
      </w:tabs>
      <w:jc w:val="end"/>
      <w:rPr/>
    </w:pPr>
    <w:r>
      <w:rPr/>
      <w:tab/>
      <w:t>Exhibit 15 Business Continuity Plan FINAL  (clean) 15 January 07.doc</w:t>
    </w:r>
    <w:r>
      <w:rPr>
        <w:color w:val="C0C0C0"/>
      </w:rPr>
    </w:r>
    <w:r>
      <w:rPr>
        <w:color w:val="C0C0C0"/>
      </w:rPr>
    </w:r>
    <w:r>
      <w:rPr>
        <w:color w:val="C0C0C0"/>
      </w:rPr>
    </w:r>
    <w:r>
      <w:rPr>
        <w:color w:val="C0C0C0"/>
      </w:rPr>
    </w:r>
    <w:r>
      <w:rPr>
        <w:color w:val="C0C0C0"/>
      </w:rPr>
    </w:r>
  </w:p>
  <w:p>
    <w:pPr>
      <w:pStyle w:val="Header"/>
      <w:spacing w:before="12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8820" w:leader="none"/>
        <w:tab w:val="right" w:pos="14400" w:leader="none"/>
      </w:tabs>
      <w:spacing w:before="120" w:after="120"/>
      <w:jc w:val="end"/>
      <w:rPr/>
    </w:pPr>
    <w:r>
      <w:rPr/>
      <w:tab/>
    </w:r>
    <w:r>
      <w:rPr/>
      <w:drawing>
        <wp:inline distT="0" distB="0" distL="0" distR="0">
          <wp:extent cx="1494155" cy="345440"/>
          <wp:effectExtent l="0" t="0" r="0" b="0"/>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1"/>
                  <a:srcRect l="-24" t="-104" r="-24" b="-104"/>
                  <a:stretch>
                    <a:fillRect/>
                  </a:stretch>
                </pic:blipFill>
                <pic:spPr bwMode="auto">
                  <a:xfrm>
                    <a:off x="0" y="0"/>
                    <a:ext cx="1494155" cy="345440"/>
                  </a:xfrm>
                  <a:prstGeom prst="rect">
                    <a:avLst/>
                  </a:prstGeom>
                  <a:noFill/>
                </pic:spPr>
              </pic:pic>
            </a:graphicData>
          </a:graphic>
        </wp:inline>
      </w:drawing>
    </w:r>
  </w:p>
  <w:p>
    <w:pPr>
      <w:pStyle w:val="Header"/>
      <w:tabs>
        <w:tab w:val="clear" w:pos="9360"/>
        <w:tab w:val="right" w:pos="8820" w:leader="none"/>
        <w:tab w:val="right" w:pos="14400" w:leader="none"/>
      </w:tabs>
      <w:jc w:val="end"/>
      <w:rPr/>
    </w:pPr>
    <w:r>
      <w:rPr/>
      <w:tab/>
      <w:t>Exhibit 15 Business Continuity Plan FINAL  (clean) 15 January 07.doc</w:t>
    </w:r>
    <w:r>
      <w:rPr>
        <w:color w:val="C0C0C0"/>
      </w:rPr>
    </w:r>
    <w:r>
      <w:rPr>
        <w:color w:val="C0C0C0"/>
      </w:rPr>
    </w:r>
    <w:r>
      <w:rPr>
        <w:color w:val="C0C0C0"/>
      </w:rPr>
    </w:r>
    <w:r>
      <w:rPr>
        <w:color w:val="C0C0C0"/>
      </w:rPr>
    </w:r>
    <w:r>
      <w:rPr>
        <w:color w:val="C0C0C0"/>
      </w:rPr>
    </w:r>
  </w:p>
  <w:p>
    <w:pPr>
      <w:pStyle w:val="Header"/>
      <w:spacing w:before="12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6pt;height:11.0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bullet"/>
      <w:lvlText w:val=""/>
      <w:lvlJc w:val="start"/>
      <w:pPr>
        <w:tabs>
          <w:tab w:val="num" w:pos="1080"/>
        </w:tabs>
        <w:ind w:start="1080" w:hanging="360"/>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1440"/>
        </w:tabs>
        <w:ind w:start="1440" w:hanging="360"/>
      </w:pPr>
      <w:rPr>
        <w:rFonts w:ascii="Symbol" w:hAnsi="Symbol" w:cs="Symbol" w:hint="default"/>
      </w:rPr>
    </w:lvl>
  </w:abstractNum>
  <w:abstractNum w:abstractNumId="18">
    <w:lvl w:ilvl="0">
      <w:start w:val="1"/>
      <w:numFmt w:val="bullet"/>
      <w:lvlText w:val=""/>
      <w:lvlJc w:val="start"/>
      <w:pPr>
        <w:tabs>
          <w:tab w:val="num" w:pos="2707"/>
        </w:tabs>
        <w:ind w:start="2707" w:hanging="547"/>
      </w:pPr>
      <w:rPr>
        <w:rFonts w:ascii="Symbol" w:hAnsi="Symbol" w:cs="Symbol" w:hint="default"/>
      </w:rPr>
    </w:lvl>
    <w:lvl w:ilvl="1">
      <w:start w:val="1"/>
      <w:numFmt w:val="bullet"/>
      <w:lvlText w:val="o"/>
      <w:lvlJc w:val="start"/>
      <w:pPr>
        <w:tabs>
          <w:tab w:val="num" w:pos="2520"/>
        </w:tabs>
        <w:ind w:start="2520" w:hanging="360"/>
      </w:pPr>
      <w:rPr>
        <w:rFonts w:ascii="Courier New" w:hAnsi="Courier New" w:cs="Courier New" w:hint="default"/>
      </w:rPr>
    </w:lvl>
    <w:lvl w:ilvl="2">
      <w:start w:val="1"/>
      <w:numFmt w:val="bullet"/>
      <w:lvlText w:val=""/>
      <w:lvlJc w:val="start"/>
      <w:pPr>
        <w:tabs>
          <w:tab w:val="num" w:pos="3240"/>
        </w:tabs>
        <w:ind w:start="3240" w:hanging="360"/>
      </w:pPr>
      <w:rPr>
        <w:rFonts w:ascii="Wingdings" w:hAnsi="Wingdings" w:cs="Wingdings" w:hint="default"/>
      </w:rPr>
    </w:lvl>
    <w:lvl w:ilvl="3">
      <w:start w:val="1"/>
      <w:numFmt w:val="bullet"/>
      <w:lvlText w:val=""/>
      <w:lvlJc w:val="start"/>
      <w:pPr>
        <w:tabs>
          <w:tab w:val="num" w:pos="3960"/>
        </w:tabs>
        <w:ind w:start="3960" w:hanging="360"/>
      </w:pPr>
      <w:rPr>
        <w:rFonts w:ascii="Symbol" w:hAnsi="Symbol" w:cs="Symbol" w:hint="default"/>
      </w:rPr>
    </w:lvl>
    <w:lvl w:ilvl="4">
      <w:start w:val="1"/>
      <w:numFmt w:val="bullet"/>
      <w:lvlText w:val="o"/>
      <w:lvlJc w:val="start"/>
      <w:pPr>
        <w:tabs>
          <w:tab w:val="num" w:pos="4680"/>
        </w:tabs>
        <w:ind w:start="4680" w:hanging="360"/>
      </w:pPr>
      <w:rPr>
        <w:rFonts w:ascii="Courier New" w:hAnsi="Courier New" w:cs="Courier New" w:hint="default"/>
      </w:rPr>
    </w:lvl>
    <w:lvl w:ilvl="5">
      <w:start w:val="1"/>
      <w:numFmt w:val="bullet"/>
      <w:lvlText w:val=""/>
      <w:lvlJc w:val="start"/>
      <w:pPr>
        <w:tabs>
          <w:tab w:val="num" w:pos="5400"/>
        </w:tabs>
        <w:ind w:start="5400" w:hanging="360"/>
      </w:pPr>
      <w:rPr>
        <w:rFonts w:ascii="Wingdings" w:hAnsi="Wingdings" w:cs="Wingdings" w:hint="default"/>
      </w:rPr>
    </w:lvl>
    <w:lvl w:ilvl="6">
      <w:start w:val="1"/>
      <w:numFmt w:val="bullet"/>
      <w:lvlText w:val=""/>
      <w:lvlJc w:val="start"/>
      <w:pPr>
        <w:tabs>
          <w:tab w:val="num" w:pos="6120"/>
        </w:tabs>
        <w:ind w:start="6120" w:hanging="360"/>
      </w:pPr>
      <w:rPr>
        <w:rFonts w:ascii="Symbol" w:hAnsi="Symbol" w:cs="Symbol" w:hint="default"/>
      </w:rPr>
    </w:lvl>
    <w:lvl w:ilvl="7">
      <w:start w:val="1"/>
      <w:numFmt w:val="bullet"/>
      <w:lvlText w:val="o"/>
      <w:lvlJc w:val="start"/>
      <w:pPr>
        <w:tabs>
          <w:tab w:val="num" w:pos="6840"/>
        </w:tabs>
        <w:ind w:start="6840" w:hanging="360"/>
      </w:pPr>
      <w:rPr>
        <w:rFonts w:ascii="Courier New" w:hAnsi="Courier New" w:cs="Courier New" w:hint="default"/>
      </w:rPr>
    </w:lvl>
    <w:lvl w:ilvl="8">
      <w:start w:val="1"/>
      <w:numFmt w:val="bullet"/>
      <w:lvlText w:val=""/>
      <w:lvlJc w:val="start"/>
      <w:pPr>
        <w:tabs>
          <w:tab w:val="num" w:pos="7560"/>
        </w:tabs>
        <w:ind w:start="7560" w:hanging="360"/>
      </w:pPr>
      <w:rPr>
        <w:rFonts w:ascii="Wingdings" w:hAnsi="Wingdings" w:cs="Wingdings" w:hint="default"/>
      </w:rPr>
    </w:lvl>
  </w:abstractNum>
  <w:abstractNum w:abstractNumId="19">
    <w:lvl w:ilvl="0">
      <w:start w:val="1"/>
      <w:numFmt w:val="bullet"/>
      <w:lvlText w:val=""/>
      <w:lvlJc w:val="start"/>
      <w:pPr>
        <w:tabs>
          <w:tab w:val="num" w:pos="2160"/>
        </w:tabs>
        <w:ind w:start="2160" w:hanging="533"/>
      </w:pPr>
      <w:rPr>
        <w:rFonts w:ascii="Symbol" w:hAnsi="Symbol" w:cs="Symbol" w:hint="default"/>
      </w:rPr>
    </w:lvl>
  </w:abstractNum>
  <w:abstractNum w:abstractNumId="20">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Wingdings" w:hAnsi="Wingdings" w:cs="Wingdings"/>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Times New Roman" w:hAnsi="Times New Roman" w:cs="Times New Roman"/>
      <w:b/>
      <w:i w:val="false"/>
      <w:sz w:val="24"/>
    </w:rPr>
  </w:style>
  <w:style w:type="character" w:styleId="WW8Num15z4">
    <w:name w:val="WW8Num15z4"/>
    <w:qFormat/>
    <w:rPr>
      <w:rFonts w:ascii="Times New Roman Bold;Times New Roman" w:hAnsi="Times New Roman Bold;Times New Roman" w:cs="Times New Roman Bold;Times New Roman"/>
      <w:b/>
      <w:i w:val="false"/>
      <w:sz w:val="22"/>
      <w:szCs w:val="22"/>
    </w:rPr>
  </w:style>
  <w:style w:type="character" w:styleId="WW8Num15z5">
    <w:name w:val="WW8Num15z5"/>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Times New Roman Bold;Times New Roman" w:hAnsi="Times New Roman Bold;Times New Roman" w:cs="Times New Roman Bold;Times New Roman"/>
      <w:b/>
      <w:i w:val="false"/>
      <w:sz w:val="28"/>
    </w:rPr>
  </w:style>
  <w:style w:type="character" w:styleId="WW8Num20z2">
    <w:name w:val="WW8Num20z2"/>
    <w:qFormat/>
    <w:rPr>
      <w:rFonts w:ascii="Times New Roman" w:hAnsi="Times New Roman" w:cs="Times New Roman"/>
      <w:b/>
      <w:i w:val="false"/>
      <w:sz w:val="24"/>
    </w:rPr>
  </w:style>
  <w:style w:type="character" w:styleId="WW8Num20z4">
    <w:name w:val="WW8Num20z4"/>
    <w:qFormat/>
    <w:rPr>
      <w:rFonts w:ascii="Times New Roman" w:hAnsi="Times New Roman" w:cs="Times New Roman"/>
      <w:b w:val="false"/>
      <w:i w:val="false"/>
      <w:sz w:val="22"/>
    </w:rPr>
  </w:style>
  <w:style w:type="character" w:styleId="WW8Num20z8">
    <w:name w:val="WW8Num20z8"/>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Times New Roman Bold;Times New Roman" w:hAnsi="Times New Roman Bold;Times New Roman" w:cs="Times New Roman Bold;Times New Roman"/>
      <w:b/>
      <w:i w:val="false"/>
      <w:color w:val="000000"/>
      <w:sz w:val="28"/>
      <w:szCs w:val="28"/>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7z0">
    <w:name w:val="WW8Num27z0"/>
    <w:qFormat/>
    <w:rPr>
      <w:rFonts w:ascii="Wingdings" w:hAnsi="Wingdings" w:cs="Wingdings"/>
    </w:rPr>
  </w:style>
  <w:style w:type="character" w:styleId="WW8Num28z0">
    <w:name w:val="WW8Num28z0"/>
    <w:qFormat/>
    <w:rPr>
      <w:rFonts w:ascii="Wingdings" w:hAnsi="Wingdings" w:cs="Wingdings"/>
    </w:rPr>
  </w:style>
  <w:style w:type="character" w:styleId="WW8Num29z0">
    <w:name w:val="WW8Num29z0"/>
    <w:qFormat/>
    <w:rPr>
      <w:rFonts w:ascii="Symbol" w:hAnsi="Symbol" w:cs="Symbol"/>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35z0">
    <w:name w:val="WW8Num35z0"/>
    <w:qFormat/>
    <w:rPr>
      <w:rFonts w:ascii="Wingdings" w:hAnsi="Wingdings" w:cs="Wingdings"/>
    </w:rPr>
  </w:style>
  <w:style w:type="character" w:styleId="WW8Num36z0">
    <w:name w:val="WW8Num36z0"/>
    <w:qFormat/>
    <w:rPr>
      <w:rFonts w:ascii="Symbol" w:hAnsi="Symbol" w:cs="Symbol"/>
    </w:rPr>
  </w:style>
  <w:style w:type="character" w:styleId="WW8NumSt35z0">
    <w:name w:val="WW8NumSt35z0"/>
    <w:qFormat/>
    <w:rPr>
      <w:rFonts w:ascii="Wingdings" w:hAnsi="Wingdings" w:cs="Wingdings"/>
      <w:sz w:val="24"/>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FootnoteCharacters">
    <w:name w:val="Footnote Characters"/>
    <w:basedOn w:val="Absatz-Standardschriftart"/>
    <w:qFormat/>
    <w:rPr>
      <w:vertAlign w:val="superscript"/>
    </w:rPr>
  </w:style>
  <w:style w:type="character" w:styleId="Heading3NumberedChar">
    <w:name w:val="Heading 3 Numbered Char"/>
    <w:basedOn w:val="Absatz-Standardschriftart"/>
    <w:qFormat/>
    <w:rPr>
      <w:rFonts w:ascii="Times New Roman Bold;Times New Roman" w:hAnsi="Times New Roman Bold;Times New Roman" w:cs="Times New Roman Bold;Times New Roman"/>
      <w:b/>
      <w:sz w:val="28"/>
      <w:szCs w:val="24"/>
      <w:lang w:val="en-US" w:bidi="ar-SA"/>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2"/>
      </w:numPr>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8"/>
      </w:numPr>
      <w:tabs>
        <w:tab w:val="clear" w:pos="720"/>
        <w:tab w:val="left" w:pos="1440" w:leader="none"/>
      </w:tabs>
      <w:ind w:hanging="360" w:start="1440" w:end="0"/>
    </w:pPr>
    <w:rPr/>
  </w:style>
  <w:style w:type="paragraph" w:styleId="BodyTextBulletL1">
    <w:name w:val="Body Text Bullet L1"/>
    <w:basedOn w:val="Normal"/>
    <w:qFormat/>
    <w:pPr>
      <w:numPr>
        <w:ilvl w:val="0"/>
        <w:numId w:val="19"/>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20"/>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7"/>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OmniPage2">
    <w:name w:val="OmniPage #2"/>
    <w:basedOn w:val="Normal"/>
    <w:qFormat/>
    <w:pPr>
      <w:spacing w:lineRule="exact" w:line="320" w:before="0" w:after="0"/>
    </w:pPr>
    <w:rPr>
      <w:sz w:val="20"/>
      <w:szCs w:val="20"/>
    </w:rPr>
  </w:style>
  <w:style w:type="paragraph" w:styleId="OmniPage7">
    <w:name w:val="OmniPage #7"/>
    <w:basedOn w:val="Normal"/>
    <w:qFormat/>
    <w:pPr>
      <w:spacing w:lineRule="exact" w:line="200" w:before="0" w:after="0"/>
    </w:pPr>
    <w:rPr>
      <w:sz w:val="20"/>
      <w:szCs w:val="20"/>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2007-01-29T20:39:00Z</dcterms:created>
  <dc:creator>TPI</dc:creator>
  <dc:description>RFP8 Exhibit 15. Contains sample format and content for documenting COMPANY XYZ's Business Continuity Plan procedures.</dc:description>
  <dc:language>en-US</dc:language>
  <cp:lastModifiedBy>Wenger Plattner</cp:lastModifiedBy>
  <cp:lastPrinted>2007-01-29T16:08:00Z</cp:lastPrinted>
  <dcterms:modified xsi:type="dcterms:W3CDTF">2007-01-29T20:39:00Z</dcterms:modified>
  <cp:revision>2</cp:revision>
  <dc:subject/>
  <dc:title>RFP8 Exhibit 15 Business Continuity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Draft</vt:lpwstr>
  </property>
</Properties>
</file>