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r>
    </w:p>
    <w:p>
      <w:pPr>
        <w:pStyle w:val="Titel"/>
        <w:rPr/>
      </w:pPr>
      <w:r>
        <w:rPr/>
      </w:r>
    </w:p>
    <w:p>
      <w:pPr>
        <w:pStyle w:val="Titel"/>
        <w:rPr/>
      </w:pPr>
      <w:r>
        <w:rPr/>
        <w:t>GlobalPharma</w:t>
      </w:r>
    </w:p>
    <w:p>
      <w:pPr>
        <w:pStyle w:val="Titel"/>
        <w:rPr/>
      </w:pPr>
      <w:r>
        <w:rPr/>
      </w:r>
    </w:p>
    <w:p>
      <w:pPr>
        <w:pStyle w:val="Titel"/>
        <w:rPr/>
      </w:pPr>
      <w:r>
        <w:rPr/>
        <w:t>Exhibit 16</w:t>
      </w:r>
    </w:p>
    <w:p>
      <w:pPr>
        <w:pStyle w:val="Titel"/>
        <w:rPr/>
      </w:pPr>
      <w:r>
        <w:rPr/>
      </w:r>
    </w:p>
    <w:p>
      <w:pPr>
        <w:pStyle w:val="Titel"/>
        <w:rPr>
          <w:highlight w:val="yellow"/>
        </w:rPr>
      </w:pPr>
      <w:r>
        <w:rPr/>
        <w:t>it disaster recovery plan</w:t>
      </w:r>
    </w:p>
    <w:p>
      <w:pPr>
        <w:pStyle w:val="Titel"/>
        <w:rPr>
          <w:highlight w:val="yellow"/>
        </w:rPr>
      </w:pPr>
      <w:r>
        <w:rPr>
          <w:highlight w:val="yellow"/>
        </w:rPr>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It is furnished for the performance of The Agreements only. Except with the express prior written permission of GlobalPharma, this document and the information contained herein may not be published, disclosed, or used for any other purpose.</w:t>
            </w:r>
          </w:p>
          <w:p>
            <w:pPr>
              <w:pStyle w:val="Normal"/>
              <w:spacing w:before="120" w:after="120"/>
              <w:jc w:val="center"/>
              <w:rPr/>
            </w:pPr>
            <w:r>
              <w:rPr/>
            </w:r>
          </w:p>
        </w:tc>
      </w:tr>
    </w:tbl>
    <w:p>
      <w:pPr>
        <w:sectPr>
          <w:headerReference w:type="default" r:id="rId2"/>
          <w:footerReference w:type="default" r:id="rId3"/>
          <w:type w:val="nextPage"/>
          <w:pgSz w:w="11906" w:h="16838"/>
          <w:pgMar w:left="1440" w:right="1440" w:gutter="0" w:header="720" w:top="1728" w:footer="720" w:bottom="1728"/>
          <w:pgNumType w:fmt="decimal"/>
          <w:formProt w:val="false"/>
          <w:textDirection w:val="lrTb"/>
          <w:docGrid w:type="default" w:linePitch="360" w:charSpace="0"/>
        </w:sectPr>
        <w:pStyle w:val="Normal"/>
        <w:rPr/>
      </w:pPr>
      <w:r>
        <w:rPr/>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10250"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"Heading 1 Numbered;1;Heading 2 Numbered;2" </w:instrText>
          </w:r>
          <w:r>
            <w:rPr>
              <w:rStyle w:val="IndexLink"/>
              <w:lang w:val="en-US" w:eastAsia="en-US"/>
            </w:rPr>
            <w:fldChar w:fldCharType="separate"/>
          </w:r>
          <w:hyperlink w:anchor="__RefHeading___Toc157569049">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Disaster recovery requirements</w:t>
              <w:tab/>
              <w:t>2</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569050">
            <w:r>
              <w:rPr>
                <w:rStyle w:val="IndexLink"/>
                <w:lang w:val="en-US" w:eastAsia="en-US"/>
              </w:rPr>
              <w:t>1.1</w:t>
            </w:r>
            <w:r>
              <w:rPr>
                <w:rStyle w:val="IndexLink"/>
                <w:caps w:val="false"/>
                <w:smallCaps w:val="false"/>
                <w:sz w:val="24"/>
                <w:szCs w:val="24"/>
                <w:lang w:val="de-CH" w:eastAsia="en-US"/>
              </w:rPr>
              <w:tab/>
            </w:r>
            <w:r>
              <w:rPr>
                <w:rStyle w:val="IndexLink"/>
                <w:lang w:val="en-US" w:eastAsia="en-US"/>
              </w:rPr>
              <w:t>Disaster Recovery Planning</w:t>
              <w:tab/>
              <w:t>2</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569051">
            <w:r>
              <w:rPr>
                <w:rStyle w:val="IndexLink"/>
                <w:lang w:val="en-US" w:eastAsia="en-US"/>
              </w:rPr>
              <w:t>1.2</w:t>
            </w:r>
            <w:r>
              <w:rPr>
                <w:rStyle w:val="IndexLink"/>
                <w:caps w:val="false"/>
                <w:smallCaps w:val="false"/>
                <w:sz w:val="24"/>
                <w:szCs w:val="24"/>
                <w:lang w:val="de-CH" w:eastAsia="en-US"/>
              </w:rPr>
              <w:tab/>
            </w:r>
            <w:r>
              <w:rPr>
                <w:rStyle w:val="IndexLink"/>
                <w:lang w:val="en-US" w:eastAsia="en-US"/>
              </w:rPr>
              <w:t>Disaster Recovery Testing</w:t>
              <w:tab/>
              <w:t>3</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569052">
            <w:r>
              <w:rPr>
                <w:rStyle w:val="IndexLink"/>
                <w:lang w:val="en-US" w:eastAsia="en-US"/>
              </w:rPr>
              <w:t>1.3</w:t>
            </w:r>
            <w:r>
              <w:rPr>
                <w:rStyle w:val="IndexLink"/>
                <w:caps w:val="false"/>
                <w:smallCaps w:val="false"/>
                <w:sz w:val="24"/>
                <w:szCs w:val="24"/>
                <w:lang w:val="de-CH" w:eastAsia="en-US"/>
              </w:rPr>
              <w:tab/>
            </w:r>
            <w:r>
              <w:rPr>
                <w:rStyle w:val="IndexLink"/>
                <w:lang w:val="en-US" w:eastAsia="en-US"/>
              </w:rPr>
              <w:t>Disaster Recovery Activities</w:t>
              <w:tab/>
              <w:t>3</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569053">
            <w:r>
              <w:rPr>
                <w:rStyle w:val="IndexLink"/>
                <w:lang w:val="en-US" w:eastAsia="en-US"/>
              </w:rPr>
              <w:t>1.4</w:t>
            </w:r>
            <w:r>
              <w:rPr>
                <w:rStyle w:val="IndexLink"/>
                <w:caps w:val="false"/>
                <w:smallCaps w:val="false"/>
                <w:sz w:val="24"/>
                <w:szCs w:val="24"/>
                <w:lang w:val="de-CH" w:eastAsia="en-US"/>
              </w:rPr>
              <w:tab/>
            </w:r>
            <w:r>
              <w:rPr>
                <w:rStyle w:val="IndexLink"/>
                <w:lang w:val="en-US" w:eastAsia="en-US"/>
              </w:rPr>
              <w:t>Other Disaster Recovery Activities</w:t>
              <w:tab/>
              <w:t>4</w:t>
            </w:r>
          </w:hyperlink>
        </w:p>
        <w:p>
          <w:pPr>
            <w:pStyle w:val="TOC2"/>
            <w:tabs>
              <w:tab w:val="clear" w:pos="720"/>
              <w:tab w:val="left" w:pos="880" w:leader="none"/>
              <w:tab w:val="right" w:pos="10250" w:leader="dot"/>
            </w:tabs>
            <w:rPr>
              <w:sz w:val="24"/>
              <w:szCs w:val="24"/>
              <w:lang w:val="de-CH" w:eastAsia="en-US"/>
            </w:rPr>
          </w:pPr>
          <w:hyperlink w:anchor="__RefHeading___Toc157569054">
            <w:r>
              <w:rPr>
                <w:rStyle w:val="IndexLink"/>
                <w:caps w:val="false"/>
                <w:smallCaps w:val="false"/>
                <w:lang w:val="en-US" w:eastAsia="en-US"/>
              </w:rPr>
              <w:t>1.5</w:t>
            </w:r>
            <w:r>
              <w:rPr>
                <w:rStyle w:val="IndexLink"/>
                <w:caps w:val="false"/>
                <w:smallCaps w:val="false"/>
                <w:sz w:val="24"/>
                <w:szCs w:val="24"/>
                <w:lang w:val="de-CH" w:eastAsia="en-US"/>
              </w:rPr>
              <w:tab/>
            </w:r>
            <w:r>
              <w:rPr>
                <w:rStyle w:val="IndexLink"/>
                <w:caps w:val="false"/>
                <w:smallCaps w:val="false"/>
                <w:lang w:val="en-US" w:eastAsia="en-US"/>
              </w:rPr>
              <w:t>Crisis Management</w:t>
              <w:tab/>
              <w:t>4</w:t>
            </w:r>
          </w:hyperlink>
          <w:r>
            <w:rPr>
              <w:rStyle w:val="IndexLink"/>
              <w:smallCaps w:val="false"/>
              <w:caps w:val="false"/>
              <w:lang w:val="en-US" w:eastAsia="en-US"/>
            </w:rPr>
            <w:fldChar w:fldCharType="end"/>
          </w:r>
        </w:p>
      </w:sdtContent>
    </w:sdt>
    <w:p>
      <w:pPr>
        <w:pStyle w:val="Normal"/>
        <w:rPr>
          <w:b/>
          <w:bCs/>
          <w:caps/>
          <w:sz w:val="20"/>
          <w:szCs w:val="20"/>
          <w:lang w:val="de-CH" w:eastAsia="en-US"/>
        </w:rPr>
      </w:pPr>
      <w:r>
        <w:rPr>
          <w:b/>
          <w:bCs/>
          <w:caps/>
          <w:sz w:val="20"/>
          <w:szCs w:val="20"/>
          <w:lang w:val="de-CH" w:eastAsia="en-US"/>
        </w:rPr>
      </w:r>
    </w:p>
    <w:p>
      <w:pPr>
        <w:pStyle w:val="Heading1Numbered"/>
        <w:numPr>
          <w:ilvl w:val="0"/>
          <w:numId w:val="12"/>
        </w:numPr>
        <w:ind w:hanging="0" w:start="0"/>
        <w:rPr/>
      </w:pPr>
      <w:bookmarkStart w:id="0" w:name="__RefHeading___Toc157569049"/>
      <w:bookmarkEnd w:id="0"/>
      <w:r>
        <w:rPr/>
        <w:t>Disaster recovery requirements</w:t>
      </w:r>
    </w:p>
    <w:p>
      <w:pPr>
        <w:pStyle w:val="Heading2Numbered"/>
        <w:numPr>
          <w:ilvl w:val="1"/>
          <w:numId w:val="12"/>
        </w:numPr>
        <w:ind w:hanging="0" w:start="0"/>
        <w:rPr/>
      </w:pPr>
      <w:bookmarkStart w:id="1" w:name="__RefHeading___Toc157569050"/>
      <w:bookmarkEnd w:id="1"/>
      <w:r>
        <w:rPr/>
        <w:t>Disaster Recovery Planning</w:t>
      </w:r>
    </w:p>
    <w:p>
      <w:pPr>
        <w:pStyle w:val="Heading3Numbered"/>
        <w:numPr>
          <w:ilvl w:val="2"/>
          <w:numId w:val="12"/>
        </w:numPr>
        <w:ind w:hanging="0" w:start="0"/>
        <w:rPr/>
      </w:pPr>
      <w:r>
        <w:rPr/>
        <w:t>The Service Provider’s responsibilities include, but are not limited to:</w:t>
      </w:r>
    </w:p>
    <w:p>
      <w:pPr>
        <w:pStyle w:val="Heading3Numbered"/>
        <w:numPr>
          <w:ilvl w:val="2"/>
          <w:numId w:val="12"/>
        </w:numPr>
        <w:ind w:hanging="0" w:start="0"/>
        <w:rPr>
          <w:rFonts w:ascii="Arial" w:hAnsi="Arial" w:cs="Arial"/>
          <w:szCs w:val="22"/>
        </w:rPr>
      </w:pPr>
      <w:r>
        <w:rPr/>
        <w:t>Review and provide input to GlobalPharma about measures and details of the portion of the Disaster Recovery plans of GlobalPharma, as they exist on the effective Date and are applicable to the services being provisioned.</w:t>
      </w:r>
    </w:p>
    <w:p>
      <w:pPr>
        <w:pStyle w:val="Heading3Numbered"/>
        <w:numPr>
          <w:ilvl w:val="2"/>
          <w:numId w:val="12"/>
        </w:numPr>
        <w:ind w:hanging="0" w:start="0"/>
        <w:rPr>
          <w:rFonts w:ascii="Arial" w:hAnsi="Arial" w:cs="Arial"/>
          <w:szCs w:val="22"/>
        </w:rPr>
      </w:pPr>
      <w:r>
        <w:rPr/>
        <w:t>Perform a gap analysis of GlobalPharma Disaster Recovery plans that exist on the Effective Date for any process that is handled by the Service Provider, and develop rationale and recommendations to address any perceived gaps for the same.</w:t>
      </w:r>
    </w:p>
    <w:p>
      <w:pPr>
        <w:pStyle w:val="Heading3Numbered"/>
        <w:numPr>
          <w:ilvl w:val="2"/>
          <w:numId w:val="12"/>
        </w:numPr>
        <w:ind w:hanging="0" w:start="0"/>
        <w:rPr/>
      </w:pPr>
      <w:r>
        <w:rPr/>
        <w:t>Develop and implement a Disaster Recovery Plan for those Services being performed by the Service Provider that are not included in GlobalPharma’s existing Disaster Recovery Plan.</w:t>
      </w:r>
    </w:p>
    <w:p>
      <w:pPr>
        <w:pStyle w:val="Heading3Numbered"/>
        <w:numPr>
          <w:ilvl w:val="2"/>
          <w:numId w:val="12"/>
        </w:numPr>
        <w:ind w:hanging="0" w:start="0"/>
        <w:rPr/>
      </w:pPr>
      <w:r>
        <w:rPr/>
        <w:t>Maintain and continually enhance GlobalPharma Disaster Recovery Plans throughout the term of the Agreement, including enhancements required due to the introduction and use of new technologies (as applicable to the scope of services), Resource Units, processes, business functions, locations, priorities, and new risks (such as political instability and terrorism) in accordance with appropriate section of the Agreement.</w:t>
      </w:r>
    </w:p>
    <w:p>
      <w:pPr>
        <w:pStyle w:val="Heading3Numbered"/>
        <w:numPr>
          <w:ilvl w:val="2"/>
          <w:numId w:val="12"/>
        </w:numPr>
        <w:ind w:hanging="0" w:start="0"/>
        <w:rPr>
          <w:szCs w:val="22"/>
        </w:rPr>
      </w:pPr>
      <w:r>
        <w:rPr/>
        <w:t>Participate in the integration of the Disaster Recovery plans with GlobalPharma’s retained functions.</w:t>
      </w:r>
    </w:p>
    <w:p>
      <w:pPr>
        <w:pStyle w:val="Heading3Numbered"/>
        <w:numPr>
          <w:ilvl w:val="2"/>
          <w:numId w:val="12"/>
        </w:numPr>
        <w:ind w:hanging="0" w:start="0"/>
        <w:rPr/>
      </w:pPr>
      <w:r>
        <w:rPr/>
        <w:t>Document the manner and procedures by which the Service Provider will provide Disaster Recovery services and assist with Business Continuity.</w:t>
      </w:r>
    </w:p>
    <w:p>
      <w:pPr>
        <w:pStyle w:val="Heading3Numbered"/>
        <w:numPr>
          <w:ilvl w:val="2"/>
          <w:numId w:val="12"/>
        </w:numPr>
        <w:ind w:hanging="0" w:start="0"/>
        <w:rPr>
          <w:szCs w:val="22"/>
        </w:rPr>
      </w:pPr>
      <w:r>
        <w:rPr/>
        <w:t>Participate in the integration of the Disaster Recovery Plans related to the Services with any company-wide Business Continuity Plans and activities of GlobalPharma.</w:t>
      </w:r>
    </w:p>
    <w:p>
      <w:pPr>
        <w:pStyle w:val="Heading3Numbered"/>
        <w:numPr>
          <w:ilvl w:val="2"/>
          <w:numId w:val="12"/>
        </w:numPr>
        <w:ind w:hanging="0" w:start="0"/>
        <w:rPr/>
      </w:pPr>
      <w:r>
        <w:rPr/>
        <w:t>Maintain a list of key personnel contacts and notification procedures for GlobalPharma, the Service Provider, and Third Party Vendor personnel.</w:t>
      </w:r>
    </w:p>
    <w:p>
      <w:pPr>
        <w:pStyle w:val="Heading3Numbered"/>
        <w:numPr>
          <w:ilvl w:val="2"/>
          <w:numId w:val="12"/>
        </w:numPr>
        <w:ind w:hanging="0" w:start="0"/>
        <w:rPr/>
      </w:pPr>
      <w:r>
        <w:rPr/>
        <w:t>Provide a single point of contact for Business Continuity and Disaster Recovery Plans, related communications and other activities that are the Service Provider’s responsibility.</w:t>
      </w:r>
    </w:p>
    <w:p>
      <w:pPr>
        <w:pStyle w:val="Heading3Numbered"/>
        <w:numPr>
          <w:ilvl w:val="2"/>
          <w:numId w:val="12"/>
        </w:numPr>
        <w:ind w:hanging="0" w:start="0"/>
        <w:rPr/>
      </w:pPr>
      <w:r>
        <w:rPr/>
        <w:t>Train Service Provider personnel in Disaster Recovery procedures and implementing a process to provide access documented procedures in a disaster situation.</w:t>
      </w:r>
    </w:p>
    <w:p>
      <w:pPr>
        <w:pStyle w:val="Heading2Numbered"/>
        <w:numPr>
          <w:ilvl w:val="1"/>
          <w:numId w:val="12"/>
        </w:numPr>
        <w:ind w:hanging="0" w:start="0"/>
        <w:rPr/>
      </w:pPr>
      <w:bookmarkStart w:id="2" w:name="__RefHeading___Toc157569051"/>
      <w:bookmarkEnd w:id="2"/>
      <w:r>
        <w:rPr/>
        <w:t>Disaster Recovery Testing</w:t>
      </w:r>
    </w:p>
    <w:p>
      <w:pPr>
        <w:pStyle w:val="Heading3Numbered"/>
        <w:numPr>
          <w:ilvl w:val="2"/>
          <w:numId w:val="12"/>
        </w:numPr>
        <w:ind w:hanging="0" w:start="0"/>
        <w:rPr/>
      </w:pPr>
      <w:r>
        <w:rPr/>
        <w:t>The Service Provider</w:t>
      </w:r>
      <w:r>
        <w:rPr>
          <w:rFonts w:cs="Times New Roman" w:ascii="Times New Roman" w:hAnsi="Times New Roman"/>
        </w:rPr>
        <w:t>’</w:t>
      </w:r>
      <w:r>
        <w:rPr/>
        <w:t>s responsibilities include, but are not limited to:</w:t>
      </w:r>
    </w:p>
    <w:p>
      <w:pPr>
        <w:pStyle w:val="Heading3Numbered"/>
        <w:numPr>
          <w:ilvl w:val="2"/>
          <w:numId w:val="12"/>
        </w:numPr>
        <w:ind w:hanging="0" w:start="0"/>
        <w:rPr/>
      </w:pPr>
      <w:r>
        <w:rPr/>
        <w:t>Establish joint test objectives with GlobalPharma designed to verify that GlobalPharma systems and processing will be available within established timeframes.</w:t>
      </w:r>
    </w:p>
    <w:p>
      <w:pPr>
        <w:pStyle w:val="Heading3Numbered"/>
        <w:numPr>
          <w:ilvl w:val="2"/>
          <w:numId w:val="12"/>
        </w:numPr>
        <w:ind w:hanging="0" w:start="0"/>
        <w:rPr/>
      </w:pPr>
      <w:r>
        <w:rPr/>
        <w:t>Schedule testing dates with GlobalPharma’s approval and giving GlobalPharma and its representatives the opportunity to observe and participate in the tests.</w:t>
      </w:r>
      <w:r>
        <w:rPr>
          <w:rFonts w:cs="Times New Roman" w:ascii="Times New Roman" w:hAnsi="Times New Roman"/>
        </w:rPr>
      </w:r>
      <w:r>
        <w:rPr/>
      </w:r>
    </w:p>
    <w:p>
      <w:pPr>
        <w:pStyle w:val="Heading3Numbered"/>
        <w:numPr>
          <w:ilvl w:val="2"/>
          <w:numId w:val="12"/>
        </w:numPr>
        <w:ind w:hanging="0" w:start="0"/>
        <w:rPr/>
      </w:pPr>
      <w:r>
        <w:rPr/>
        <w:t>Provide GlobalPharma and its representatives the opportunity to observe and participate in the tests.</w:t>
      </w:r>
    </w:p>
    <w:p>
      <w:pPr>
        <w:pStyle w:val="Heading3Numbered"/>
        <w:numPr>
          <w:ilvl w:val="2"/>
          <w:numId w:val="12"/>
        </w:numPr>
        <w:ind w:hanging="0" w:start="0"/>
        <w:rPr/>
      </w:pPr>
      <w:r>
        <w:rPr/>
        <w:t>Schedule and test the Disaster Recovery Plan in cooperation with GlobalPharma, its designees, testing and recovery suppliers, and other Third Party Vendors providing services to GlobalPharma.</w:t>
      </w:r>
    </w:p>
    <w:p>
      <w:pPr>
        <w:pStyle w:val="Heading3Numbered"/>
        <w:numPr>
          <w:ilvl w:val="2"/>
          <w:numId w:val="12"/>
        </w:numPr>
        <w:ind w:hanging="0" w:start="0"/>
        <w:rPr/>
      </w:pPr>
      <w:r>
        <w:rPr/>
        <w:t>Provide GlobalPharma with a formal report of the test results within thirty (30) days of each test.</w:t>
      </w:r>
    </w:p>
    <w:p>
      <w:pPr>
        <w:pStyle w:val="Heading3Numbered"/>
        <w:numPr>
          <w:ilvl w:val="2"/>
          <w:numId w:val="12"/>
        </w:numPr>
        <w:ind w:hanging="0" w:start="0"/>
        <w:rPr/>
      </w:pPr>
      <w:r>
        <w:rPr/>
        <w:t>Retest if any disaster simulation(s) fails to achieve specified results due to the Service Provider’s failure to perform its responsibilities. Update the Disaster Recovery plans upon re-testing and verifying that the remedy was successful.</w:t>
      </w:r>
    </w:p>
    <w:p>
      <w:pPr>
        <w:pStyle w:val="Heading3Numbered"/>
        <w:numPr>
          <w:ilvl w:val="2"/>
          <w:numId w:val="12"/>
        </w:numPr>
        <w:ind w:hanging="0" w:start="0"/>
        <w:rPr/>
      </w:pPr>
      <w:r>
        <w:rPr/>
        <w:t>Update the Disaster Recovery plans upon re-testing, verify that the remediation was successful, and provide report to GlobalPharma.</w:t>
      </w:r>
    </w:p>
    <w:p>
      <w:pPr>
        <w:pStyle w:val="Heading2Numbered"/>
        <w:numPr>
          <w:ilvl w:val="1"/>
          <w:numId w:val="12"/>
        </w:numPr>
        <w:ind w:hanging="0" w:start="0"/>
        <w:rPr/>
      </w:pPr>
      <w:bookmarkStart w:id="3" w:name="__RefHeading___Toc157569052"/>
      <w:bookmarkEnd w:id="3"/>
      <w:r>
        <w:rPr/>
        <w:t>Disaster Recovery Activities</w:t>
      </w:r>
    </w:p>
    <w:p>
      <w:pPr>
        <w:pStyle w:val="Heading3Numbered"/>
        <w:numPr>
          <w:ilvl w:val="2"/>
          <w:numId w:val="12"/>
        </w:numPr>
        <w:ind w:hanging="0" w:start="0"/>
        <w:rPr/>
      </w:pPr>
      <w:r>
        <w:rPr/>
        <w:t>The Service Provider’s responsibilities include, but are not limited to:</w:t>
      </w:r>
    </w:p>
    <w:p>
      <w:pPr>
        <w:pStyle w:val="Heading3Numbered"/>
        <w:numPr>
          <w:ilvl w:val="2"/>
          <w:numId w:val="12"/>
        </w:numPr>
        <w:ind w:hanging="0" w:start="0"/>
        <w:rPr>
          <w:rFonts w:ascii="Arial" w:hAnsi="Arial" w:cs="Arial"/>
          <w:szCs w:val="22"/>
        </w:rPr>
      </w:pPr>
      <w:r>
        <w:rPr/>
        <w:t>Report disasters (or potential disasters) to GlobalPharma immediately upon identification based on parameters defined in the Disaster Recovery Plan, and consult with GlobalPharma for an official declaration of a disaster as appropriate.</w:t>
      </w:r>
    </w:p>
    <w:p>
      <w:pPr>
        <w:pStyle w:val="Heading3Numbered"/>
        <w:numPr>
          <w:ilvl w:val="2"/>
          <w:numId w:val="12"/>
        </w:numPr>
        <w:ind w:hanging="0" w:start="0"/>
        <w:rPr/>
      </w:pPr>
      <w:r>
        <w:rPr/>
        <w:t>For Service Provider’s own run facilities where the Service Provider has oversight responsibility, declare disasters based on parameters defined in the Disaster Recovery Plan, and consult with GlobalPharma for an official declaration of a disaster as appropriate.</w:t>
      </w:r>
      <w:r>
        <w:rPr>
          <w:rFonts w:cs="Times New Roman" w:ascii="Times New Roman" w:hAnsi="Times New Roman"/>
        </w:rPr>
      </w:r>
      <w:r>
        <w:rPr/>
      </w:r>
    </w:p>
    <w:p>
      <w:pPr>
        <w:pStyle w:val="Heading3Numbered"/>
        <w:numPr>
          <w:ilvl w:val="2"/>
          <w:numId w:val="12"/>
        </w:numPr>
        <w:ind w:hanging="0" w:start="0"/>
        <w:rPr/>
      </w:pPr>
      <w:r>
        <w:rPr/>
        <w:t>Notify GlobalPharma of situations that may escalate to disasters based on parameters defined in the Disaster Recovery Plan.</w:t>
      </w:r>
    </w:p>
    <w:p>
      <w:pPr>
        <w:pStyle w:val="Heading3Numbered"/>
        <w:numPr>
          <w:ilvl w:val="2"/>
          <w:numId w:val="12"/>
        </w:numPr>
        <w:ind w:hanging="0" w:start="0"/>
        <w:rPr/>
      </w:pPr>
      <w:r>
        <w:rPr/>
        <w:t>Execute the Disaster Recovery Plans including assumption of the responsibility to operate the Service Provider own equipment; restore the Service Provider own software; verify that data is recovered to the appropriate point in time; and provide all other functions associated with the Services</w:t>
      </w:r>
    </w:p>
    <w:p>
      <w:pPr>
        <w:pStyle w:val="Heading3Numbered"/>
        <w:numPr>
          <w:ilvl w:val="2"/>
          <w:numId w:val="12"/>
        </w:numPr>
        <w:ind w:hanging="0" w:start="0"/>
        <w:rPr/>
      </w:pPr>
      <w:r>
        <w:rPr/>
        <w:t>In accordance with the Disaster Recovery Plans, determine what resources to deploy; and conduct, supervise, and administer the operation and implementation of such resources.</w:t>
      </w:r>
    </w:p>
    <w:p>
      <w:pPr>
        <w:pStyle w:val="Heading3Numbered"/>
        <w:numPr>
          <w:ilvl w:val="2"/>
          <w:numId w:val="12"/>
        </w:numPr>
        <w:ind w:hanging="0" w:start="0"/>
        <w:rPr/>
      </w:pPr>
      <w:r>
        <w:rPr/>
        <w:t>Provide additional resources as necessary to maintain provision of the Services for unaffected areas and re-aligning resources to maintain Business Continuity.</w:t>
      </w:r>
    </w:p>
    <w:p>
      <w:pPr>
        <w:pStyle w:val="Heading3Numbered"/>
        <w:numPr>
          <w:ilvl w:val="2"/>
          <w:numId w:val="12"/>
        </w:numPr>
        <w:ind w:hanging="0" w:start="0"/>
        <w:rPr/>
      </w:pPr>
      <w:r>
        <w:rPr/>
        <w:t>Following any disaster, conduct a post-disaster meeting with GlobalPharma in order to understand the root cause of the disaster; and develop plans to eliminate or mitigate future occurrences, if applicable.</w:t>
      </w:r>
    </w:p>
    <w:p>
      <w:pPr>
        <w:pStyle w:val="Heading2Numbered"/>
        <w:numPr>
          <w:ilvl w:val="1"/>
          <w:numId w:val="12"/>
        </w:numPr>
        <w:ind w:hanging="0" w:start="0"/>
        <w:rPr/>
      </w:pPr>
      <w:bookmarkStart w:id="4" w:name="__RefHeading___Toc157569053"/>
      <w:bookmarkEnd w:id="4"/>
      <w:r>
        <w:rPr/>
        <w:t>Other Disaster Recovery Activities</w:t>
      </w:r>
    </w:p>
    <w:p>
      <w:pPr>
        <w:pStyle w:val="Heading3Numbered"/>
        <w:numPr>
          <w:ilvl w:val="2"/>
          <w:numId w:val="12"/>
        </w:numPr>
        <w:ind w:hanging="0" w:start="0"/>
        <w:rPr>
          <w:rFonts w:ascii="Arial" w:hAnsi="Arial" w:cs="Arial"/>
          <w:szCs w:val="22"/>
        </w:rPr>
      </w:pPr>
      <w:r>
        <w:rPr/>
        <w:t>The Service Provider’s responsibilities include, but are not limited to:</w:t>
      </w:r>
    </w:p>
    <w:p>
      <w:pPr>
        <w:pStyle w:val="Heading3Numbered"/>
        <w:numPr>
          <w:ilvl w:val="2"/>
          <w:numId w:val="12"/>
        </w:numPr>
        <w:ind w:hanging="0" w:start="0"/>
        <w:rPr>
          <w:szCs w:val="22"/>
        </w:rPr>
      </w:pPr>
      <w:r>
        <w:rPr/>
        <w:t>Negotiate and manage Service Provider Third Party Disaster Recovery contracts in support of Service Provider Disaster Recovery Plan.</w:t>
      </w:r>
    </w:p>
    <w:p>
      <w:pPr>
        <w:pStyle w:val="Heading3Numbered"/>
        <w:numPr>
          <w:ilvl w:val="2"/>
          <w:numId w:val="12"/>
        </w:numPr>
        <w:ind w:hanging="0" w:start="0"/>
        <w:rPr>
          <w:szCs w:val="22"/>
        </w:rPr>
      </w:pPr>
      <w:r>
        <w:rPr/>
        <w:t>Maintain compliance with the Disaster Recovery policies, standards and procedures contained in GlobalPharma’s Disaster Recovery plan.</w:t>
      </w:r>
    </w:p>
    <w:p>
      <w:pPr>
        <w:pStyle w:val="Heading3Numbered"/>
        <w:numPr>
          <w:ilvl w:val="2"/>
          <w:numId w:val="12"/>
        </w:numPr>
        <w:ind w:hanging="0" w:start="0"/>
        <w:rPr>
          <w:szCs w:val="22"/>
        </w:rPr>
      </w:pPr>
      <w:r>
        <w:rPr/>
        <w:t>Provide train the trainer training to Service Provider and other personnel defined in the Disaster Recovery plan.</w:t>
      </w:r>
    </w:p>
    <w:p>
      <w:pPr>
        <w:pStyle w:val="Heading2Numbered"/>
        <w:numPr>
          <w:ilvl w:val="1"/>
          <w:numId w:val="12"/>
        </w:numPr>
        <w:ind w:hanging="0" w:start="0"/>
        <w:rPr/>
      </w:pPr>
      <w:bookmarkStart w:id="5" w:name="__RefHeading___Toc157569054"/>
      <w:bookmarkEnd w:id="5"/>
      <w:r>
        <w:rPr/>
        <w:t>Crisis Management</w:t>
      </w:r>
    </w:p>
    <w:p>
      <w:pPr>
        <w:pStyle w:val="Heading3Numbered"/>
        <w:numPr>
          <w:ilvl w:val="2"/>
          <w:numId w:val="12"/>
        </w:numPr>
        <w:ind w:hanging="0" w:start="0"/>
        <w:rPr/>
      </w:pPr>
      <w:r>
        <w:rPr/>
        <w:t>The Service Provider’s responsibilities include, but are not limited to:</w:t>
      </w:r>
    </w:p>
    <w:p>
      <w:pPr>
        <w:pStyle w:val="Heading3Numbered"/>
        <w:numPr>
          <w:ilvl w:val="2"/>
          <w:numId w:val="12"/>
        </w:numPr>
        <w:ind w:hanging="0" w:start="0"/>
        <w:rPr>
          <w:color w:val="000000"/>
        </w:rPr>
      </w:pPr>
      <w:r>
        <w:rPr>
          <w:color w:val="000000"/>
        </w:rPr>
        <w:t>Provide crisis response strategy (incl. description of roles, responsibilities and services of the crisis leadership team and crisis command centre) to minimize damage in times of crisis with regard to any problem related to infrastructure, technology, workforce, and other geopolitical disturbances for approval by GlobalPharma within 30 days after commencement date.</w:t>
      </w:r>
    </w:p>
    <w:p>
      <w:pPr>
        <w:pStyle w:val="Heading3Numbered"/>
        <w:numPr>
          <w:ilvl w:val="2"/>
          <w:numId w:val="12"/>
        </w:numPr>
        <w:ind w:hanging="0" w:start="0"/>
        <w:rPr/>
      </w:pPr>
      <w:r>
        <w:rPr>
          <w:color w:val="000000"/>
        </w:rPr>
        <w:t>Provide timely, clear, and accurate communication in such an event and ensure that detailed</w:t>
      </w:r>
      <w:r>
        <w:rPr/>
        <w:t xml:space="preserve"> communication structures are in place for each location and level of emergency.</w:t>
      </w:r>
    </w:p>
    <w:p>
      <w:pPr>
        <w:pStyle w:val="Heading3Numbered"/>
        <w:numPr>
          <w:ilvl w:val="2"/>
          <w:numId w:val="12"/>
        </w:numPr>
        <w:ind w:hanging="0" w:start="0"/>
        <w:rPr>
          <w:szCs w:val="22"/>
        </w:rPr>
      </w:pPr>
      <w:r>
        <w:rPr/>
        <w:t>Provide increased support as needed to mitigate the situation when a crisis is declared.</w:t>
      </w:r>
    </w:p>
    <w:p>
      <w:pPr>
        <w:pStyle w:val="Heading3Numbered"/>
        <w:numPr>
          <w:ilvl w:val="2"/>
          <w:numId w:val="12"/>
        </w:numPr>
        <w:ind w:hanging="0" w:start="0"/>
        <w:rPr>
          <w:szCs w:val="22"/>
        </w:rPr>
      </w:pPr>
      <w:r>
        <w:rPr/>
        <w:t>Report crisis events.</w:t>
      </w:r>
    </w:p>
    <w:p>
      <w:pPr>
        <w:pStyle w:val="BodyText"/>
        <w:spacing w:before="180" w:after="180"/>
        <w:ind w:start="0" w:end="0"/>
        <w:rPr>
          <w:szCs w:val="22"/>
        </w:rPr>
      </w:pPr>
      <w:r>
        <w:rPr>
          <w:szCs w:val="22"/>
        </w:rPr>
      </w:r>
    </w:p>
    <w:sectPr>
      <w:headerReference w:type="default" r:id="rId4"/>
      <w:headerReference w:type="first" r:id="rId5"/>
      <w:footerReference w:type="default" r:id="rId6"/>
      <w:footerReference w:type="first" r:id="rId7"/>
      <w:type w:val="nextPage"/>
      <w:pgSz w:w="12240" w:h="15840"/>
      <w:pgMar w:left="1080" w:right="900" w:gutter="0" w:header="180" w:top="1109" w:footer="720" w:bottom="172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E-16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p>
    <w:pPr>
      <w:pStyle w:val="Footer"/>
      <w:tabs>
        <w:tab w:val="clear" w:pos="4680"/>
        <w:tab w:val="clear" w:pos="7200"/>
        <w:tab w:val="right" w:pos="9000" w:leader="none"/>
        <w:tab w:val="right" w:pos="14400" w:leader="none"/>
      </w:tabs>
      <w:spacing w:before="120" w:after="120"/>
      <w:rPr/>
    </w:pPr>
    <w:r>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E-16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p>
    <w:pPr>
      <w:pStyle w:val="Footer"/>
      <w:tabs>
        <w:tab w:val="clear" w:pos="4680"/>
        <w:tab w:val="clear" w:pos="7200"/>
        <w:tab w:val="right" w:pos="9000" w:leader="none"/>
        <w:tab w:val="right" w:pos="14400" w:leader="none"/>
      </w:tabs>
      <w:spacing w:before="120" w:after="120"/>
      <w:rPr/>
    </w:pPr>
    <w:r>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9900" w:leader="none"/>
        <w:tab w:val="right" w:pos="14400" w:leader="none"/>
      </w:tabs>
      <w:spacing w:before="120" w:after="120"/>
      <w:rPr/>
    </w:pPr>
    <w:r>
      <w:drawing>
        <wp:anchor behindDoc="1" distT="0" distB="0" distL="114935" distR="114935" simplePos="0" locked="0" layoutInCell="1" allowOverlap="1" relativeHeight="3">
          <wp:simplePos x="0" y="0"/>
          <wp:positionH relativeFrom="column">
            <wp:posOffset>4686300</wp:posOffset>
          </wp:positionH>
          <wp:positionV relativeFrom="paragraph">
            <wp:posOffset>-45720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9900" w:leader="none"/>
        <w:tab w:val="right" w:pos="14400" w:leader="none"/>
      </w:tabs>
      <w:spacing w:before="120" w:after="120"/>
      <w:rPr/>
    </w:pPr>
    <w:r>
      <w:drawing>
        <wp:anchor behindDoc="1" distT="0" distB="0" distL="114935" distR="114935" simplePos="0" locked="0" layoutInCell="1" allowOverlap="1" relativeHeight="13">
          <wp:simplePos x="0" y="0"/>
          <wp:positionH relativeFrom="column">
            <wp:posOffset>4686300</wp:posOffset>
          </wp:positionH>
          <wp:positionV relativeFrom="paragraph">
            <wp:posOffset>-45720</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abstractNum>
  <w:abstractNum w:abstractNumId="17">
    <w:lvl w:ilvl="0">
      <w:start w:val="1"/>
      <w:numFmt w:val="bullet"/>
      <w:lvlText w:val=""/>
      <w:lvlJc w:val="start"/>
      <w:pPr>
        <w:tabs>
          <w:tab w:val="num" w:pos="1627"/>
        </w:tabs>
        <w:ind w:start="1627" w:hanging="547"/>
      </w:pPr>
      <w:rPr>
        <w:rFonts w:ascii="Symbol" w:hAnsi="Symbol" w:cs="Symbol" w:hint="default"/>
      </w:rPr>
    </w:lvl>
  </w:abstractNum>
  <w:abstractNum w:abstractNumId="18">
    <w:lvl w:ilvl="0">
      <w:start w:val="1"/>
      <w:numFmt w:val="bullet"/>
      <w:lvlText w:val=""/>
      <w:lvlJc w:val="start"/>
      <w:pPr>
        <w:tabs>
          <w:tab w:val="num" w:pos="2160"/>
        </w:tabs>
        <w:ind w:start="2160" w:hanging="533"/>
      </w:pPr>
      <w:rPr>
        <w:rFonts w:ascii="Symbol" w:hAnsi="Symbol" w:cs="Symbol" w:hint="default"/>
      </w:rPr>
    </w:lvl>
  </w:abstractNum>
  <w:abstractNum w:abstractNumId="19">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Bold;Times New Roman" w:hAnsi="Times New Roman Bold;Times New Roman" w:cs="Times New Roman Bold;Times New Roman"/>
      <w:b/>
      <w:i w:val="false"/>
      <w:sz w:val="28"/>
    </w:rPr>
  </w:style>
  <w:style w:type="character" w:styleId="WW8Num11z2">
    <w:name w:val="WW8Num11z2"/>
    <w:qFormat/>
    <w:rPr>
      <w:rFonts w:ascii="Times New Roman" w:hAnsi="Times New Roman" w:cs="Times New Roman"/>
      <w:b/>
      <w:i w:val="false"/>
      <w:sz w:val="24"/>
    </w:rPr>
  </w:style>
  <w:style w:type="character" w:styleId="WW8Num11z4">
    <w:name w:val="WW8Num11z4"/>
    <w:qFormat/>
    <w:rPr>
      <w:rFonts w:ascii="Times New Roman Bold;Times New Roman" w:hAnsi="Times New Roman Bold;Times New Roman" w:cs="Times New Roman Bold;Times New Roman"/>
      <w:b/>
      <w:i w:val="false"/>
      <w:sz w:val="22"/>
      <w:szCs w:val="22"/>
    </w:rPr>
  </w:style>
  <w:style w:type="character" w:styleId="WW8Num11z5">
    <w:name w:val="WW8Num11z5"/>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Bold;Times New Roman"/>
      <w:b/>
      <w:i w:val="false"/>
      <w:color w:val="000000"/>
      <w:sz w:val="28"/>
      <w:szCs w:val="28"/>
    </w:rPr>
  </w:style>
  <w:style w:type="character" w:styleId="WW8Num18z1">
    <w:name w:val="WW8Num18z1"/>
    <w:qFormat/>
    <w:rPr>
      <w:rFonts w:ascii="Times New Roman" w:hAnsi="Times New Roman" w:cs="Times New Roman"/>
      <w:b w:val="false"/>
      <w:i w:val="false"/>
      <w:sz w:val="22"/>
    </w:rPr>
  </w:style>
  <w:style w:type="character" w:styleId="WW8Num18z4">
    <w:name w:val="WW8Num18z4"/>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5"/>
      </w:numPr>
    </w:pPr>
    <w:rPr/>
  </w:style>
  <w:style w:type="paragraph" w:styleId="Bullet1Table">
    <w:name w:val="Bullet 1 Table"/>
    <w:basedOn w:val="TableTextBullet"/>
    <w:next w:val="TableTextBullet"/>
    <w:qFormat/>
    <w:pPr>
      <w:numPr>
        <w:ilvl w:val="0"/>
        <w:numId w:val="15"/>
      </w:numPr>
    </w:pPr>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2"/>
      </w:numPr>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7"/>
      </w:numPr>
      <w:tabs>
        <w:tab w:val="clear" w:pos="720"/>
        <w:tab w:val="left" w:pos="1440" w:leader="none"/>
      </w:tabs>
      <w:ind w:hanging="360" w:start="1440" w:end="0"/>
    </w:pPr>
    <w:rPr/>
  </w:style>
  <w:style w:type="paragraph" w:styleId="BodyTextBulletL1">
    <w:name w:val="Body Text Bullet L1"/>
    <w:basedOn w:val="Normal"/>
    <w:qFormat/>
    <w:pPr>
      <w:numPr>
        <w:ilvl w:val="0"/>
        <w:numId w:val="18"/>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19"/>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4"/>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4"/>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4"/>
      </w:numPr>
    </w:pPr>
    <w:rPr/>
  </w:style>
  <w:style w:type="paragraph" w:styleId="Head4-NoTOCor">
    <w:name w:val="Head 4 - No TOC or #"/>
    <w:basedOn w:val="Heading4"/>
    <w:next w:val="TableText"/>
    <w:qFormat/>
    <w:pPr>
      <w:numPr>
        <w:ilvl w:val="0"/>
        <w:numId w:val="0"/>
      </w:numPr>
      <w:outlineLvl w:val="9"/>
    </w:pPr>
    <w:rPr/>
  </w:style>
  <w:style w:type="paragraph" w:styleId="Head4-NoTOC">
    <w:name w:val="Head 4 # - No TOC"/>
    <w:basedOn w:val="Heading4Numbered"/>
    <w:next w:val="BodyText"/>
    <w:qFormat/>
    <w:pPr>
      <w:numPr>
        <w:ilvl w:val="0"/>
        <w:numId w:val="14"/>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6"/>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Blueindent3">
    <w:name w:val="Blue indent 3"/>
    <w:basedOn w:val="Heading3"/>
    <w:qFormat/>
    <w:pPr>
      <w:keepNext w:val="false"/>
      <w:keepLines w:val="false"/>
      <w:numPr>
        <w:ilvl w:val="0"/>
        <w:numId w:val="0"/>
      </w:numPr>
      <w:tabs>
        <w:tab w:val="clear" w:pos="720"/>
        <w:tab w:val="left" w:pos="851" w:leader="none"/>
      </w:tabs>
      <w:spacing w:before="240" w:after="0"/>
      <w:ind w:hanging="0" w:start="851" w:end="0"/>
      <w:outlineLvl w:val="9"/>
    </w:pPr>
    <w:rPr>
      <w:rFonts w:ascii="Times New Roman" w:hAnsi="Times New Roman" w:cs="Times New Roman"/>
      <w:color w:val="FF000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2007-01-29T19:00:00Z</dcterms:created>
  <dc:creator>TPI</dc:creator>
  <dc:description>RFP8 Exhibit 16. Contains sample format and content for documenting COMPANY XYZ's IT Disaster Recovery Plan procedures.
Version 1 - 102302</dc:description>
  <dc:language>en-US</dc:language>
  <cp:lastModifiedBy>Wenger Plattner</cp:lastModifiedBy>
  <cp:lastPrinted>2007-01-29T14:31:00Z</cp:lastPrinted>
  <dcterms:modified xsi:type="dcterms:W3CDTF">2007-01-29T19:01:00Z</dcterms:modified>
  <cp:revision>3</cp:revision>
  <dc:subject/>
  <dc:title>RFP8 Exhibit 16 IT Disaster Recovery Plan</dc:title>
</cp:coreProperties>
</file>