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pPr>
      <w:r>
        <w:rPr/>
        <w:t>GlobalPharma</w:t>
      </w:r>
    </w:p>
    <w:p>
      <w:pPr>
        <w:pStyle w:val="Titel"/>
        <w:rPr/>
      </w:pPr>
      <w:r>
        <w:rPr/>
      </w:r>
    </w:p>
    <w:p>
      <w:pPr>
        <w:pStyle w:val="Titel"/>
        <w:rPr/>
      </w:pPr>
      <w:r>
        <w:rPr/>
        <w:t>Exhibit 17</w:t>
      </w:r>
    </w:p>
    <w:p>
      <w:pPr>
        <w:pStyle w:val="Titel"/>
        <w:rPr/>
      </w:pPr>
      <w:r>
        <w:rPr/>
      </w:r>
    </w:p>
    <w:p>
      <w:pPr>
        <w:pStyle w:val="Titel"/>
        <w:rPr>
          <w:highlight w:val="yellow"/>
        </w:rPr>
      </w:pPr>
      <w:r>
        <w:rPr/>
        <w:t>Safety and Security Procedures</w:t>
      </w:r>
    </w:p>
    <w:p>
      <w:pPr>
        <w:pStyle w:val="Titel"/>
        <w:rPr>
          <w:highlight w:val="yellow"/>
        </w:rPr>
      </w:pPr>
      <w:r>
        <w:rPr>
          <w:highlight w:val="yellow"/>
        </w:rPr>
      </w:r>
    </w:p>
    <w:p>
      <w:pPr>
        <w:pStyle w:val="Titel"/>
        <w:rPr/>
      </w:pPr>
      <w:r>
        <w:rPr/>
      </w:r>
    </w:p>
    <w:p>
      <w:pPr>
        <w:pStyle w:val="Titel"/>
        <w:rPr/>
      </w:pPr>
      <w:r>
        <w:rPr/>
      </w:r>
    </w:p>
    <w:tbl>
      <w:tblPr>
        <w:tblW w:w="10260" w:type="dxa"/>
        <w:jc w:val="start"/>
        <w:tblInd w:w="2062"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jc w:val="center"/>
              <w:rPr/>
            </w:pPr>
            <w:r>
              <w:rPr/>
            </w:r>
          </w:p>
          <w:p>
            <w:pPr>
              <w:pStyle w:val="Normal"/>
              <w:jc w:val="center"/>
              <w:rPr/>
            </w:pPr>
            <w:r>
              <w:rPr/>
              <w:t>This document contains confidential and proprietary information of GlobalPharma. It is furnished for the performance of The Agreements only. Except with the express prior written permission of GlobalPharma, this document and the information contained herein may not be published, disclosed, or used for any other purpose.</w:t>
            </w:r>
          </w:p>
          <w:p>
            <w:pPr>
              <w:pStyle w:val="Normal"/>
              <w:spacing w:before="120" w:after="120"/>
              <w:jc w:val="center"/>
              <w:rPr/>
            </w:pPr>
            <w:r>
              <w:rPr/>
            </w:r>
          </w:p>
        </w:tc>
      </w:tr>
    </w:tbl>
    <w:p>
      <w:pPr>
        <w:pStyle w:val="Normal"/>
        <w:rPr/>
      </w:pPr>
      <w:r>
        <w:rPr/>
      </w:r>
      <w:r>
        <w:br w:type="page"/>
      </w:r>
    </w:p>
    <w:p>
      <w:pPr>
        <w:pStyle w:val="Titel"/>
        <w:rPr/>
      </w:pPr>
      <w:r>
        <w:rPr/>
        <w:t>Table of Contents</w:t>
      </w:r>
    </w:p>
    <w:sdt>
      <w:sdtPr>
        <w:docPartObj>
          <w:docPartGallery w:val="Table of Contents"/>
          <w:docPartUnique w:val="true"/>
        </w:docPartObj>
      </w:sdtPr>
      <w:sdtContent>
        <w:p>
          <w:pPr>
            <w:pStyle w:val="TOC1"/>
            <w:tabs>
              <w:tab w:val="clear" w:pos="720"/>
              <w:tab w:val="left" w:pos="660" w:leader="none"/>
              <w:tab w:val="right" w:pos="14390"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\h \z \t "Heading 1 Numbered;1;Heading 2 Numbered;1" </w:instrText>
          </w:r>
          <w:r>
            <w:rPr>
              <w:rStyle w:val="IndexLink"/>
              <w:lang w:val="en-US" w:eastAsia="en-US"/>
            </w:rPr>
            <w:fldChar w:fldCharType="separate"/>
          </w:r>
          <w:hyperlink w:anchor="__RefHeading___Toc157568234">
            <w:r>
              <w:rPr>
                <w:rStyle w:val="IndexLink"/>
                <w:lang w:val="en-US" w:eastAsia="en-US"/>
              </w:rPr>
              <w:t>1.0</w:t>
            </w:r>
            <w:r>
              <w:rPr>
                <w:rStyle w:val="IndexLink"/>
                <w:b w:val="false"/>
                <w:bCs w:val="false"/>
                <w:caps w:val="false"/>
                <w:smallCaps w:val="false"/>
                <w:sz w:val="24"/>
                <w:szCs w:val="24"/>
                <w:lang w:val="de-CH" w:eastAsia="en-US"/>
              </w:rPr>
              <w:tab/>
            </w:r>
            <w:r>
              <w:rPr>
                <w:rStyle w:val="IndexLink"/>
                <w:lang w:val="en-US" w:eastAsia="en-US"/>
              </w:rPr>
              <w:t>Introduction</w:t>
              <w:tab/>
              <w:t>3</w:t>
            </w:r>
          </w:hyperlink>
        </w:p>
        <w:p>
          <w:pPr>
            <w:pStyle w:val="TOC1"/>
            <w:tabs>
              <w:tab w:val="clear" w:pos="720"/>
              <w:tab w:val="left" w:pos="660" w:leader="none"/>
              <w:tab w:val="right" w:pos="14390" w:leader="dot"/>
            </w:tabs>
            <w:rPr>
              <w:sz w:val="24"/>
              <w:szCs w:val="24"/>
              <w:lang w:val="de-CH" w:eastAsia="en-US"/>
            </w:rPr>
          </w:pPr>
          <w:hyperlink w:anchor="__RefHeading___Toc157568235">
            <w:r>
              <w:rPr>
                <w:rStyle w:val="IndexLink"/>
                <w:b w:val="false"/>
                <w:bCs w:val="false"/>
                <w:caps w:val="false"/>
                <w:smallCaps w:val="false"/>
                <w:lang w:val="en-US" w:eastAsia="en-US"/>
              </w:rPr>
              <w:t>2.0</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Safety and Security</w:t>
              <w:tab/>
              <w:t>3</w:t>
            </w:r>
          </w:hyperlink>
          <w:r>
            <w:rPr>
              <w:rStyle w:val="IndexLink"/>
              <w:smallCaps w:val="false"/>
              <w:caps w:val="false"/>
              <w:b w:val="false"/>
              <w:bCs w:val="false"/>
              <w:lang w:val="en-US" w:eastAsia="en-US"/>
            </w:rPr>
            <w:fldChar w:fldCharType="end"/>
          </w:r>
        </w:p>
      </w:sdtContent>
    </w:sdt>
    <w:p>
      <w:pPr>
        <w:pStyle w:val="Normal"/>
        <w:rPr>
          <w:b/>
          <w:bCs/>
          <w:caps/>
          <w:sz w:val="20"/>
          <w:szCs w:val="20"/>
          <w:lang w:val="de-CH" w:eastAsia="en-US"/>
        </w:rPr>
      </w:pPr>
      <w:r>
        <w:rPr>
          <w:b/>
          <w:bCs/>
          <w:caps/>
          <w:sz w:val="20"/>
          <w:szCs w:val="20"/>
          <w:lang w:val="de-CH" w:eastAsia="en-US"/>
        </w:rPr>
      </w:r>
    </w:p>
    <w:p>
      <w:pPr>
        <w:pStyle w:val="Normal"/>
        <w:rPr/>
      </w:pPr>
      <w:r>
        <w:rPr/>
      </w:r>
      <w:r>
        <w:br w:type="page"/>
      </w:r>
    </w:p>
    <w:p>
      <w:pPr>
        <w:pStyle w:val="Normal"/>
        <w:rPr/>
      </w:pPr>
      <w:r>
        <w:rPr/>
      </w:r>
    </w:p>
    <w:p>
      <w:pPr>
        <w:pStyle w:val="Heading1Numbered"/>
        <w:numPr>
          <w:ilvl w:val="0"/>
          <w:numId w:val="11"/>
        </w:numPr>
        <w:ind w:hanging="0" w:start="0"/>
        <w:rPr/>
      </w:pPr>
      <w:bookmarkStart w:id="0" w:name="__RefHeading___Toc157568234"/>
      <w:bookmarkEnd w:id="0"/>
      <w:r>
        <w:rPr/>
        <w:t>Introduction</w:t>
      </w:r>
    </w:p>
    <w:p>
      <w:pPr>
        <w:pStyle w:val="TableText"/>
        <w:rPr/>
      </w:pPr>
      <w:r>
        <w:rPr/>
        <w:t>This Exhibit sets forth the Safety and Security requirements that the Service Provider will follow, as of the Commencement Date unless otherwise specified or agreed to by the Parties, for all Services.</w:t>
      </w:r>
    </w:p>
    <w:p>
      <w:pPr>
        <w:pStyle w:val="TableText"/>
        <w:rPr/>
      </w:pPr>
      <w:r>
        <w:rPr>
          <w:b/>
        </w:rPr>
        <w:t>Attachment 17-A</w:t>
      </w:r>
      <w:r>
        <w:rPr/>
        <w:t xml:space="preserve"> (Data Security) provides current procedures associated with data security.</w:t>
      </w:r>
    </w:p>
    <w:p>
      <w:pPr>
        <w:pStyle w:val="TableText"/>
        <w:rPr/>
      </w:pPr>
      <w:r>
        <w:rPr>
          <w:b/>
        </w:rPr>
        <w:t>Attachment 17-B</w:t>
      </w:r>
      <w:r>
        <w:rPr/>
        <w:t xml:space="preserve"> (Physical Security) provides current procedures associated with physical security.</w:t>
      </w:r>
    </w:p>
    <w:p>
      <w:pPr>
        <w:pStyle w:val="Heading1Numbered"/>
        <w:numPr>
          <w:ilvl w:val="0"/>
          <w:numId w:val="11"/>
        </w:numPr>
        <w:ind w:hanging="0" w:start="0"/>
        <w:rPr/>
      </w:pPr>
      <w:bookmarkStart w:id="1" w:name="__RefHeading___Toc157568235"/>
      <w:bookmarkEnd w:id="1"/>
      <w:r>
        <w:rPr/>
        <w:t>Safety and Security</w:t>
      </w:r>
    </w:p>
    <w:p>
      <w:pPr>
        <w:pStyle w:val="TableText"/>
        <w:rPr>
          <w:i/>
          <w:i/>
          <w:iCs/>
        </w:rPr>
      </w:pPr>
      <w:r>
        <w:rPr>
          <w:i/>
          <w:iCs/>
        </w:rPr>
        <w:t>.</w:t>
      </w:r>
    </w:p>
    <w:p>
      <w:pPr>
        <w:pStyle w:val="TableText"/>
        <w:rPr/>
      </w:pPr>
      <w:r>
        <w:rPr/>
        <w:t>The Service Provider’s responsibilities include:</w:t>
      </w:r>
    </w:p>
    <w:p>
      <w:pPr>
        <w:pStyle w:val="TableLevel1Numbered"/>
        <w:numPr>
          <w:ilvl w:val="0"/>
          <w:numId w:val="8"/>
        </w:numPr>
        <w:ind w:hanging="0" w:start="0"/>
        <w:rPr/>
      </w:pPr>
      <w:r>
        <w:rPr/>
        <w:t>Adhering to GlobalPharma’s requirements and current processes for safety and security unless otherwise modified and agreed between the Parties.</w:t>
      </w:r>
    </w:p>
    <w:p>
      <w:pPr>
        <w:pStyle w:val="Normal"/>
        <w:rPr/>
      </w:pPr>
      <w:r>
        <w:rPr/>
      </w:r>
    </w:p>
    <w:p>
      <w:pPr>
        <w:pStyle w:val="Normal"/>
        <w:spacing w:before="120" w:after="120"/>
        <w:rPr/>
      </w:pPr>
      <w:r>
        <w:rPr/>
      </w:r>
    </w:p>
    <w:sectPr>
      <w:headerReference w:type="default" r:id="rId2"/>
      <w:footerReference w:type="default" r:id="rId3"/>
      <w:type w:val="nextPage"/>
      <w:pgSz w:orient="landscape" w:w="15840" w:h="12240"/>
      <w:pgMar w:left="720" w:right="720" w:gutter="0" w:header="720" w:top="1728" w:footer="720" w:bottom="172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ab/>
      <w:t xml:space="preserve">E-17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3</w:t>
    </w:r>
    <w:r>
      <w:rPr>
        <w:rStyle w:val="PageNumber"/>
      </w:rPr>
      <w:fldChar w:fldCharType="end"/>
    </w:r>
  </w:p>
  <w:p>
    <w:pPr>
      <w:pStyle w:val="Footer"/>
      <w:tabs>
        <w:tab w:val="clear" w:pos="4680"/>
        <w:tab w:val="clear" w:pos="7200"/>
        <w:tab w:val="right" w:pos="14400" w:leader="none"/>
      </w:tabs>
      <w:spacing w:before="120" w:after="120"/>
      <w:rPr/>
    </w:pPr>
    <w:r>
      <w:rPr/>
      <w:t xml:space="preserve">GlobalPharma </w:t>
      <w:tab/>
      <w:t>CONFIDENTIAL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drawing>
        <wp:anchor behindDoc="1" distT="0" distB="0" distL="114935" distR="114935" simplePos="0" locked="0" layoutInCell="1" allowOverlap="1" relativeHeight="7">
          <wp:simplePos x="0" y="0"/>
          <wp:positionH relativeFrom="column">
            <wp:posOffset>8134350</wp:posOffset>
          </wp:positionH>
          <wp:positionV relativeFrom="paragraph">
            <wp:posOffset>-36195</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bullet"/>
      <w:lvlText w:val=""/>
      <w:lvlJc w:val="start"/>
      <w:pPr>
        <w:tabs>
          <w:tab w:val="num" w:pos="1800"/>
        </w:tabs>
        <w:ind w:start="1800" w:hanging="360"/>
      </w:pPr>
      <w:rPr>
        <w:rFonts w:ascii="Symbol" w:hAnsi="Symbol" w:cs="Symbol" w:hint="default"/>
      </w:rPr>
    </w:lvl>
  </w:abstractNum>
  <w:abstractNum w:abstractNumId="11">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2">
    <w:lvl w:ilvl="0">
      <w:start w:val="1"/>
      <w:numFmt w:val="bullet"/>
      <w:lvlText w:val=""/>
      <w:lvlJc w:val="start"/>
      <w:pPr>
        <w:tabs>
          <w:tab w:val="num" w:pos="2707"/>
        </w:tabs>
        <w:ind w:start="2707" w:hanging="547"/>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1440"/>
        </w:tabs>
        <w:ind w:start="1440" w:hanging="360"/>
      </w:pPr>
      <w:rPr>
        <w:rFonts w:ascii="Symbol" w:hAnsi="Symbol" w:cs="Symbol" w:hint="default"/>
      </w:rPr>
    </w:lvl>
  </w:abstractNum>
  <w:abstractNum w:abstractNumId="16">
    <w:lvl w:ilvl="0">
      <w:start w:val="1"/>
      <w:numFmt w:val="bullet"/>
      <w:lvlText w:val=""/>
      <w:lvlJc w:val="start"/>
      <w:pPr>
        <w:tabs>
          <w:tab w:val="num" w:pos="1627"/>
        </w:tabs>
        <w:ind w:start="1627" w:hanging="547"/>
      </w:pPr>
      <w:rPr>
        <w:rFonts w:ascii="Symbol" w:hAnsi="Symbol" w:cs="Symbol" w:hint="default"/>
      </w:rPr>
    </w:lvl>
  </w:abstractNum>
  <w:abstractNum w:abstractNumId="17">
    <w:lvl w:ilvl="0">
      <w:start w:val="1"/>
      <w:numFmt w:val="bullet"/>
      <w:lvlText w:val=""/>
      <w:lvlJc w:val="start"/>
      <w:pPr>
        <w:tabs>
          <w:tab w:val="num" w:pos="2160"/>
        </w:tabs>
        <w:ind w:start="2160" w:hanging="533"/>
      </w:pPr>
      <w:rPr>
        <w:rFonts w:ascii="Symbol" w:hAnsi="Symbol" w:cs="Symbol" w:hint="default"/>
      </w:rPr>
    </w:lvl>
  </w:abstractNum>
  <w:abstractNum w:abstractNumId="18">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4z0">
    <w:name w:val="WW8Num14z0"/>
    <w:qFormat/>
    <w:rPr>
      <w:rFonts w:ascii="Times New Roman" w:hAnsi="Times New Roman" w:cs="Times New Roman"/>
      <w:b w:val="false"/>
      <w:i w:val="false"/>
      <w:color w:val="000000"/>
      <w:sz w:val="22"/>
    </w:rPr>
  </w:style>
  <w:style w:type="character" w:styleId="WW8Num14z1">
    <w:name w:val="WW8Num14z1"/>
    <w:qFormat/>
    <w:rPr>
      <w:rFonts w:ascii="Times New Roman" w:hAnsi="Times New Roman" w:cs="Times New Roman"/>
      <w:b w:val="false"/>
      <w:i w:val="false"/>
      <w:sz w:val="22"/>
    </w:rPr>
  </w:style>
  <w:style w:type="character" w:styleId="WW8Num14z4">
    <w:name w:val="WW8Num14z4"/>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w:hAnsi="Times New Roman" w:cs="Times New Roman"/>
      <w:b w:val="false"/>
      <w:i w:val="false"/>
      <w:color w:val="000000"/>
      <w:sz w:val="22"/>
    </w:rPr>
  </w:style>
  <w:style w:type="character" w:styleId="WW8Num16z1">
    <w:name w:val="WW8Num16z1"/>
    <w:qFormat/>
    <w:rPr>
      <w:rFonts w:ascii="Times New Roman" w:hAnsi="Times New Roman" w:cs="Times New Roman"/>
      <w:b w:val="false"/>
      <w:i w:val="false"/>
      <w:sz w:val="22"/>
    </w:rPr>
  </w:style>
  <w:style w:type="character" w:styleId="WW8Num16z4">
    <w:name w:val="WW8Num16z4"/>
    <w:qFormat/>
    <w:rPr/>
  </w:style>
  <w:style w:type="character" w:styleId="WW8Num17z0">
    <w:name w:val="WW8Num17z0"/>
    <w:qFormat/>
    <w:rPr>
      <w:rFonts w:ascii="Times New Roman Bold;Times New Roman" w:hAnsi="Times New Roman Bold;Times New Roman" w:cs="Times New Roman Bold;Times New Roman"/>
      <w:b/>
      <w:i w:val="false"/>
      <w:sz w:val="28"/>
    </w:rPr>
  </w:style>
  <w:style w:type="character" w:styleId="WW8Num17z2">
    <w:name w:val="WW8Num17z2"/>
    <w:qFormat/>
    <w:rPr>
      <w:rFonts w:ascii="Times New Roman" w:hAnsi="Times New Roman" w:cs="Times New Roman"/>
      <w:b/>
      <w:i w:val="false"/>
      <w:sz w:val="24"/>
    </w:rPr>
  </w:style>
  <w:style w:type="character" w:styleId="WW8Num17z4">
    <w:name w:val="WW8Num17z4"/>
    <w:qFormat/>
    <w:rPr>
      <w:rFonts w:ascii="Times New Roman Bold;Times New Roman" w:hAnsi="Times New Roman Bold;Times New Roman" w:cs="Times New Roman Bold;Times New Roman"/>
      <w:b/>
      <w:i w:val="false"/>
      <w:sz w:val="22"/>
      <w:szCs w:val="22"/>
    </w:rPr>
  </w:style>
  <w:style w:type="character" w:styleId="WW8Num17z5">
    <w:name w:val="WW8Num17z5"/>
    <w:qFormat/>
    <w:rPr>
      <w:rFonts w:ascii="Times New Roman" w:hAnsi="Times New Roman" w:cs="Times New Roman"/>
      <w:b w:val="false"/>
      <w:i w:val="false"/>
      <w:sz w:val="22"/>
    </w:rPr>
  </w:style>
  <w:style w:type="character" w:styleId="WW8Num17z8">
    <w:name w:val="WW8Num17z8"/>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1z0">
    <w:name w:val="WW8Num21z0"/>
    <w:qFormat/>
    <w:rPr>
      <w:rFonts w:ascii="Times New Roman Bold;Times New Roman" w:hAnsi="Times New Roman Bold;Times New Roman" w:cs="Times New Roman Bold;Times New Roman"/>
      <w:b/>
      <w:i w:val="false"/>
      <w:sz w:val="28"/>
    </w:rPr>
  </w:style>
  <w:style w:type="character" w:styleId="WW8Num21z2">
    <w:name w:val="WW8Num21z2"/>
    <w:qFormat/>
    <w:rPr>
      <w:rFonts w:ascii="Times New Roman" w:hAnsi="Times New Roman" w:cs="Times New Roman"/>
      <w:b/>
      <w:i w:val="false"/>
      <w:sz w:val="24"/>
    </w:rPr>
  </w:style>
  <w:style w:type="character" w:styleId="WW8Num21z4">
    <w:name w:val="WW8Num21z4"/>
    <w:qFormat/>
    <w:rPr>
      <w:rFonts w:ascii="Times New Roman" w:hAnsi="Times New Roman" w:cs="Times New Roman"/>
      <w:b w:val="false"/>
      <w:i w:val="false"/>
      <w:sz w:val="22"/>
    </w:rPr>
  </w:style>
  <w:style w:type="character" w:styleId="WW8Num21z8">
    <w:name w:val="WW8Num21z8"/>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Times New Roman" w:hAnsi="Times New Roman" w:cs="Times New Roman"/>
      <w:b w:val="false"/>
      <w:i w:val="false"/>
      <w:color w:val="000000"/>
      <w:sz w:val="22"/>
    </w:rPr>
  </w:style>
  <w:style w:type="character" w:styleId="WW8Num24z1">
    <w:name w:val="WW8Num24z1"/>
    <w:qFormat/>
    <w:rPr>
      <w:rFonts w:ascii="Times New Roman" w:hAnsi="Times New Roman" w:cs="Times New Roman"/>
      <w:b w:val="false"/>
      <w:i w:val="false"/>
      <w:sz w:val="22"/>
    </w:rPr>
  </w:style>
  <w:style w:type="character" w:styleId="WW8Num24z4">
    <w:name w:val="WW8Num24z4"/>
    <w:qFormat/>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7z0">
    <w:name w:val="WW8Num27z0"/>
    <w:qFormat/>
    <w:rPr>
      <w:rFonts w:ascii="Times New Roman" w:hAnsi="Times New Roman" w:cs="Times New Roman"/>
      <w:b w:val="false"/>
      <w:i w:val="false"/>
      <w:color w:val="000000"/>
      <w:sz w:val="22"/>
    </w:rPr>
  </w:style>
  <w:style w:type="character" w:styleId="WW8Num27z1">
    <w:name w:val="WW8Num27z1"/>
    <w:qFormat/>
    <w:rPr>
      <w:rFonts w:ascii="Times New Roman" w:hAnsi="Times New Roman" w:cs="Times New Roman"/>
      <w:b w:val="false"/>
      <w:i w:val="false"/>
      <w:sz w:val="22"/>
    </w:rPr>
  </w:style>
  <w:style w:type="character" w:styleId="WW8Num27z4">
    <w:name w:val="WW8Num27z4"/>
    <w:qFormat/>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Times New Roman" w:hAnsi="Times New Roman" w:cs="Times New Roman"/>
      <w:b w:val="false"/>
      <w:i w:val="false"/>
      <w:color w:val="000000"/>
      <w:sz w:val="22"/>
    </w:rPr>
  </w:style>
  <w:style w:type="character" w:styleId="WW8Num31z1">
    <w:name w:val="WW8Num31z1"/>
    <w:qFormat/>
    <w:rPr>
      <w:rFonts w:ascii="Times New Roman" w:hAnsi="Times New Roman" w:cs="Times New Roman"/>
      <w:b w:val="false"/>
      <w:i w:val="false"/>
      <w:sz w:val="22"/>
    </w:rPr>
  </w:style>
  <w:style w:type="character" w:styleId="WW8Num31z4">
    <w:name w:val="WW8Num31z4"/>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Times New Roman" w:hAnsi="Times New Roman" w:cs="Times New Roman"/>
      <w:b w:val="false"/>
      <w:i w:val="false"/>
      <w:color w:val="000000"/>
      <w:sz w:val="22"/>
    </w:rPr>
  </w:style>
  <w:style w:type="character" w:styleId="WW8Num34z1">
    <w:name w:val="WW8Num34z1"/>
    <w:qFormat/>
    <w:rPr>
      <w:rFonts w:ascii="Times New Roman" w:hAnsi="Times New Roman" w:cs="Times New Roman"/>
      <w:b w:val="false"/>
      <w:i w:val="false"/>
      <w:sz w:val="22"/>
    </w:rPr>
  </w:style>
  <w:style w:type="character" w:styleId="WW8Num34z4">
    <w:name w:val="WW8Num34z4"/>
    <w:qFormat/>
    <w:rPr/>
  </w:style>
  <w:style w:type="character" w:styleId="WW8Num35z0">
    <w:name w:val="WW8Num35z0"/>
    <w:qFormat/>
    <w:rPr>
      <w:rFonts w:ascii="Times New Roman Bold;Times New Roman" w:hAnsi="Times New Roman Bold;Times New Roman" w:cs="Times New Roman Bold;Times New Roman"/>
      <w:b/>
      <w:i w:val="false"/>
      <w:color w:val="000000"/>
      <w:sz w:val="28"/>
      <w:szCs w:val="28"/>
    </w:rPr>
  </w:style>
  <w:style w:type="character" w:styleId="WW8Num35z1">
    <w:name w:val="WW8Num35z1"/>
    <w:qFormat/>
    <w:rPr>
      <w:rFonts w:ascii="Times New Roman" w:hAnsi="Times New Roman" w:cs="Times New Roman"/>
      <w:b w:val="false"/>
      <w:i w:val="false"/>
      <w:sz w:val="22"/>
    </w:rPr>
  </w:style>
  <w:style w:type="character" w:styleId="WW8Num35z4">
    <w:name w:val="WW8Num35z4"/>
    <w:qFormat/>
    <w:rPr/>
  </w:style>
  <w:style w:type="character" w:styleId="WW8Num36z0">
    <w:name w:val="WW8Num36z0"/>
    <w:qFormat/>
    <w:rPr>
      <w:rFonts w:ascii="Times New Roman" w:hAnsi="Times New Roman" w:cs="Times New Roman"/>
      <w:b w:val="false"/>
      <w:i w:val="false"/>
      <w:color w:val="000000"/>
      <w:sz w:val="22"/>
    </w:rPr>
  </w:style>
  <w:style w:type="character" w:styleId="WW8Num36z1">
    <w:name w:val="WW8Num36z1"/>
    <w:qFormat/>
    <w:rPr>
      <w:rFonts w:ascii="Times New Roman" w:hAnsi="Times New Roman" w:cs="Times New Roman"/>
      <w:b w:val="false"/>
      <w:i w:val="false"/>
      <w:sz w:val="22"/>
    </w:rPr>
  </w:style>
  <w:style w:type="character" w:styleId="WW8Num36z4">
    <w:name w:val="WW8Num36z4"/>
    <w:qFormat/>
    <w:rPr/>
  </w:style>
  <w:style w:type="character" w:styleId="WW8Num37z0">
    <w:name w:val="WW8Num37z0"/>
    <w:qFormat/>
    <w:rPr>
      <w:rFonts w:ascii="Times New Roman" w:hAnsi="Times New Roman" w:cs="Times New Roman"/>
      <w:b w:val="false"/>
      <w:i w:val="false"/>
      <w:color w:val="000000"/>
      <w:sz w:val="22"/>
    </w:rPr>
  </w:style>
  <w:style w:type="character" w:styleId="WW8Num37z1">
    <w:name w:val="WW8Num37z1"/>
    <w:qFormat/>
    <w:rPr>
      <w:rFonts w:ascii="Times New Roman" w:hAnsi="Times New Roman" w:cs="Times New Roman"/>
      <w:b w:val="false"/>
      <w:i w:val="false"/>
      <w:sz w:val="22"/>
    </w:rPr>
  </w:style>
  <w:style w:type="character" w:styleId="WW8Num37z4">
    <w:name w:val="WW8Num37z4"/>
    <w:qFormat/>
    <w:rPr/>
  </w:style>
  <w:style w:type="character" w:styleId="WW8Num38z0">
    <w:name w:val="WW8Num38z0"/>
    <w:qFormat/>
    <w:rPr>
      <w:rFonts w:ascii="Wingdings" w:hAnsi="Wingdings" w:cs="Wingdings"/>
    </w:rPr>
  </w:style>
  <w:style w:type="character" w:styleId="WW8Num38z1">
    <w:name w:val="WW8Num38z1"/>
    <w:qFormat/>
    <w:rPr>
      <w:rFonts w:ascii="Courier New" w:hAnsi="Courier New" w:cs="Courier New"/>
    </w:rPr>
  </w:style>
  <w:style w:type="character" w:styleId="WW8Num38z3">
    <w:name w:val="WW8Num38z3"/>
    <w:qFormat/>
    <w:rPr>
      <w:rFonts w:ascii="Symbol" w:hAnsi="Symbol" w:cs="Symbol"/>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Times New Roman" w:hAnsi="Times New Roman" w:cs="Times New Roman"/>
      <w:b w:val="false"/>
      <w:i w:val="false"/>
      <w:color w:val="000000"/>
      <w:sz w:val="22"/>
    </w:rPr>
  </w:style>
  <w:style w:type="character" w:styleId="WW8Num40z1">
    <w:name w:val="WW8Num40z1"/>
    <w:qFormat/>
    <w:rPr>
      <w:rFonts w:ascii="Times New Roman" w:hAnsi="Times New Roman" w:cs="Times New Roman"/>
      <w:b w:val="false"/>
      <w:i w:val="false"/>
      <w:sz w:val="22"/>
    </w:rPr>
  </w:style>
  <w:style w:type="character" w:styleId="WW8Num40z4">
    <w:name w:val="WW8Num40z4"/>
    <w:qFormat/>
    <w:rPr/>
  </w:style>
  <w:style w:type="character" w:styleId="WW8Num41z0">
    <w:name w:val="WW8Num41z0"/>
    <w:qFormat/>
    <w:rPr>
      <w:rFonts w:ascii="Times New Roman" w:hAnsi="Times New Roman" w:cs="Times New Roman"/>
      <w:b w:val="false"/>
      <w:i w:val="false"/>
      <w:color w:val="000000"/>
      <w:sz w:val="22"/>
    </w:rPr>
  </w:style>
  <w:style w:type="character" w:styleId="WW8Num41z1">
    <w:name w:val="WW8Num41z1"/>
    <w:qFormat/>
    <w:rPr>
      <w:rFonts w:ascii="Times New Roman" w:hAnsi="Times New Roman" w:cs="Times New Roman"/>
      <w:b w:val="false"/>
      <w:i w:val="false"/>
      <w:sz w:val="22"/>
    </w:rPr>
  </w:style>
  <w:style w:type="character" w:styleId="WW8Num41z4">
    <w:name w:val="WW8Num41z4"/>
    <w:qFormat/>
    <w:rPr/>
  </w:style>
  <w:style w:type="character" w:styleId="WW8Num42z0">
    <w:name w:val="WW8Num42z0"/>
    <w:qFormat/>
    <w:rPr>
      <w:rFonts w:ascii="Times New Roman" w:hAnsi="Times New Roman" w:cs="Times New Roman"/>
      <w:b w:val="false"/>
      <w:i w:val="false"/>
      <w:color w:val="000000"/>
      <w:sz w:val="22"/>
    </w:rPr>
  </w:style>
  <w:style w:type="character" w:styleId="WW8Num42z1">
    <w:name w:val="WW8Num42z1"/>
    <w:qFormat/>
    <w:rPr>
      <w:rFonts w:ascii="Times New Roman" w:hAnsi="Times New Roman" w:cs="Times New Roman"/>
      <w:b w:val="false"/>
      <w:i w:val="false"/>
      <w:sz w:val="22"/>
    </w:rPr>
  </w:style>
  <w:style w:type="character" w:styleId="WW8Num42z4">
    <w:name w:val="WW8Num42z4"/>
    <w:qFormat/>
    <w:rPr/>
  </w:style>
  <w:style w:type="character" w:styleId="WW8Num43z0">
    <w:name w:val="WW8Num43z0"/>
    <w:qFormat/>
    <w:rPr>
      <w:rFonts w:ascii="Arial" w:hAnsi="Arial" w:cs="Arial"/>
      <w:b w:val="false"/>
      <w:i w:val="false"/>
      <w:sz w:val="20"/>
    </w:rPr>
  </w:style>
  <w:style w:type="character" w:styleId="WW8Num44z0">
    <w:name w:val="WW8Num44z0"/>
    <w:qFormat/>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PageNumber">
    <w:name w:val="page number"/>
    <w:basedOn w:val="Absatz-Standardschriftart"/>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prechblasentext">
    <w:name w:val="Sprechblasentext"/>
    <w:basedOn w:val="Normal"/>
    <w:qFormat/>
    <w:pPr/>
    <w:rPr>
      <w:rFonts w:ascii="Tahoma" w:hAnsi="Tahoma" w:cs="Tahoma"/>
      <w:sz w:val="16"/>
      <w:szCs w:val="16"/>
    </w:rPr>
  </w:style>
  <w:style w:type="paragraph" w:styleId="BodyLevel1Numbered">
    <w:name w:val="Body Level 1 Numbered"/>
    <w:basedOn w:val="Normal"/>
    <w:qFormat/>
    <w:pPr>
      <w:numPr>
        <w:ilvl w:val="0"/>
        <w:numId w:val="9"/>
      </w:numPr>
      <w:spacing w:before="180" w:after="180"/>
    </w:pPr>
    <w:rPr/>
  </w:style>
  <w:style w:type="paragraph" w:styleId="BodyLevel1Text">
    <w:name w:val="Body Level 1 Text"/>
    <w:basedOn w:val="BodyText"/>
    <w:qFormat/>
    <w:pPr>
      <w:ind w:hanging="0" w:start="1620" w:end="0"/>
    </w:pPr>
    <w:rPr/>
  </w:style>
  <w:style w:type="paragraph" w:styleId="BodyLevel2Numbered">
    <w:name w:val="Body Level 2 Numbered"/>
    <w:basedOn w:val="Normal"/>
    <w:qFormat/>
    <w:pPr>
      <w:numPr>
        <w:ilvl w:val="0"/>
        <w:numId w:val="9"/>
      </w:numPr>
      <w:spacing w:before="180" w:after="180"/>
    </w:pPr>
    <w:rPr/>
  </w:style>
  <w:style w:type="paragraph" w:styleId="BodyLevel2Text">
    <w:name w:val="Body Level 2 Text"/>
    <w:basedOn w:val="BodyText"/>
    <w:qFormat/>
    <w:pPr>
      <w:ind w:hanging="0" w:start="2160" w:end="0"/>
    </w:pPr>
    <w:rPr/>
  </w:style>
  <w:style w:type="paragraph" w:styleId="BodyLevel3Numbered">
    <w:name w:val="Body Level 3 Numbered"/>
    <w:basedOn w:val="Normal"/>
    <w:qFormat/>
    <w:pPr>
      <w:numPr>
        <w:ilvl w:val="0"/>
        <w:numId w:val="9"/>
      </w:numPr>
      <w:spacing w:before="180" w:after="180"/>
    </w:pPr>
    <w:rPr/>
  </w:style>
  <w:style w:type="paragraph" w:styleId="BodyLevel3Text">
    <w:name w:val="Body Level 3 Text"/>
    <w:basedOn w:val="BodyText"/>
    <w:qFormat/>
    <w:pPr>
      <w:ind w:hanging="0" w:start="2700" w:end="0"/>
    </w:pPr>
    <w:rPr/>
  </w:style>
  <w:style w:type="paragraph" w:styleId="BodyLevel4Numbered">
    <w:name w:val="Body Level 4 Numbered"/>
    <w:basedOn w:val="Normal"/>
    <w:qFormat/>
    <w:pPr>
      <w:numPr>
        <w:ilvl w:val="0"/>
        <w:numId w:val="9"/>
      </w:numPr>
      <w:spacing w:before="180" w:after="180"/>
    </w:pPr>
    <w:rPr/>
  </w:style>
  <w:style w:type="paragraph" w:styleId="BodyLevel4Text">
    <w:name w:val="Body Level 4 Text"/>
    <w:basedOn w:val="BodyText"/>
    <w:qFormat/>
    <w:pPr>
      <w:ind w:hanging="0" w:start="3240" w:end="0"/>
    </w:pPr>
    <w:rPr/>
  </w:style>
  <w:style w:type="paragraph" w:styleId="BodyTextBullet">
    <w:name w:val="Body Text Bullet"/>
    <w:basedOn w:val="Normal"/>
    <w:qFormat/>
    <w:pPr>
      <w:numPr>
        <w:ilvl w:val="0"/>
        <w:numId w:val="16"/>
      </w:numPr>
      <w:tabs>
        <w:tab w:val="clear" w:pos="720"/>
        <w:tab w:val="left" w:pos="1440" w:leader="none"/>
      </w:tabs>
      <w:ind w:hanging="360" w:start="1440" w:end="0"/>
    </w:pPr>
    <w:rPr/>
  </w:style>
  <w:style w:type="paragraph" w:styleId="BodyTextBulletL1">
    <w:name w:val="Body Text Bullet L1"/>
    <w:basedOn w:val="Normal"/>
    <w:qFormat/>
    <w:pPr>
      <w:numPr>
        <w:ilvl w:val="0"/>
        <w:numId w:val="17"/>
      </w:numPr>
      <w:ind w:hanging="360" w:start="0" w:end="0"/>
    </w:pPr>
    <w:rPr/>
  </w:style>
  <w:style w:type="paragraph" w:styleId="BodyTextBulletL2">
    <w:name w:val="Body Text Bullet L2"/>
    <w:basedOn w:val="Normal"/>
    <w:qFormat/>
    <w:pPr>
      <w:numPr>
        <w:ilvl w:val="0"/>
        <w:numId w:val="12"/>
      </w:numPr>
      <w:ind w:hanging="367" w:start="0" w:end="0"/>
    </w:pPr>
    <w:rPr/>
  </w:style>
  <w:style w:type="paragraph" w:styleId="BodyTextBulletL3">
    <w:name w:val="Body Text Bullet L3"/>
    <w:basedOn w:val="Normal"/>
    <w:qFormat/>
    <w:pPr>
      <w:numPr>
        <w:ilvl w:val="0"/>
        <w:numId w:val="18"/>
      </w:numPr>
      <w:ind w:hanging="360" w:start="0" w:end="0"/>
    </w:pPr>
    <w:rPr/>
  </w:style>
  <w:style w:type="paragraph" w:styleId="BodyTextIndent">
    <w:name w:val="Body Text Indent"/>
    <w:basedOn w:val="BodyText"/>
    <w:pPr>
      <w:ind w:hanging="0" w:start="1080" w:end="0"/>
    </w:pPr>
    <w:rPr/>
  </w:style>
  <w:style w:type="paragraph" w:styleId="TableTextBullet">
    <w:name w:val="Table Text Bullet"/>
    <w:basedOn w:val="Normal"/>
    <w:qFormat/>
    <w:pPr>
      <w:numPr>
        <w:ilvl w:val="0"/>
        <w:numId w:val="14"/>
      </w:numPr>
    </w:pPr>
    <w:rPr/>
  </w:style>
  <w:style w:type="paragraph" w:styleId="Bullet1Table">
    <w:name w:val="Bullet 1 Table"/>
    <w:basedOn w:val="TableTextBullet"/>
    <w:next w:val="TableTextBullet"/>
    <w:qFormat/>
    <w:pPr/>
    <w:rPr/>
  </w:style>
  <w:style w:type="paragraph" w:styleId="Datum">
    <w:name w:val="Datum"/>
    <w:basedOn w:val="Normal"/>
    <w:next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ing1Numbered">
    <w:name w:val="Heading 1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caps/>
      <w:sz w:val="28"/>
    </w:rPr>
  </w:style>
  <w:style w:type="paragraph" w:styleId="Head1-NoTOC">
    <w:name w:val="Head 1 # - No TOC"/>
    <w:basedOn w:val="Heading1Numbered"/>
    <w:next w:val="BodyText"/>
    <w:qFormat/>
    <w:pPr>
      <w:numPr>
        <w:ilvl w:val="0"/>
        <w:numId w:val="13"/>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ing2Numbered">
    <w:name w:val="Heading 2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sz w:val="28"/>
    </w:rPr>
  </w:style>
  <w:style w:type="paragraph" w:styleId="Head2-NoTOC">
    <w:name w:val="Head 2 # - No TOC"/>
    <w:basedOn w:val="Heading2Numbered"/>
    <w:next w:val="BodyText"/>
    <w:qFormat/>
    <w:pPr>
      <w:numPr>
        <w:ilvl w:val="0"/>
        <w:numId w:val="13"/>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1"/>
      </w:numPr>
    </w:pPr>
    <w:rPr/>
  </w:style>
  <w:style w:type="paragraph" w:styleId="Head3-NoTOC">
    <w:name w:val="Head 3 # - No TOC"/>
    <w:basedOn w:val="Heading3Numbered"/>
    <w:next w:val="BodyText"/>
    <w:qFormat/>
    <w:pPr>
      <w:numPr>
        <w:ilvl w:val="0"/>
        <w:numId w:val="13"/>
      </w:numPr>
    </w:pPr>
    <w:rPr/>
  </w:style>
  <w:style w:type="paragraph" w:styleId="Head4-NoTOCor">
    <w:name w:val="Head 4 - No TOC or #"/>
    <w:basedOn w:val="Heading4"/>
    <w:next w:val="TableText"/>
    <w:qFormat/>
    <w:pPr>
      <w:numPr>
        <w:ilvl w:val="0"/>
        <w:numId w:val="0"/>
      </w:numPr>
      <w:outlineLvl w:val="9"/>
    </w:pPr>
    <w:rPr/>
  </w:style>
  <w:style w:type="paragraph" w:styleId="Heading4Numbered">
    <w:name w:val="Heading 4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sz w:val="24"/>
    </w:rPr>
  </w:style>
  <w:style w:type="paragraph" w:styleId="Head4-NoTOC">
    <w:name w:val="Head 4 # - No TOC"/>
    <w:basedOn w:val="Heading4Numbered"/>
    <w:next w:val="BodyText"/>
    <w:qFormat/>
    <w:pPr>
      <w:numPr>
        <w:ilvl w:val="0"/>
        <w:numId w:val="13"/>
      </w:numPr>
    </w:pPr>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ableLevel1Numbered">
    <w:name w:val="Table Level 1 Numbered"/>
    <w:basedOn w:val="Normal"/>
    <w:qFormat/>
    <w:pPr>
      <w:numPr>
        <w:ilvl w:val="0"/>
        <w:numId w:val="8"/>
      </w:numPr>
    </w:pPr>
    <w:rPr/>
  </w:style>
  <w:style w:type="paragraph" w:styleId="TableLevel1-2Bullet">
    <w:name w:val="Table Level 1-2 Bullet"/>
    <w:basedOn w:val="Normal"/>
    <w:qFormat/>
    <w:pPr>
      <w:numPr>
        <w:ilvl w:val="0"/>
        <w:numId w:val="15"/>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4Bullet">
    <w:name w:val="Table Level 3-4 Bullet"/>
    <w:basedOn w:val="Normal"/>
    <w:qFormat/>
    <w:pPr>
      <w:numPr>
        <w:ilvl w:val="0"/>
        <w:numId w:val="10"/>
      </w:numPr>
    </w:pPr>
    <w:rPr/>
  </w:style>
  <w:style w:type="paragraph" w:styleId="TableLevel3-4Indent">
    <w:name w:val="Table Level 3-4 Indent"/>
    <w:basedOn w:val="Normal"/>
    <w:qFormat/>
    <w:pPr>
      <w:ind w:hanging="0" w:start="1296" w:end="0"/>
    </w:pPr>
    <w:rPr/>
  </w:style>
  <w:style w:type="paragraph" w:styleId="TableLevel3Numbered">
    <w:name w:val="Table Level 3 Numbered"/>
    <w:basedOn w:val="Normal"/>
    <w:qFormat/>
    <w:pPr>
      <w:numPr>
        <w:ilvl w:val="0"/>
        <w:numId w:val="8"/>
      </w:numPr>
    </w:pPr>
    <w:rPr/>
  </w:style>
  <w:style w:type="paragraph" w:styleId="TableText">
    <w:name w:val="Table Text"/>
    <w:basedOn w:val="Normal"/>
    <w:qFormat/>
    <w:pPr/>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Bullet1Body">
    <w:name w:val="Bullet 1 Body"/>
    <w:basedOn w:val="BodyTextBullet"/>
    <w:next w:val="BodyTextBullet"/>
    <w:qFormat/>
    <w:pPr/>
    <w:rPr/>
  </w:style>
  <w:style w:type="paragraph" w:styleId="TableLevel4Numbered">
    <w:name w:val="Table Level 4 Numbered"/>
    <w:basedOn w:val="Normal"/>
    <w:qFormat/>
    <w:pPr>
      <w:numPr>
        <w:ilvl w:val="0"/>
        <w:numId w:val="8"/>
      </w:numPr>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1"/>
      </w:numPr>
    </w:pPr>
    <w:rPr>
      <w:b/>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2007-01-29T19:00:00Z</dcterms:created>
  <dc:creator>TPI</dc:creator>
  <dc:description>RFP8 Exhibit 17. Contains Safety and Security Procedures requirements.
Version 1A - 072905</dc:description>
  <dc:language>en-US</dc:language>
  <cp:lastModifiedBy>Wenger Plattner</cp:lastModifiedBy>
  <cp:lastPrinted>2007-01-29T14:29:00Z</cp:lastPrinted>
  <dcterms:modified xsi:type="dcterms:W3CDTF">2007-01-29T19:00:00Z</dcterms:modified>
  <cp:revision>2</cp:revision>
  <dc:subject/>
  <dc:title>RFP8 Exhibit 17 Safety Security Procedures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I_RefPrefix">
    <vt:lpwstr>E17</vt:lpwstr>
  </property>
</Properties>
</file>