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lang w:val="en-GB"/>
        </w:rPr>
      </w:pPr>
      <w:r>
        <w:rPr>
          <w:lang w:val="en-GB"/>
        </w:rPr>
      </w:r>
    </w:p>
    <w:p>
      <w:pPr>
        <w:pStyle w:val="Titel"/>
        <w:rPr>
          <w:lang w:val="en-GB"/>
        </w:rPr>
      </w:pPr>
      <w:r>
        <w:rPr>
          <w:lang w:val="en-GB"/>
        </w:rPr>
      </w:r>
    </w:p>
    <w:p>
      <w:pPr>
        <w:pStyle w:val="Titel"/>
        <w:rPr>
          <w:lang w:val="en-GB"/>
        </w:rPr>
      </w:pPr>
      <w:r>
        <w:rPr>
          <w:lang w:val="en-GB"/>
        </w:rPr>
      </w:r>
    </w:p>
    <w:p>
      <w:pPr>
        <w:pStyle w:val="Titel"/>
        <w:rPr>
          <w:lang w:val="en-GB"/>
        </w:rPr>
      </w:pPr>
      <w:r>
        <w:rPr>
          <w:lang w:val="en-GB"/>
        </w:rPr>
      </w:r>
    </w:p>
    <w:p>
      <w:pPr>
        <w:pStyle w:val="Titel"/>
        <w:rPr>
          <w:lang w:val="en-GB"/>
        </w:rPr>
      </w:pPr>
      <w:r>
        <w:rPr>
          <w:lang w:val="en-GB"/>
        </w:rPr>
        <w:t>GlobalPharma</w:t>
      </w:r>
    </w:p>
    <w:p>
      <w:pPr>
        <w:pStyle w:val="Titel"/>
        <w:rPr>
          <w:lang w:val="en-GB"/>
        </w:rPr>
      </w:pPr>
      <w:r>
        <w:rPr>
          <w:lang w:val="en-GB"/>
        </w:rPr>
      </w:r>
    </w:p>
    <w:p>
      <w:pPr>
        <w:pStyle w:val="Titel"/>
        <w:rPr>
          <w:lang w:val="en-GB"/>
        </w:rPr>
      </w:pPr>
      <w:r>
        <w:rPr>
          <w:lang w:val="en-GB"/>
        </w:rPr>
        <w:t>exhibit 18</w:t>
      </w:r>
    </w:p>
    <w:p>
      <w:pPr>
        <w:pStyle w:val="Titel"/>
        <w:rPr>
          <w:lang w:val="en-GB"/>
        </w:rPr>
      </w:pPr>
      <w:r>
        <w:rPr>
          <w:lang w:val="en-GB"/>
        </w:rPr>
      </w:r>
    </w:p>
    <w:p>
      <w:pPr>
        <w:pStyle w:val="Titel"/>
        <w:rPr>
          <w:lang w:val="en-GB"/>
        </w:rPr>
      </w:pPr>
      <w:r>
        <w:rPr>
          <w:lang w:val="en-GB"/>
        </w:rPr>
        <w:t>Termination Assistance</w:t>
      </w:r>
    </w:p>
    <w:p>
      <w:pPr>
        <w:pStyle w:val="Titel"/>
        <w:rPr>
          <w:lang w:val="en-GB"/>
        </w:rPr>
      </w:pPr>
      <w:r>
        <w:rPr>
          <w:lang w:val="en-GB"/>
        </w:rPr>
      </w:r>
    </w:p>
    <w:p>
      <w:pPr>
        <w:pStyle w:val="Titel"/>
        <w:rPr>
          <w:lang w:val="en-GB"/>
        </w:rPr>
      </w:pPr>
      <w:r>
        <w:rPr>
          <w:lang w:val="en-GB"/>
        </w:rPr>
      </w:r>
    </w:p>
    <w:p>
      <w:pPr>
        <w:pStyle w:val="Titel"/>
        <w:rPr>
          <w:lang w:val="en-GB"/>
        </w:rPr>
      </w:pPr>
      <w:r>
        <w:rPr>
          <w:lang w:val="en-GB"/>
        </w:rPr>
      </w:r>
    </w:p>
    <w:p>
      <w:pPr>
        <w:pStyle w:val="Titel"/>
        <w:rPr>
          <w:lang w:val="en-GB"/>
        </w:rPr>
      </w:pPr>
      <w:r>
        <w:rPr>
          <w:lang w:val="en-GB"/>
        </w:rPr>
      </w:r>
    </w:p>
    <w:tbl>
      <w:tblPr>
        <w:tblW w:w="7227" w:type="dxa"/>
        <w:jc w:val="center"/>
        <w:tblInd w:w="0" w:type="dxa"/>
        <w:tblLayout w:type="fixed"/>
        <w:tblCellMar>
          <w:top w:w="0" w:type="dxa"/>
          <w:start w:w="108" w:type="dxa"/>
          <w:bottom w:w="0" w:type="dxa"/>
          <w:end w:w="108" w:type="dxa"/>
        </w:tblCellMar>
      </w:tblPr>
      <w:tblGrid>
        <w:gridCol w:w="7227"/>
      </w:tblGrid>
      <w:tr>
        <w:trPr/>
        <w:tc>
          <w:tcPr>
            <w:tcW w:w="7227" w:type="dxa"/>
            <w:tcBorders>
              <w:top w:val="single" w:sz="4" w:space="0" w:color="000000"/>
              <w:start w:val="single" w:sz="4" w:space="0" w:color="000000"/>
              <w:bottom w:val="single" w:sz="4" w:space="0" w:color="000000"/>
              <w:end w:val="single" w:sz="4" w:space="0" w:color="000000"/>
            </w:tcBorders>
            <w:vAlign w:val="bottom"/>
          </w:tcPr>
          <w:p>
            <w:pPr>
              <w:pStyle w:val="Normal"/>
              <w:spacing w:before="120" w:after="120"/>
              <w:jc w:val="center"/>
              <w:rPr>
                <w:lang w:val="en-GB"/>
              </w:rPr>
            </w:pPr>
            <w:r>
              <w:rPr>
                <w:lang w:val="en-GB"/>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tc>
      </w:tr>
    </w:tbl>
    <w:p>
      <w:pPr>
        <w:pStyle w:val="Titel"/>
        <w:rPr>
          <w:lang w:val="en-GB"/>
        </w:rPr>
      </w:pPr>
      <w:r>
        <w:rPr>
          <w:lang w:val="en-GB"/>
        </w:rPr>
      </w:r>
    </w:p>
    <w:p>
      <w:pPr>
        <w:pStyle w:val="Titel"/>
        <w:rPr>
          <w:lang w:val="en-GB"/>
        </w:rPr>
      </w:pPr>
      <w:r>
        <w:rPr>
          <w:lang w:val="en-GB"/>
        </w:rPr>
      </w:r>
    </w:p>
    <w:p>
      <w:pPr>
        <w:sectPr>
          <w:headerReference w:type="default" r:id="rId2"/>
          <w:type w:val="nextPage"/>
          <w:pgSz w:w="11906" w:h="16838"/>
          <w:pgMar w:left="1729" w:right="1729" w:gutter="0" w:header="720" w:top="776" w:footer="0" w:bottom="1094"/>
          <w:pgNumType w:fmt="decimal"/>
          <w:formProt w:val="false"/>
          <w:textDirection w:val="lrTb"/>
          <w:docGrid w:type="default" w:linePitch="360" w:charSpace="0"/>
        </w:sectPr>
        <w:pStyle w:val="Normal"/>
        <w:rPr>
          <w:lang w:val="en-GB"/>
        </w:rPr>
      </w:pPr>
      <w:r>
        <w:rPr>
          <w:lang w:val="en-GB"/>
        </w:rPr>
      </w:r>
    </w:p>
    <w:p>
      <w:pPr>
        <w:pStyle w:val="Normal"/>
        <w:rPr>
          <w:lang w:val="en-GB"/>
        </w:rPr>
      </w:pPr>
      <w:r>
        <w:rPr>
          <w:lang w:val="en-GB"/>
        </w:rPr>
      </w:r>
    </w:p>
    <w:p>
      <w:pPr>
        <w:pStyle w:val="Titel"/>
        <w:rPr/>
      </w:pPr>
      <w:r>
        <w:rPr/>
        <w:t>Table of Contents</w:t>
      </w:r>
    </w:p>
    <w:sdt>
      <w:sdtPr>
        <w:docPartObj>
          <w:docPartGallery w:val="Table of Contents"/>
          <w:docPartUnique w:val="true"/>
        </w:docPartObj>
      </w:sdtPr>
      <w:sdtContent>
        <w:p>
          <w:pPr>
            <w:pStyle w:val="TOC1"/>
            <w:tabs>
              <w:tab w:val="clear" w:pos="720"/>
              <w:tab w:val="left" w:pos="440" w:leader="none"/>
              <w:tab w:val="right" w:pos="8441" w:leader="dot"/>
            </w:tabs>
            <w:rPr>
              <w:b w:val="false"/>
              <w:bCs w:val="false"/>
              <w:caps w:val="false"/>
              <w:smallCaps w:val="false"/>
              <w:sz w:val="24"/>
              <w:szCs w:val="24"/>
              <w:lang w:val="en-GB" w:eastAsia="en-US"/>
            </w:rPr>
          </w:pPr>
          <w:r>
            <w:fldChar w:fldCharType="begin"/>
          </w:r>
          <w:r>
            <w:rPr>
              <w:lang w:val="en-GB" w:eastAsia="en-US"/>
            </w:rPr>
            <w:instrText xml:space="preserve"> TOC \t "Heading 1 Numbered;1" </w:instrText>
          </w:r>
          <w:r>
            <w:rPr>
              <w:lang w:val="en-GB" w:eastAsia="en-US"/>
            </w:rPr>
            <w:fldChar w:fldCharType="separate"/>
          </w:r>
          <w:r>
            <w:rPr>
              <w:lang w:val="en-GB" w:eastAsia="en-US"/>
            </w:rPr>
            <w:t>1.</w:t>
          </w:r>
          <w:r>
            <w:rPr>
              <w:b w:val="false"/>
              <w:bCs w:val="false"/>
              <w:caps w:val="false"/>
              <w:smallCaps w:val="false"/>
              <w:sz w:val="24"/>
              <w:szCs w:val="24"/>
              <w:lang w:val="en-GB" w:eastAsia="en-US"/>
            </w:rPr>
            <w:tab/>
          </w:r>
          <w:r>
            <w:rPr>
              <w:lang w:val="en-GB" w:eastAsia="en-US"/>
            </w:rPr>
            <w:t>INTRODUCTION</w:t>
          </w:r>
          <w:r>
            <w:rPr>
              <w:lang w:val="en-US" w:eastAsia="en-US"/>
            </w:rPr>
            <w:tab/>
          </w:r>
          <w:hyperlink w:anchor="__RefHeading___Toc157928872">
            <w:r>
              <w:rPr>
                <w:rStyle w:val="IndexLink"/>
                <w:lang w:val="en-US" w:eastAsia="en-US"/>
              </w:rPr>
              <w:t>1</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2.</w:t>
          </w:r>
          <w:r>
            <w:rPr>
              <w:b w:val="false"/>
              <w:bCs w:val="false"/>
              <w:caps w:val="false"/>
              <w:smallCaps w:val="false"/>
              <w:sz w:val="24"/>
              <w:szCs w:val="24"/>
              <w:lang w:val="en-GB" w:eastAsia="en-US"/>
            </w:rPr>
            <w:tab/>
          </w:r>
          <w:r>
            <w:rPr>
              <w:lang w:val="en-GB" w:eastAsia="en-US"/>
            </w:rPr>
            <w:t>GENERAL STRUCTURE OF THE TERMINATION ASSISTANCE</w:t>
          </w:r>
          <w:r>
            <w:rPr>
              <w:lang w:val="en-US" w:eastAsia="en-US"/>
            </w:rPr>
            <w:tab/>
          </w:r>
          <w:hyperlink w:anchor="__RefHeading___Toc157928873">
            <w:r>
              <w:rPr>
                <w:rStyle w:val="IndexLink"/>
                <w:lang w:val="en-US" w:eastAsia="en-US"/>
              </w:rPr>
              <w:t>1</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3.</w:t>
          </w:r>
          <w:r>
            <w:rPr>
              <w:b w:val="false"/>
              <w:bCs w:val="false"/>
              <w:caps w:val="false"/>
              <w:smallCaps w:val="false"/>
              <w:sz w:val="24"/>
              <w:szCs w:val="24"/>
              <w:lang w:val="en-GB" w:eastAsia="en-US"/>
            </w:rPr>
            <w:tab/>
          </w:r>
          <w:r>
            <w:rPr>
              <w:lang w:val="en-GB" w:eastAsia="en-US"/>
            </w:rPr>
            <w:t>OBJECTIVES OF THE EXIT PLAN</w:t>
          </w:r>
          <w:r>
            <w:rPr>
              <w:lang w:val="en-US" w:eastAsia="en-US"/>
            </w:rPr>
            <w:tab/>
          </w:r>
          <w:hyperlink w:anchor="__RefHeading___Toc157928874">
            <w:r>
              <w:rPr>
                <w:rStyle w:val="IndexLink"/>
                <w:lang w:val="en-US" w:eastAsia="en-US"/>
              </w:rPr>
              <w:t>3</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4.</w:t>
          </w:r>
          <w:r>
            <w:rPr>
              <w:b w:val="false"/>
              <w:bCs w:val="false"/>
              <w:caps w:val="false"/>
              <w:smallCaps w:val="false"/>
              <w:sz w:val="24"/>
              <w:szCs w:val="24"/>
              <w:lang w:val="en-GB" w:eastAsia="en-US"/>
            </w:rPr>
            <w:tab/>
          </w:r>
          <w:r>
            <w:rPr>
              <w:lang w:val="en-GB" w:eastAsia="en-US"/>
            </w:rPr>
            <w:t>MINIMUM REQUIREMENTS OF EXIT PLAN</w:t>
          </w:r>
          <w:r>
            <w:rPr>
              <w:lang w:val="en-US" w:eastAsia="en-US"/>
            </w:rPr>
            <w:tab/>
          </w:r>
          <w:hyperlink w:anchor="__RefHeading___Toc157928875">
            <w:r>
              <w:rPr>
                <w:rStyle w:val="IndexLink"/>
                <w:lang w:val="en-US" w:eastAsia="en-US"/>
              </w:rPr>
              <w:t>3</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5.</w:t>
          </w:r>
          <w:r>
            <w:rPr>
              <w:b w:val="false"/>
              <w:bCs w:val="false"/>
              <w:caps w:val="false"/>
              <w:smallCaps w:val="false"/>
              <w:sz w:val="24"/>
              <w:szCs w:val="24"/>
              <w:lang w:val="en-GB" w:eastAsia="en-US"/>
            </w:rPr>
            <w:tab/>
          </w:r>
          <w:r>
            <w:rPr>
              <w:lang w:val="en-GB" w:eastAsia="en-US"/>
            </w:rPr>
            <w:t>PROCESS FOR AGREEment of THE EXIT PLAN</w:t>
          </w:r>
          <w:r>
            <w:rPr>
              <w:lang w:val="en-US" w:eastAsia="en-US"/>
            </w:rPr>
            <w:tab/>
          </w:r>
          <w:hyperlink w:anchor="__RefHeading___Toc157928876">
            <w:r>
              <w:rPr>
                <w:rStyle w:val="IndexLink"/>
                <w:lang w:val="en-US" w:eastAsia="en-US"/>
              </w:rPr>
              <w:t>4</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6.</w:t>
          </w:r>
          <w:r>
            <w:rPr>
              <w:b w:val="false"/>
              <w:bCs w:val="false"/>
              <w:caps w:val="false"/>
              <w:smallCaps w:val="false"/>
              <w:sz w:val="24"/>
              <w:szCs w:val="24"/>
              <w:lang w:val="en-GB" w:eastAsia="en-US"/>
            </w:rPr>
            <w:tab/>
          </w:r>
          <w:r>
            <w:rPr>
              <w:lang w:val="en-GB" w:eastAsia="en-US"/>
            </w:rPr>
            <w:t>UPDATE THE EXIT PLAN</w:t>
          </w:r>
          <w:r>
            <w:rPr>
              <w:lang w:val="en-US" w:eastAsia="en-US"/>
            </w:rPr>
            <w:tab/>
          </w:r>
          <w:hyperlink w:anchor="__RefHeading___Toc157928877">
            <w:r>
              <w:rPr>
                <w:rStyle w:val="IndexLink"/>
                <w:lang w:val="en-US" w:eastAsia="en-US"/>
              </w:rPr>
              <w:t>5</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7.</w:t>
          </w:r>
          <w:r>
            <w:rPr>
              <w:b w:val="false"/>
              <w:bCs w:val="false"/>
              <w:caps w:val="false"/>
              <w:smallCaps w:val="false"/>
              <w:sz w:val="24"/>
              <w:szCs w:val="24"/>
              <w:lang w:val="en-GB" w:eastAsia="en-US"/>
            </w:rPr>
            <w:tab/>
          </w:r>
          <w:r>
            <w:rPr>
              <w:lang w:val="en-GB" w:eastAsia="en-US"/>
            </w:rPr>
            <w:t>RE-TENDERING OF SERVICES</w:t>
          </w:r>
          <w:r>
            <w:rPr>
              <w:lang w:val="en-US" w:eastAsia="en-US"/>
            </w:rPr>
            <w:tab/>
          </w:r>
          <w:hyperlink w:anchor="__RefHeading___Toc157928878">
            <w:r>
              <w:rPr>
                <w:rStyle w:val="IndexLink"/>
                <w:lang w:val="en-US" w:eastAsia="en-US"/>
              </w:rPr>
              <w:t>5</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8.</w:t>
          </w:r>
          <w:r>
            <w:rPr>
              <w:b w:val="false"/>
              <w:bCs w:val="false"/>
              <w:caps w:val="false"/>
              <w:smallCaps w:val="false"/>
              <w:sz w:val="24"/>
              <w:szCs w:val="24"/>
              <w:lang w:val="en-GB" w:eastAsia="en-US"/>
            </w:rPr>
            <w:tab/>
          </w:r>
          <w:r>
            <w:rPr>
              <w:lang w:val="en-GB" w:eastAsia="en-US"/>
            </w:rPr>
            <w:t>KNOWLEDGE TRANSFER</w:t>
          </w:r>
          <w:r>
            <w:rPr>
              <w:lang w:val="en-US" w:eastAsia="en-US"/>
            </w:rPr>
            <w:tab/>
          </w:r>
          <w:hyperlink w:anchor="__RefHeading___Toc157928879">
            <w:r>
              <w:rPr>
                <w:rStyle w:val="IndexLink"/>
                <w:lang w:val="en-US" w:eastAsia="en-US"/>
              </w:rPr>
              <w:t>6</w:t>
            </w:r>
          </w:hyperlink>
        </w:p>
        <w:p>
          <w:pPr>
            <w:pStyle w:val="TOC1"/>
            <w:tabs>
              <w:tab w:val="clear" w:pos="720"/>
              <w:tab w:val="left" w:pos="440" w:leader="none"/>
              <w:tab w:val="right" w:pos="8441" w:leader="dot"/>
            </w:tabs>
            <w:rPr>
              <w:b w:val="false"/>
              <w:bCs w:val="false"/>
              <w:caps w:val="false"/>
              <w:smallCaps w:val="false"/>
              <w:sz w:val="24"/>
              <w:szCs w:val="24"/>
              <w:lang w:val="en-GB" w:eastAsia="en-US"/>
            </w:rPr>
          </w:pPr>
          <w:r>
            <w:rPr>
              <w:lang w:val="en-GB" w:eastAsia="en-US"/>
            </w:rPr>
            <w:t>9.</w:t>
          </w:r>
          <w:r>
            <w:rPr>
              <w:b w:val="false"/>
              <w:bCs w:val="false"/>
              <w:caps w:val="false"/>
              <w:smallCaps w:val="false"/>
              <w:sz w:val="24"/>
              <w:szCs w:val="24"/>
              <w:lang w:val="en-GB" w:eastAsia="en-US"/>
            </w:rPr>
            <w:tab/>
          </w:r>
          <w:r>
            <w:rPr>
              <w:lang w:val="en-GB" w:eastAsia="en-US"/>
            </w:rPr>
            <w:t>BUSINESS CONTINUITY DURING THE TRANSFER</w:t>
          </w:r>
          <w:r>
            <w:rPr>
              <w:lang w:val="en-US" w:eastAsia="en-US"/>
            </w:rPr>
            <w:tab/>
          </w:r>
          <w:hyperlink w:anchor="__RefHeading___Toc157928880">
            <w:r>
              <w:rPr>
                <w:rStyle w:val="IndexLink"/>
                <w:lang w:val="en-US" w:eastAsia="en-US"/>
              </w:rPr>
              <w:t>7</w:t>
            </w:r>
          </w:hyperlink>
        </w:p>
        <w:p>
          <w:pPr>
            <w:pStyle w:val="TOC1"/>
            <w:tabs>
              <w:tab w:val="clear" w:pos="720"/>
              <w:tab w:val="left" w:pos="660" w:leader="none"/>
              <w:tab w:val="right" w:pos="8441" w:leader="dot"/>
            </w:tabs>
            <w:rPr>
              <w:b w:val="false"/>
              <w:bCs w:val="false"/>
              <w:caps w:val="false"/>
              <w:smallCaps w:val="false"/>
              <w:sz w:val="24"/>
              <w:szCs w:val="24"/>
              <w:lang w:val="en-GB" w:eastAsia="en-US"/>
            </w:rPr>
          </w:pPr>
          <w:r>
            <w:rPr>
              <w:lang w:val="en-GB" w:eastAsia="en-US"/>
            </w:rPr>
            <w:t>10.</w:t>
          </w:r>
          <w:r>
            <w:rPr>
              <w:b w:val="false"/>
              <w:bCs w:val="false"/>
              <w:caps w:val="false"/>
              <w:smallCaps w:val="false"/>
              <w:sz w:val="24"/>
              <w:szCs w:val="24"/>
              <w:lang w:val="en-GB" w:eastAsia="en-US"/>
            </w:rPr>
            <w:tab/>
          </w:r>
          <w:r>
            <w:rPr>
              <w:lang w:val="en-GB" w:eastAsia="en-US"/>
            </w:rPr>
            <w:t>THIRD PARTY MATERIALS</w:t>
          </w:r>
          <w:r>
            <w:rPr>
              <w:lang w:val="en-US" w:eastAsia="en-US"/>
            </w:rPr>
            <w:tab/>
          </w:r>
          <w:hyperlink w:anchor="__RefHeading___Toc157928881">
            <w:r>
              <w:rPr>
                <w:rStyle w:val="IndexLink"/>
                <w:lang w:val="en-US" w:eastAsia="en-US"/>
              </w:rPr>
              <w:t>7</w:t>
            </w:r>
          </w:hyperlink>
        </w:p>
        <w:p>
          <w:pPr>
            <w:pStyle w:val="TOC1"/>
            <w:tabs>
              <w:tab w:val="clear" w:pos="720"/>
              <w:tab w:val="left" w:pos="660" w:leader="none"/>
              <w:tab w:val="right" w:pos="8441" w:leader="dot"/>
            </w:tabs>
            <w:rPr>
              <w:b w:val="false"/>
              <w:bCs w:val="false"/>
              <w:caps w:val="false"/>
              <w:smallCaps w:val="false"/>
              <w:sz w:val="24"/>
              <w:szCs w:val="24"/>
              <w:lang w:val="en-GB" w:eastAsia="en-US"/>
            </w:rPr>
          </w:pPr>
          <w:r>
            <w:rPr>
              <w:lang w:val="en-GB" w:eastAsia="en-US"/>
            </w:rPr>
            <w:t>11.</w:t>
          </w:r>
          <w:r>
            <w:rPr>
              <w:b w:val="false"/>
              <w:bCs w:val="false"/>
              <w:caps w:val="false"/>
              <w:smallCaps w:val="false"/>
              <w:sz w:val="24"/>
              <w:szCs w:val="24"/>
              <w:lang w:val="en-GB" w:eastAsia="en-US"/>
            </w:rPr>
            <w:tab/>
          </w:r>
          <w:r>
            <w:rPr>
              <w:lang w:val="en-GB" w:eastAsia="en-US"/>
            </w:rPr>
            <w:t>THIRD PARTY CONTRACTS</w:t>
          </w:r>
          <w:r>
            <w:rPr>
              <w:lang w:val="en-US" w:eastAsia="en-US"/>
            </w:rPr>
            <w:tab/>
          </w:r>
          <w:hyperlink w:anchor="__RefHeading___Toc157928882">
            <w:r>
              <w:rPr>
                <w:rStyle w:val="IndexLink"/>
                <w:lang w:val="en-US" w:eastAsia="en-US"/>
              </w:rPr>
              <w:t>7</w:t>
            </w:r>
          </w:hyperlink>
        </w:p>
        <w:p>
          <w:pPr>
            <w:pStyle w:val="TOC1"/>
            <w:tabs>
              <w:tab w:val="clear" w:pos="720"/>
              <w:tab w:val="left" w:pos="660" w:leader="none"/>
              <w:tab w:val="right" w:pos="8441" w:leader="dot"/>
            </w:tabs>
            <w:rPr>
              <w:b w:val="false"/>
              <w:bCs w:val="false"/>
              <w:caps w:val="false"/>
              <w:smallCaps w:val="false"/>
              <w:sz w:val="24"/>
              <w:szCs w:val="24"/>
              <w:lang w:val="en-GB" w:eastAsia="en-US"/>
            </w:rPr>
          </w:pPr>
          <w:r>
            <w:rPr>
              <w:lang w:val="en-GB" w:eastAsia="en-US"/>
            </w:rPr>
            <w:t>12.</w:t>
          </w:r>
          <w:r>
            <w:rPr>
              <w:b w:val="false"/>
              <w:bCs w:val="false"/>
              <w:caps w:val="false"/>
              <w:smallCaps w:val="false"/>
              <w:sz w:val="24"/>
              <w:szCs w:val="24"/>
              <w:lang w:val="en-GB" w:eastAsia="en-US"/>
            </w:rPr>
            <w:tab/>
          </w:r>
          <w:r>
            <w:rPr>
              <w:lang w:val="en-GB" w:eastAsia="en-US"/>
            </w:rPr>
            <w:t>Novartis Pharma MATERIALS, DATA AND CONFIDENTIAL INFORMATION</w:t>
          </w:r>
          <w:r>
            <w:rPr>
              <w:lang w:val="en-US" w:eastAsia="en-US"/>
            </w:rPr>
            <w:tab/>
          </w:r>
          <w:hyperlink w:anchor="__RefHeading___Toc157928883">
            <w:r>
              <w:rPr>
                <w:rStyle w:val="IndexLink"/>
                <w:lang w:val="en-US" w:eastAsia="en-US"/>
              </w:rPr>
              <w:t>8</w:t>
            </w:r>
          </w:hyperlink>
        </w:p>
        <w:p>
          <w:pPr>
            <w:pStyle w:val="TOC1"/>
            <w:tabs>
              <w:tab w:val="clear" w:pos="720"/>
              <w:tab w:val="left" w:pos="660" w:leader="none"/>
              <w:tab w:val="right" w:pos="8441" w:leader="dot"/>
            </w:tabs>
            <w:rPr>
              <w:sz w:val="24"/>
              <w:szCs w:val="24"/>
              <w:lang w:val="de-CH" w:eastAsia="en-US"/>
            </w:rPr>
          </w:pPr>
          <w:r>
            <w:rPr>
              <w:b w:val="false"/>
              <w:bCs w:val="false"/>
              <w:caps w:val="false"/>
              <w:smallCaps w:val="false"/>
              <w:lang w:val="en-GB" w:eastAsia="en-US"/>
            </w:rPr>
            <w:t>13.</w:t>
          </w:r>
          <w:r>
            <w:rPr>
              <w:b w:val="false"/>
              <w:bCs w:val="false"/>
              <w:caps w:val="false"/>
              <w:smallCaps w:val="false"/>
              <w:sz w:val="24"/>
              <w:szCs w:val="24"/>
              <w:lang w:val="de-CH" w:eastAsia="en-US"/>
            </w:rPr>
            <w:tab/>
          </w:r>
          <w:r>
            <w:rPr>
              <w:b w:val="false"/>
              <w:bCs w:val="false"/>
              <w:caps w:val="false"/>
              <w:smallCaps w:val="false"/>
              <w:lang w:val="en-GB" w:eastAsia="en-US"/>
            </w:rPr>
            <w:t>TERMINATION ASSISTANCE CHARGES</w:t>
          </w:r>
          <w:r>
            <w:rPr>
              <w:b w:val="false"/>
              <w:bCs w:val="false"/>
              <w:caps w:val="false"/>
              <w:smallCaps w:val="false"/>
              <w:lang w:val="en-US" w:eastAsia="en-US"/>
            </w:rPr>
            <w:tab/>
          </w:r>
          <w:hyperlink w:anchor="__RefHeading___Toc157928884">
            <w:r>
              <w:rPr>
                <w:rStyle w:val="IndexLink"/>
                <w:b w:val="false"/>
                <w:bCs w:val="false"/>
                <w:caps w:val="false"/>
                <w:smallCaps w:val="false"/>
                <w:lang w:val="en-US" w:eastAsia="en-US"/>
              </w:rPr>
              <w:t>8</w:t>
            </w:r>
          </w:hyperlink>
          <w:r>
            <w:rPr>
              <w:rStyle w:val="IndexLink"/>
              <w:smallCaps w:val="false"/>
              <w:caps w:val="false"/>
              <w:b w:val="false"/>
              <w:bCs w:val="false"/>
              <w:lang w:val="en-US" w:eastAsia="en-US"/>
            </w:rPr>
            <w:fldChar w:fldCharType="end"/>
          </w:r>
        </w:p>
      </w:sdtContent>
    </w:sdt>
    <w:p>
      <w:pPr>
        <w:pStyle w:val="Normal"/>
        <w:rPr>
          <w:b/>
          <w:bCs/>
          <w:caps/>
          <w:sz w:val="18"/>
          <w:szCs w:val="18"/>
          <w:lang w:val="en-GB" w:eastAsia="en-US"/>
        </w:rPr>
      </w:pPr>
      <w:r>
        <w:rPr>
          <w:b/>
          <w:bCs/>
          <w:caps/>
          <w:sz w:val="18"/>
          <w:szCs w:val="18"/>
          <w:lang w:val="en-GB" w:eastAsia="en-US"/>
        </w:rPr>
      </w:r>
    </w:p>
    <w:p>
      <w:pPr>
        <w:pStyle w:val="Normal"/>
        <w:rPr>
          <w:lang w:val="en-GB"/>
        </w:rPr>
      </w:pPr>
      <w:r>
        <w:rPr>
          <w:lang w:val="en-GB"/>
        </w:rPr>
      </w:r>
    </w:p>
    <w:p>
      <w:pPr>
        <w:sectPr>
          <w:headerReference w:type="default" r:id="rId3"/>
          <w:headerReference w:type="first" r:id="rId4"/>
          <w:footerReference w:type="default" r:id="rId5"/>
          <w:type w:val="nextPage"/>
          <w:pgSz w:w="11906" w:h="16838"/>
          <w:pgMar w:left="1729" w:right="1729" w:gutter="0" w:header="720" w:top="776" w:footer="720" w:bottom="1094"/>
          <w:pgNumType w:start="1" w:fmt="lowerRoman"/>
          <w:formProt w:val="false"/>
          <w:textDirection w:val="lrTb"/>
          <w:docGrid w:type="default" w:linePitch="360" w:charSpace="0"/>
        </w:sectPr>
        <w:pStyle w:val="Normal"/>
        <w:rPr>
          <w:lang w:val="en-GB"/>
        </w:rPr>
      </w:pPr>
      <w:r>
        <w:rPr>
          <w:lang w:val="en-GB"/>
        </w:rPr>
      </w:r>
    </w:p>
    <w:p>
      <w:pPr>
        <w:pStyle w:val="Normal"/>
        <w:spacing w:before="0" w:after="0"/>
        <w:jc w:val="both"/>
        <w:rPr>
          <w:szCs w:val="22"/>
          <w:lang w:val="en-GB"/>
        </w:rPr>
      </w:pPr>
      <w:r>
        <w:rPr>
          <w:szCs w:val="22"/>
          <w:lang w:val="en-GB"/>
        </w:rPr>
      </w:r>
    </w:p>
    <w:p>
      <w:pPr>
        <w:pStyle w:val="Heading1Numbered"/>
        <w:numPr>
          <w:ilvl w:val="0"/>
          <w:numId w:val="2"/>
        </w:numPr>
        <w:ind w:hanging="0" w:start="0"/>
        <w:rPr>
          <w:sz w:val="22"/>
          <w:szCs w:val="22"/>
          <w:lang w:val="en-GB"/>
        </w:rPr>
      </w:pPr>
      <w:bookmarkStart w:id="0" w:name="__RefHeading___Toc157928872"/>
      <w:bookmarkEnd w:id="0"/>
      <w:r>
        <w:rPr>
          <w:sz w:val="22"/>
          <w:szCs w:val="22"/>
          <w:lang w:val="en-GB"/>
        </w:rPr>
        <w:t>INTRODUCTION</w:t>
      </w:r>
    </w:p>
    <w:p>
      <w:pPr>
        <w:pStyle w:val="Normal"/>
        <w:spacing w:before="0" w:after="0"/>
        <w:jc w:val="both"/>
        <w:rPr/>
      </w:pPr>
      <w:r>
        <w:rPr>
          <w:szCs w:val="22"/>
          <w:lang w:val="en-GB"/>
        </w:rPr>
        <w:t>1.1</w:t>
        <w:tab/>
        <w:t>In this Exhibit, a reference to GlobalPharma includes any other person or persons nominated by GlobalPharma, including any Incoming Service Provider appointed by GlobalPharma to replace the Service Provider for the Removed Services.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1.2</w:t>
        <w:tab/>
        <w:t>The Service Provider acknowledges that the uninterrupted transfer of the Removed Services to GlobalPharma or an Incoming Service Provider is critical to GlobalPharma and its business as defined within this Exhibit.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 w:name="__RefHeading___Toc157928873"/>
      <w:bookmarkEnd w:id="1"/>
      <w:r>
        <w:rPr>
          <w:bCs/>
          <w:sz w:val="22"/>
          <w:lang w:val="en-GB"/>
        </w:rPr>
        <w:t>GENERAL STRUCTURE OF THE TERMINATION ASSISTANCE</w:t>
      </w:r>
    </w:p>
    <w:p>
      <w:pPr>
        <w:pStyle w:val="Normal"/>
        <w:spacing w:before="0" w:after="0"/>
        <w:jc w:val="both"/>
        <w:rPr>
          <w:szCs w:val="22"/>
          <w:lang w:val="en-GB"/>
        </w:rPr>
      </w:pPr>
      <w:r>
        <w:rPr>
          <w:szCs w:val="22"/>
          <w:lang w:val="en-GB"/>
        </w:rPr>
        <w:t>2.1</w:t>
        <w:tab/>
        <w:t xml:space="preserve">The overall timeline of the transition of the Removed Services to GlobalPharma or an Incoming Service Provider shall consist of the following illustration: </w:t>
      </w:r>
    </w:p>
    <w:p>
      <w:pPr>
        <w:pStyle w:val="Normal"/>
        <w:spacing w:before="0" w:after="0"/>
        <w:jc w:val="both"/>
        <w:rPr>
          <w:szCs w:val="22"/>
          <w:lang w:val="en-GB"/>
        </w:rPr>
      </w:pPr>
      <w:r>
        <w:rPr>
          <w:szCs w:val="22"/>
          <w:lang w:val="en-GB"/>
        </w:rPr>
        <w:drawing>
          <wp:anchor behindDoc="0" distT="0" distB="0" distL="114935" distR="114935" simplePos="0" locked="0" layoutInCell="1" allowOverlap="1" relativeHeight="4">
            <wp:simplePos x="0" y="0"/>
            <wp:positionH relativeFrom="column">
              <wp:posOffset>0</wp:posOffset>
            </wp:positionH>
            <wp:positionV relativeFrom="paragraph">
              <wp:posOffset>48260</wp:posOffset>
            </wp:positionV>
            <wp:extent cx="5478780" cy="2811780"/>
            <wp:effectExtent l="0" t="0" r="0" b="0"/>
            <wp:wrapNone/>
            <wp:docPr id="5"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title=""/>
                    <pic:cNvPicPr>
                      <a:picLocks noChangeAspect="1" noChangeArrowheads="1"/>
                    </pic:cNvPicPr>
                  </pic:nvPicPr>
                  <pic:blipFill>
                    <a:blip r:embed="rId6"/>
                    <a:srcRect l="-4" t="-8" r="-4" b="-8"/>
                    <a:stretch>
                      <a:fillRect/>
                    </a:stretch>
                  </pic:blipFill>
                  <pic:spPr bwMode="auto">
                    <a:xfrm>
                      <a:off x="0" y="0"/>
                      <a:ext cx="5478780" cy="2811780"/>
                    </a:xfrm>
                    <a:prstGeom prst="rect">
                      <a:avLst/>
                    </a:prstGeom>
                    <a:noFill/>
                  </pic:spPr>
                </pic:pic>
              </a:graphicData>
            </a:graphic>
          </wp:anchor>
        </w:drawing>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numPr>
          <w:ilvl w:val="0"/>
          <w:numId w:val="7"/>
        </w:numPr>
        <w:spacing w:before="0" w:after="0"/>
        <w:jc w:val="both"/>
        <w:rPr>
          <w:szCs w:val="22"/>
          <w:lang w:val="en-GB"/>
        </w:rPr>
      </w:pPr>
      <w:r>
        <w:rPr>
          <w:szCs w:val="22"/>
          <w:lang w:val="en-GB"/>
        </w:rPr>
        <w:t>The terms are defined as :</w:t>
      </w:r>
    </w:p>
    <w:p>
      <w:pPr>
        <w:pStyle w:val="Normal"/>
        <w:numPr>
          <w:ilvl w:val="1"/>
          <w:numId w:val="7"/>
        </w:numPr>
        <w:spacing w:before="0" w:after="0"/>
        <w:jc w:val="both"/>
        <w:rPr>
          <w:szCs w:val="22"/>
          <w:lang w:val="en-GB"/>
        </w:rPr>
      </w:pPr>
      <w:r>
        <w:rPr>
          <w:szCs w:val="22"/>
          <w:lang w:val="en-GB"/>
        </w:rPr>
        <w:t>Exit Plan is the period from TASD through ECD and may include two (2) – ninety (90) day extensions</w:t>
      </w:r>
    </w:p>
    <w:p>
      <w:pPr>
        <w:pStyle w:val="Normal"/>
        <w:numPr>
          <w:ilvl w:val="1"/>
          <w:numId w:val="7"/>
        </w:numPr>
        <w:spacing w:before="0" w:after="0"/>
        <w:jc w:val="both"/>
        <w:rPr>
          <w:szCs w:val="22"/>
          <w:lang w:val="en-GB"/>
        </w:rPr>
      </w:pPr>
      <w:r>
        <w:rPr>
          <w:szCs w:val="22"/>
          <w:lang w:val="en-GB"/>
        </w:rPr>
        <w:t>TASD is the Termination Assistance Start Date</w:t>
      </w:r>
    </w:p>
    <w:p>
      <w:pPr>
        <w:pStyle w:val="Normal"/>
        <w:numPr>
          <w:ilvl w:val="1"/>
          <w:numId w:val="7"/>
        </w:numPr>
        <w:spacing w:before="0" w:after="0"/>
        <w:jc w:val="both"/>
        <w:rPr>
          <w:szCs w:val="22"/>
          <w:lang w:val="en-GB"/>
        </w:rPr>
      </w:pPr>
      <w:r>
        <w:rPr>
          <w:szCs w:val="22"/>
          <w:lang w:val="en-GB"/>
        </w:rPr>
        <w:t>ESD is the Exit Start Date</w:t>
      </w:r>
    </w:p>
    <w:p>
      <w:pPr>
        <w:pStyle w:val="Normal"/>
        <w:numPr>
          <w:ilvl w:val="1"/>
          <w:numId w:val="7"/>
        </w:numPr>
        <w:spacing w:before="0" w:after="0"/>
        <w:jc w:val="both"/>
        <w:rPr>
          <w:szCs w:val="22"/>
          <w:lang w:val="en-GB"/>
        </w:rPr>
      </w:pPr>
      <w:r>
        <w:rPr>
          <w:szCs w:val="22"/>
          <w:lang w:val="en-GB"/>
        </w:rPr>
        <w:t>ECD is the Exit Completion Date which may include two (2) – ninety (90) day extensions</w:t>
      </w:r>
    </w:p>
    <w:p>
      <w:pPr>
        <w:pStyle w:val="Normal"/>
        <w:numPr>
          <w:ilvl w:val="1"/>
          <w:numId w:val="7"/>
        </w:numPr>
        <w:spacing w:before="0" w:after="0"/>
        <w:jc w:val="both"/>
        <w:rPr>
          <w:szCs w:val="22"/>
          <w:lang w:val="en-GB"/>
        </w:rPr>
      </w:pPr>
      <w:r>
        <w:rPr>
          <w:szCs w:val="22"/>
          <w:lang w:val="en-GB"/>
        </w:rPr>
        <w:t>Transition is the period from contract Execution Date until all Waves are live and operational. This period is known as the Ramp-Up period.</w:t>
      </w:r>
    </w:p>
    <w:p>
      <w:pPr>
        <w:pStyle w:val="Normal"/>
        <w:numPr>
          <w:ilvl w:val="1"/>
          <w:numId w:val="7"/>
        </w:numPr>
        <w:spacing w:before="0" w:after="0"/>
        <w:jc w:val="both"/>
        <w:rPr>
          <w:szCs w:val="22"/>
          <w:lang w:val="en-GB"/>
        </w:rPr>
      </w:pPr>
      <w:r>
        <w:rPr>
          <w:szCs w:val="22"/>
          <w:lang w:val="en-GB"/>
        </w:rPr>
        <w:t>Contract Operational is the period after Transition but before TASD</w:t>
      </w:r>
    </w:p>
    <w:p>
      <w:pPr>
        <w:pStyle w:val="Normal"/>
        <w:numPr>
          <w:ilvl w:val="1"/>
          <w:numId w:val="7"/>
        </w:numPr>
        <w:spacing w:before="0" w:after="0"/>
        <w:jc w:val="both"/>
        <w:rPr>
          <w:szCs w:val="22"/>
          <w:lang w:val="en-GB"/>
        </w:rPr>
      </w:pPr>
      <w:r>
        <w:rPr>
          <w:szCs w:val="22"/>
          <w:lang w:val="en-GB"/>
        </w:rPr>
        <w:t>A is defined as the Notice Date which is time from GlobalPharma notification to the Service Provider until TASD</w:t>
      </w:r>
    </w:p>
    <w:p>
      <w:pPr>
        <w:pStyle w:val="Normal"/>
        <w:numPr>
          <w:ilvl w:val="1"/>
          <w:numId w:val="7"/>
        </w:numPr>
        <w:spacing w:before="0" w:after="0"/>
        <w:jc w:val="both"/>
        <w:rPr>
          <w:szCs w:val="22"/>
          <w:lang w:val="en-GB"/>
        </w:rPr>
      </w:pPr>
      <w:r>
        <w:rPr>
          <w:szCs w:val="22"/>
          <w:lang w:val="en-GB"/>
        </w:rPr>
        <w:t>B is defined as TASD to ESD</w:t>
      </w:r>
    </w:p>
    <w:p>
      <w:pPr>
        <w:pStyle w:val="Normal"/>
        <w:numPr>
          <w:ilvl w:val="1"/>
          <w:numId w:val="7"/>
        </w:numPr>
        <w:spacing w:before="0" w:after="0"/>
        <w:jc w:val="both"/>
        <w:rPr>
          <w:szCs w:val="22"/>
          <w:lang w:val="en-GB"/>
        </w:rPr>
      </w:pPr>
      <w:r>
        <w:rPr>
          <w:szCs w:val="22"/>
          <w:lang w:val="en-GB"/>
        </w:rPr>
        <w:t>C is defined as the Exit Period (2.2) ESD until ECD</w:t>
      </w:r>
    </w:p>
    <w:p>
      <w:pPr>
        <w:pStyle w:val="Normal"/>
        <w:numPr>
          <w:ilvl w:val="1"/>
          <w:numId w:val="7"/>
        </w:numPr>
        <w:spacing w:before="0" w:after="0"/>
        <w:jc w:val="both"/>
        <w:rPr>
          <w:szCs w:val="22"/>
          <w:lang w:val="en-GB"/>
        </w:rPr>
      </w:pPr>
      <w:r>
        <w:rPr>
          <w:szCs w:val="22"/>
          <w:lang w:val="en-GB"/>
        </w:rPr>
        <w:t>The following table determines the applicable period in days or months for:</w:t>
      </w:r>
    </w:p>
    <w:tbl>
      <w:tblPr>
        <w:tblW w:w="8667" w:type="dxa"/>
        <w:jc w:val="start"/>
        <w:tblInd w:w="0" w:type="dxa"/>
        <w:tblLayout w:type="fixed"/>
        <w:tblCellMar>
          <w:top w:w="0" w:type="dxa"/>
          <w:start w:w="108" w:type="dxa"/>
          <w:bottom w:w="0" w:type="dxa"/>
          <w:end w:w="108" w:type="dxa"/>
        </w:tblCellMar>
      </w:tblPr>
      <w:tblGrid>
        <w:gridCol w:w="2166"/>
        <w:gridCol w:w="2167"/>
        <w:gridCol w:w="2167"/>
        <w:gridCol w:w="2167"/>
      </w:tblGrid>
      <w:tr>
        <w:trPr/>
        <w:tc>
          <w:tcPr>
            <w:tcW w:w="2166" w:type="dxa"/>
            <w:tcBorders>
              <w:top w:val="single" w:sz="4" w:space="0" w:color="000000"/>
              <w:start w:val="single" w:sz="4" w:space="0" w:color="000000"/>
              <w:bottom w:val="single" w:sz="4" w:space="0" w:color="000000"/>
              <w:end w:val="single" w:sz="4" w:space="0" w:color="000000"/>
            </w:tcBorders>
          </w:tcPr>
          <w:p>
            <w:pPr>
              <w:pStyle w:val="Normal"/>
              <w:spacing w:before="0" w:after="0"/>
              <w:rPr>
                <w:szCs w:val="22"/>
                <w:lang w:val="en-GB"/>
              </w:rPr>
            </w:pPr>
            <w:r>
              <w:rPr>
                <w:szCs w:val="22"/>
                <w:lang w:val="en-GB"/>
              </w:rPr>
              <w:t>Termination Type</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A</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B</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C</w:t>
            </w:r>
          </w:p>
        </w:tc>
      </w:tr>
      <w:tr>
        <w:trPr/>
        <w:tc>
          <w:tcPr>
            <w:tcW w:w="2166" w:type="dxa"/>
            <w:tcBorders>
              <w:top w:val="single" w:sz="4" w:space="0" w:color="000000"/>
              <w:start w:val="single" w:sz="4" w:space="0" w:color="000000"/>
              <w:bottom w:val="single" w:sz="4" w:space="0" w:color="000000"/>
              <w:end w:val="single" w:sz="4" w:space="0" w:color="000000"/>
            </w:tcBorders>
          </w:tcPr>
          <w:p>
            <w:pPr>
              <w:pStyle w:val="Normal"/>
              <w:spacing w:before="0" w:after="0"/>
              <w:rPr>
                <w:szCs w:val="22"/>
                <w:lang w:val="en-GB"/>
              </w:rPr>
            </w:pPr>
            <w:r>
              <w:rPr>
                <w:szCs w:val="22"/>
                <w:lang w:val="en-GB"/>
              </w:rPr>
              <w:t>Convenience</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6 months</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1 to 183 days</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180 days</w:t>
            </w:r>
          </w:p>
        </w:tc>
      </w:tr>
      <w:tr>
        <w:trPr/>
        <w:tc>
          <w:tcPr>
            <w:tcW w:w="2166" w:type="dxa"/>
            <w:tcBorders>
              <w:top w:val="single" w:sz="4" w:space="0" w:color="000000"/>
              <w:start w:val="single" w:sz="4" w:space="0" w:color="000000"/>
              <w:bottom w:val="single" w:sz="4" w:space="0" w:color="000000"/>
              <w:end w:val="single" w:sz="4" w:space="0" w:color="000000"/>
            </w:tcBorders>
          </w:tcPr>
          <w:p>
            <w:pPr>
              <w:pStyle w:val="Normal"/>
              <w:spacing w:before="0" w:after="0"/>
              <w:rPr>
                <w:szCs w:val="22"/>
                <w:lang w:val="en-GB"/>
              </w:rPr>
            </w:pPr>
            <w:r>
              <w:rPr>
                <w:szCs w:val="22"/>
                <w:lang w:val="en-GB"/>
              </w:rPr>
              <w:t>Regulatory Change</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Not applicable</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90 to 183 days</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180 days</w:t>
            </w:r>
          </w:p>
        </w:tc>
      </w:tr>
      <w:tr>
        <w:trPr/>
        <w:tc>
          <w:tcPr>
            <w:tcW w:w="2166" w:type="dxa"/>
            <w:tcBorders>
              <w:top w:val="single" w:sz="4" w:space="0" w:color="000000"/>
              <w:start w:val="single" w:sz="4" w:space="0" w:color="000000"/>
              <w:bottom w:val="single" w:sz="4" w:space="0" w:color="000000"/>
              <w:end w:val="single" w:sz="4" w:space="0" w:color="000000"/>
            </w:tcBorders>
          </w:tcPr>
          <w:p>
            <w:pPr>
              <w:pStyle w:val="Normal"/>
              <w:spacing w:before="0" w:after="0"/>
              <w:rPr>
                <w:szCs w:val="22"/>
                <w:lang w:val="en-GB"/>
              </w:rPr>
            </w:pPr>
            <w:r>
              <w:rPr>
                <w:szCs w:val="22"/>
                <w:lang w:val="en-GB"/>
              </w:rPr>
              <w:t>Cause</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1 month</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90 to 183 days</w:t>
            </w:r>
          </w:p>
        </w:tc>
        <w:tc>
          <w:tcPr>
            <w:tcW w:w="2167"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Cs w:val="22"/>
                <w:lang w:val="en-GB"/>
              </w:rPr>
            </w:pPr>
            <w:r>
              <w:rPr>
                <w:szCs w:val="22"/>
                <w:lang w:val="en-GB"/>
              </w:rPr>
              <w:t>180 days</w:t>
            </w:r>
          </w:p>
        </w:tc>
      </w:tr>
    </w:tbl>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2.3</w:t>
        <w:tab/>
        <w:t>The parties agree the following principles in relation to the Termination Assistance Services: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 xml:space="preserve">the Service Provider shall perform the Removed Services “as usual” in accordance with the terms of this MSA, including the Service Levels, for a period of up to 6 months from the Termination Assistance Start Date, which period shall be specified by GlobalPharma by written notice given: (i) no later than 3 months before the Exit Start Date in the event of the expiry of this MSA or its termination pursuant to clause 16.3, and (ii) no later than 1 month prior to the Exit Start Date in any other event of termination (the end of the period of “as usual” service delivery being the Exit Start Date); </w:t>
      </w:r>
    </w:p>
    <w:p>
      <w:pPr>
        <w:pStyle w:val="Normal"/>
        <w:spacing w:before="0" w:after="0"/>
        <w:ind w:hanging="720" w:start="720" w:end="0"/>
        <w:jc w:val="both"/>
        <w:rPr>
          <w:szCs w:val="22"/>
          <w:lang w:val="en-GB"/>
        </w:rPr>
      </w:pPr>
      <w:r>
        <w:rPr>
          <w:szCs w:val="22"/>
          <w:lang w:val="en-GB"/>
        </w:rPr>
        <w:t>Convenience: no change</w:t>
      </w:r>
    </w:p>
    <w:p>
      <w:pPr>
        <w:pStyle w:val="Normal"/>
        <w:spacing w:before="0" w:after="0"/>
        <w:ind w:hanging="720" w:start="720" w:end="0"/>
        <w:jc w:val="both"/>
        <w:rPr>
          <w:szCs w:val="22"/>
          <w:lang w:val="en-GB"/>
        </w:rPr>
      </w:pPr>
      <w:r>
        <w:rPr>
          <w:szCs w:val="22"/>
          <w:lang w:val="en-GB"/>
        </w:rPr>
        <w:t>Regulatory: 6 months</w:t>
      </w:r>
    </w:p>
    <w:p>
      <w:pPr>
        <w:pStyle w:val="Normal"/>
        <w:spacing w:before="0" w:after="0"/>
        <w:ind w:hanging="720" w:start="720" w:end="0"/>
        <w:jc w:val="both"/>
        <w:rPr>
          <w:szCs w:val="22"/>
          <w:lang w:val="en-GB"/>
        </w:rPr>
      </w:pPr>
      <w:r>
        <w:rPr>
          <w:szCs w:val="22"/>
          <w:lang w:val="en-GB"/>
        </w:rPr>
        <w:t>Cause: 90 days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GlobalPharma shall pay the Base Charge (or a fair and equitable portion of the Base Charge where the Removed Services are not all of the Services) for the Removed Services in accordance with this MSA until the Exit Start Date at which time the agreed to Termination Assistance Charges will start;</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the Service Provider shall continue to deliver Services which are not Removed Services “as usual” in accordance with the provisions of this MSA, including the Service Levels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2.4</w:t>
        <w:tab/>
        <w:t>The parties agree that responsibility to deliver the Removed Services shall transfer , on an agreed to phased basis, from the Service Provider to GlobalPharma or the Incoming Service Provider from the Exit Start Date. GlobalPharma shall not be liable for any Charges other than the agreed to Termination Assistance Charges for the Removed Services as of the Exit Start Date. For the avoidance of doubt, notwithstanding the transfer of responsibility for the Removed Services from the Service Provider on the Exit Start Date, the Service Provider shall remain responsible for its tasks and activities under the Exit Plan (including any support and assistance in relation to the delivery of the Removed Services) in accordance with this Exhibit.</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2.5</w:t>
        <w:tab/>
        <w:t>This Exhibit does not limit the Service Provider’s obligation during the Term to maintain and keep accurate:</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 register of:</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w:t>
        <w:tab/>
        <w:t>Assets, detailing their ownership, and whether they are used on a dedicated or shared basis, and</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Transferred Contracts,</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in each case required for the performance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the relevant parts of the policies and procedures manual (Attachment 6-B) applicable to the Removed Services detailing the functional process areas through which the Service Provider provides the Services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 xml:space="preserve">(collectively, the </w:t>
      </w:r>
      <w:r>
        <w:rPr>
          <w:b/>
          <w:i/>
          <w:szCs w:val="22"/>
          <w:lang w:val="en-GB"/>
        </w:rPr>
        <w:t>Registers</w:t>
      </w:r>
      <w:r>
        <w:rPr>
          <w:szCs w:val="22"/>
          <w:lang w:val="en-GB"/>
        </w:rPr>
        <w:t xml:space="preserve">).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2" w:name="__RefHeading___Toc157928874"/>
      <w:bookmarkEnd w:id="2"/>
      <w:r>
        <w:rPr>
          <w:bCs/>
          <w:sz w:val="22"/>
          <w:lang w:val="en-GB"/>
        </w:rPr>
        <w:t>OBJECTIVES OF THE EXIT PLAN</w:t>
      </w:r>
    </w:p>
    <w:p>
      <w:pPr>
        <w:pStyle w:val="Normal"/>
        <w:spacing w:before="0" w:after="0"/>
        <w:jc w:val="both"/>
        <w:rPr>
          <w:szCs w:val="22"/>
          <w:lang w:val="en-GB"/>
        </w:rPr>
      </w:pPr>
      <w:r>
        <w:rPr>
          <w:szCs w:val="22"/>
          <w:lang w:val="en-GB"/>
        </w:rPr>
        <w:t>The purpose of the Exit Plan is to:</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enable the Service Provider to cease supplying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minimize any disruption or deterioration of the Removed Services or failure to achieve the Service Levels relating to the Removed Services during the Exit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detail the Termination Assistance Services to enable a successful transfer to an Incoming Service Provider, or to enable a transfer back in-house to GlobalPharma with no disruption to Removed Service delivery quality or to GlobalPharma’s or any GlobalPharma Group members’ business.</w:t>
      </w:r>
    </w:p>
    <w:p>
      <w:pPr>
        <w:pStyle w:val="Normal"/>
        <w:spacing w:before="0" w:after="0"/>
        <w:ind w:start="720" w:end="0"/>
        <w:jc w:val="both"/>
        <w:rPr>
          <w:szCs w:val="22"/>
          <w:lang w:val="en-GB"/>
        </w:rPr>
      </w:pPr>
      <w:r>
        <w:rPr>
          <w:szCs w:val="22"/>
          <w:lang w:val="en-GB"/>
        </w:rPr>
      </w:r>
    </w:p>
    <w:p>
      <w:pPr>
        <w:pStyle w:val="Heading1Numbered"/>
        <w:numPr>
          <w:ilvl w:val="0"/>
          <w:numId w:val="2"/>
        </w:numPr>
        <w:ind w:hanging="0" w:start="0"/>
        <w:rPr>
          <w:bCs/>
          <w:sz w:val="22"/>
          <w:lang w:val="en-GB"/>
        </w:rPr>
      </w:pPr>
      <w:bookmarkStart w:id="3" w:name="__RefHeading___Toc157928875"/>
      <w:bookmarkEnd w:id="3"/>
      <w:r>
        <w:rPr>
          <w:bCs/>
          <w:sz w:val="22"/>
          <w:lang w:val="en-GB"/>
        </w:rPr>
        <w:t>MINIMUM REQUIREMENTS OF EXIT PLAN</w:t>
      </w:r>
    </w:p>
    <w:p>
      <w:pPr>
        <w:pStyle w:val="Normal"/>
        <w:spacing w:before="0" w:after="0"/>
        <w:jc w:val="both"/>
        <w:rPr>
          <w:szCs w:val="22"/>
          <w:lang w:val="en-GB"/>
        </w:rPr>
      </w:pPr>
      <w:r>
        <w:rPr>
          <w:szCs w:val="22"/>
          <w:lang w:val="en-GB"/>
        </w:rPr>
        <w:t>4.1</w:t>
        <w:tab/>
        <w:t>The Exit Plan shall, as a minimum:</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detail how the Removed Services will transfer to GlobalPharma or the Incoming Service Provider, including processes, deliverables, documentation, data transfer, systems migration, security and the segregation of GlobalPharma’s technology components from any technology components run by the Service Provider or its Sub-Contractors (where applicable);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detail the scope of the Termination Assistance Services, and the manner in which they will be provided during the Exit Period;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provide a timetable, process and specify critical controls for conducting the Termination Assistance Services, including all transfer and cessation processes;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set out the to-be-agreed Deliverables for the provision of the Termination Assistance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t xml:space="preserve">without limiting paragraph 4.1 (b), detail how knowledge transfer in accordance with paragraph 8 below will take place;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without limiting paragraph 4.1 (b), describe how the Service Provider will enable service continuity until the Exit Start Date, including a description of potential risks and a contingency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(g)</w:t>
        <w:tab/>
        <w:t>describe how the Optioned Hardware referred to in paragraph 10 will be transferred to GlobalPharma;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(h)</w:t>
        <w:tab/>
        <w:t>include the details referred to in paragraph 7.2;</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(i)</w:t>
        <w:tab/>
        <w:t>describe how the interface information and other technical details referred to in paragraph 11.2 and the Service Provider Materials and Third Party Materials referred to in clause 10 will be made available to GlobalPharma;</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(j)</w:t>
        <w:tab/>
        <w:t>describe how GlobalPharma Confidential Information in the possession or control of the Service Provider and/or Sub-Contractors will be returned or destroyed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(k)</w:t>
        <w:tab/>
        <w:t xml:space="preserve">require each party to appoint an exit manager (each, an </w:t>
      </w:r>
      <w:r>
        <w:rPr>
          <w:b/>
          <w:i/>
          <w:szCs w:val="22"/>
          <w:lang w:val="en-GB"/>
        </w:rPr>
        <w:t>Exit Manager</w:t>
      </w:r>
      <w:r>
        <w:rPr>
          <w:szCs w:val="22"/>
          <w:lang w:val="en-GB"/>
        </w:rPr>
        <w:t>), who will be responsible for ensuring that each party’s employees, agents and Sub Contractors comply with this Exhibit and the Exit Plan, and for liaising with the other party on the implementation of the Exit Plan;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(l)</w:t>
        <w:tab/>
        <w:t>provide details of the Service Provider Personnel and other resources who will provide the Termination Assistance Services, including the management structure the Service Provider proposes to follow;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(m)</w:t>
        <w:tab/>
        <w:t>otherwise be consistent with and address the issues referred to in this Exhibit.</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4.2</w:t>
        <w:tab/>
        <w:t>The Termination Assistance Services shall, as a minimum, include the following:</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services required for the transition-back of the Removed Services to GlobalPharma or an Incoming Service Provider, minimizing interruption of the Removed Services;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the dedication of sufficient time and resources of each party, including the Incoming Service Provider to ensure an adequate transfer of the Removed Services to GlobalPharma or an Incoming Service Provider;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the provision of knowledge transfer services in accordance with paragraph 8;</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the provision of support and assistance reasonably required by GlobalPharma to interpret the GlobalPharma Data and assume responsibility for management and processing of the GlobalPharma Data, in accordance with paragraph 13;</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(e)</w:t>
        <w:tab/>
        <w:t xml:space="preserve">documenting and delivering the existing systems support profiles, monitoring or system logs, problem tracking/resolution documentation and status reports and any other items noted for documentation and delivery as defined in the Exit Plan; and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(f)</w:t>
        <w:tab/>
        <w:t>for work likely to be in progress as at the Exit Start Date, steps required to document the current status, stabilise for continuity during the Exit Period, and provide such reasonable training to achieve transfer of responsibility with minimized loss of momentum or adverse impact on project timetables.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4" w:name="__RefHeading___Toc157928876"/>
      <w:bookmarkEnd w:id="4"/>
      <w:r>
        <w:rPr>
          <w:bCs/>
          <w:sz w:val="22"/>
          <w:lang w:val="en-GB"/>
        </w:rPr>
        <w:t>PROCESS FOR AGREEment of THE EXIT PLAN</w:t>
      </w:r>
    </w:p>
    <w:p>
      <w:pPr>
        <w:pStyle w:val="Normal"/>
        <w:spacing w:before="0" w:after="0"/>
        <w:jc w:val="both"/>
        <w:rPr/>
      </w:pPr>
      <w:r>
        <w:rPr>
          <w:szCs w:val="22"/>
          <w:lang w:val="en-GB"/>
        </w:rPr>
        <w:t>5.1</w:t>
        <w:tab/>
        <w:t>The Service Provider shall have overall responsibility for producing, maintaining and updating the Exit Plan during the Term in accordance with this Exhibit.  GlobalPharma shall, or shall procure, where relevant, that GlobalPharma or the Incoming Service Provider will provide such assistance as set out in the Exit Plan.</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5.2</w:t>
        <w:tab/>
        <w:t>The Service Provider shall submit a draft Exit Plan to GlobalPharma no later than 30 days following the notice period date GlobalPharma shall within 30 days review the draft Exit Plan submitted by the Service Provider in order to confirm whether or not the draft Exit Plan meets the requirements in this Exhibit, and shall either:</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notify the Service Provider in writing that it has approved the draft Exit Plan; or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notify the Service Provider in writing that it has not approved the draft Exit Plan, detailing which agreed requirements are not met, in which case:</w:t>
      </w:r>
    </w:p>
    <w:p>
      <w:pPr>
        <w:pStyle w:val="Normal"/>
        <w:spacing w:before="0" w:after="0"/>
        <w:ind w:hanging="720" w:start="720" w:end="0"/>
        <w:jc w:val="both"/>
        <w:rPr>
          <w:szCs w:val="22"/>
          <w:lang w:val="en-GB"/>
        </w:rPr>
      </w:pPr>
      <w:r>
        <w:rPr>
          <w:szCs w:val="22"/>
          <w:lang w:val="en-GB"/>
        </w:rPr>
      </w:r>
    </w:p>
    <w:p>
      <w:pPr>
        <w:pStyle w:val="Normal"/>
        <w:spacing w:before="0" w:after="0"/>
        <w:ind w:hanging="720" w:start="1440" w:end="0"/>
        <w:jc w:val="both"/>
        <w:rPr/>
      </w:pPr>
      <w:r>
        <w:rPr>
          <w:szCs w:val="22"/>
          <w:lang w:val="en-GB"/>
        </w:rPr>
        <w:t>(i)</w:t>
        <w:tab/>
        <w:t xml:space="preserve">the Service Provider shall, within the timeframe agreed between GlobalPharma and the Service Provider and at the Service Provider’s cost, amend the draft Exit Plan and resubmit it to GlobalPharma; and </w:t>
      </w:r>
    </w:p>
    <w:p>
      <w:pPr>
        <w:pStyle w:val="Normal"/>
        <w:spacing w:before="0" w:after="0"/>
        <w:ind w:hanging="720" w:start="1440" w:end="0"/>
        <w:jc w:val="both"/>
        <w:rPr>
          <w:szCs w:val="22"/>
          <w:lang w:val="en-GB"/>
        </w:rPr>
      </w:pPr>
      <w:r>
        <w:rPr>
          <w:szCs w:val="22"/>
          <w:lang w:val="en-GB"/>
        </w:rPr>
      </w:r>
    </w:p>
    <w:p>
      <w:pPr>
        <w:pStyle w:val="Normal"/>
        <w:spacing w:before="0" w:after="0"/>
        <w:ind w:hanging="720" w:start="1440" w:end="0"/>
        <w:jc w:val="both"/>
        <w:rPr>
          <w:szCs w:val="22"/>
          <w:lang w:val="en-GB"/>
        </w:rPr>
      </w:pPr>
      <w:r>
        <w:rPr>
          <w:szCs w:val="22"/>
          <w:lang w:val="en-GB"/>
        </w:rPr>
        <w:t>(ii)</w:t>
        <w:tab/>
        <w:t>the provisions of this paragraph 5.2 shall again apply to the resubmitted draft (and any further redrafts).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5.3</w:t>
        <w:tab/>
        <w:t>If the parties cannot agree the Exit Plan within 60 days of the Service Provider first submitting the Exit Plan pursuant to paragraph 5.2, then the parties shall follow the Dispute Escalation Procedure and the Dispute Resolution Procedure.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5.4</w:t>
        <w:tab/>
        <w:t>The parties intend that the Exit Plan agreed and updated in accordance with this Exhibit shall leave the actual milestone dates in the plan to be agreed by no later than 1 month prior to the Termination Assistance Start Date.  All other details of the Exit Plan shall be agreed and updated in accordance with paragraphs 5 and 6 of this Exhibit.</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5" w:name="__RefHeading___Toc157928877"/>
      <w:bookmarkEnd w:id="5"/>
      <w:r>
        <w:rPr>
          <w:bCs/>
          <w:sz w:val="22"/>
          <w:lang w:val="en-GB"/>
        </w:rPr>
        <w:t>UPDATE THE EXIT PLAN</w:t>
      </w:r>
    </w:p>
    <w:p>
      <w:pPr>
        <w:pStyle w:val="Normal"/>
        <w:spacing w:before="0" w:after="0"/>
        <w:jc w:val="both"/>
        <w:rPr/>
      </w:pPr>
      <w:r>
        <w:rPr>
          <w:szCs w:val="22"/>
          <w:lang w:val="en-GB"/>
        </w:rPr>
        <w:t>6.1</w:t>
        <w:tab/>
        <w:t>The Service Provider shall be responsible for maintaining and updating annually (or more frequently at GlobalPharma’s reasonable request in the event of any significant change to the Services, this MSA, the FRA Function or other significant change in circumstances) the Exit Plan during the Term to ensure that the Exit Plan:</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accurately reflects the prevailing practical circumstances in relation to the provision of the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contains all relevant information to enable the objectives referred to in paragraph 3 to be achieved.</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6.2</w:t>
        <w:tab/>
        <w:t>The latest version of the Exit Plan, agreed by the parties in writing, shall be the binding version.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6" w:name="__RefHeading___Toc157928878"/>
      <w:bookmarkEnd w:id="6"/>
      <w:r>
        <w:rPr>
          <w:bCs/>
          <w:sz w:val="22"/>
          <w:lang w:val="en-GB"/>
        </w:rPr>
        <w:t>RE-TENDERING OF SERVICES</w:t>
      </w:r>
    </w:p>
    <w:p>
      <w:pPr>
        <w:pStyle w:val="Normal"/>
        <w:spacing w:before="0" w:after="0"/>
        <w:jc w:val="both"/>
        <w:rPr/>
      </w:pPr>
      <w:r>
        <w:rPr>
          <w:szCs w:val="22"/>
          <w:lang w:val="en-GB"/>
        </w:rPr>
        <w:t>7.1</w:t>
        <w:tab/>
        <w:t>As part of the Termination Assistance Services and subject to confidentiality, the Service Provider shall diligently and in good faith assist and co-operate with GlobalPharma in any re-tendering process conducted for the provision of the Removed Services by providing and updating the information specified in the next paragraph. GlobalPharma shall require prospective Incoming Service Providers to enter into appropriate confidentiality undertakings.</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7.2</w:t>
        <w:tab/>
        <w:t>To give effect to paragraph 7.1, the Exit Plan shall include such operational information relevant to enable successful transfer of the Removed Services including such information with respect to:</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Base Charge models, processes and procedures and performance histories;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 xml:space="preserve">the Registers, including current book values and details on contracts with third party contractors related to these assets if entered into exclusively for GlobalPharma and subject to applicable confidentiality obligations;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actual Service Levels and information on historical performance for each Removed Service component, over the preceding 12 months;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other GlobalPharma-specific information as is reasonably necessary to enable GlobalPharma to draft a request for proposal(s) for the provision of the Removed Services or for its designee to conduct due diligence relating to the whole or a portion of the Removed Services.</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7" w:name="__RefHeading___Toc157928879"/>
      <w:bookmarkEnd w:id="7"/>
      <w:r>
        <w:rPr>
          <w:bCs/>
          <w:sz w:val="22"/>
          <w:lang w:val="en-GB"/>
        </w:rPr>
        <w:t>KNOWLEDGE TRANSFER</w:t>
      </w:r>
    </w:p>
    <w:p>
      <w:pPr>
        <w:pStyle w:val="Normal"/>
        <w:spacing w:before="0" w:after="0"/>
        <w:jc w:val="both"/>
        <w:rPr/>
      </w:pPr>
      <w:r>
        <w:rPr>
          <w:szCs w:val="22"/>
          <w:lang w:val="en-GB"/>
        </w:rPr>
        <w:t>8.1</w:t>
        <w:tab/>
        <w:t>As part of the Termination Assistance Services, the Service Provider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provide for transfer of knowledge reasonably required for the provision of the Removed Services, including documents on IT architecture and systems interfaces and architectural design;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provide and explain to GlobalPharma and/or the Incoming Service Provider all GlobalPharma-specific (but not Service Provider-confidential or internal) policies, processes, standards and procedures and related operations necessary to facilitate the Removed Services and their transfer to GlobalPharma or the Incoming Service Provider;</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(c)</w:t>
        <w:tab/>
        <w:t>provide information and training to personnel of GlobalPharma and/or an Incoming Service Provider to enable GlobalPharma and the Incoming Service Provider to provide services similar to the Removed Services without disruption and in accordance with service levels similar to the Service Levels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allow GlobalPharma and any (actual or prospective) Incoming Service Provider(s)  reasonable access to  all necessary materials for knowledge transfer and the Service Provider Personnel during normal business days and hours (in the context of the relevant Statement of Workwhere necessary to effectively execute the agreed knowledge transfer.</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8.2</w:t>
        <w:tab/>
        <w:t>The information which the Service Provider shall provide to GlobalPharma and/or the Incoming Service Provider to give to effect to the obligations in paragraph 8.1 (subject to the limitations set out in that sub-paragraph) includes:</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copies of procedures and operations manuals, and product information;</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copies of the OLAs;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Transferred Contracts, including support contact details;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(d)</w:t>
        <w:tab/>
        <w:t>information regarding Services and associated unresolved faults in progress at the commencement of the Exit Period, as well as those expected to be in progress at the Exit Start Date;</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(e)</w:t>
        <w:tab/>
        <w:t xml:space="preserve">information on job profiles of personnel used by the Service Provider who are material to providing the Removed Services; </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(f)</w:t>
        <w:tab/>
        <w:t>details of physical and logical security processes and tools which shall be available to GlobalPharma;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(g)</w:t>
        <w:tab/>
        <w:t>necessary interface information.</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8" w:name="__RefHeading___Toc157928880"/>
      <w:bookmarkEnd w:id="8"/>
      <w:r>
        <w:rPr>
          <w:bCs/>
          <w:sz w:val="22"/>
          <w:lang w:val="en-GB"/>
        </w:rPr>
        <w:t>BUSINESS CONTINUITY DURING THE TRANSFER</w:t>
      </w:r>
    </w:p>
    <w:p>
      <w:pPr>
        <w:pStyle w:val="Normal"/>
        <w:spacing w:before="0" w:after="0"/>
        <w:jc w:val="both"/>
        <w:rPr/>
      </w:pPr>
      <w:r>
        <w:rPr>
          <w:szCs w:val="22"/>
          <w:lang w:val="en-GB"/>
        </w:rPr>
        <w:t>As part of the Termination Assistance Services, the Service Provider shall provide assistance to support GlobalPharma’s requirements for business continuity during the Exit Period, including:</w:t>
      </w:r>
    </w:p>
    <w:p>
      <w:pPr>
        <w:pStyle w:val="Normal"/>
        <w:spacing w:before="0" w:after="0"/>
        <w:jc w:val="both"/>
        <w:rPr>
          <w:szCs w:val="22"/>
          <w:lang w:val="en-GB"/>
        </w:rPr>
      </w:pPr>
      <w:r>
        <w:rPr>
          <w:szCs w:val="22"/>
          <w:lang w:val="en-GB"/>
        </w:rPr>
      </w:r>
    </w:p>
    <w:p>
      <w:pPr>
        <w:pStyle w:val="Normal"/>
        <w:spacing w:before="0" w:after="0"/>
        <w:ind w:hanging="720" w:start="720" w:end="0"/>
        <w:jc w:val="both"/>
        <w:rPr/>
      </w:pPr>
      <w:r>
        <w:rPr>
          <w:szCs w:val="22"/>
          <w:lang w:val="en-GB"/>
        </w:rPr>
        <w:t>(a)</w:t>
        <w:tab/>
        <w:t>updating and supplying documentation used by the Service Provider to provide business continuity services, testing procedures and frequencies, redundancy diagrams and plans;</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(b)</w:t>
        <w:tab/>
        <w:t>training and informing GlobalPharma of then-current policies and procedures with regard to backup and business continuity;</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(c)</w:t>
        <w:tab/>
        <w:t>arranging for additional overlapping coverage or support through the Exit Period to prevent disruption in the event of an outage during that period;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pPr>
      <w:r>
        <w:rPr>
          <w:szCs w:val="22"/>
          <w:lang w:val="en-GB"/>
        </w:rPr>
        <w:t>(d)</w:t>
        <w:tab/>
        <w:t>as requested by GlobalPharma, participating in business continuity testing until 30 days after the Exit Period or until a successful test has been completed whichever date is earlier.</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9" w:name="__RefHeading___Toc157928881"/>
      <w:bookmarkEnd w:id="9"/>
      <w:r>
        <w:rPr>
          <w:bCs/>
          <w:sz w:val="22"/>
          <w:lang w:val="en-GB"/>
        </w:rPr>
        <w:t>THIRD PARTY MATERIALS</w:t>
      </w:r>
    </w:p>
    <w:p>
      <w:pPr>
        <w:pStyle w:val="Normal"/>
        <w:spacing w:before="0" w:after="0"/>
        <w:jc w:val="both"/>
        <w:rPr/>
      </w:pPr>
      <w:r>
        <w:rPr>
          <w:szCs w:val="22"/>
          <w:lang w:val="en-GB"/>
        </w:rPr>
        <w:t>11.1</w:t>
        <w:tab/>
        <w:t>The Service Provider shall obtain GlobalPharma’s prior written consent to licensing and maintenance fees and other material licence terms before entering into any licences for Third Party Materials used by the Supplier exclusively to provide the Removed Services during the Exit Period.  The Service Provider shall not terminate or fail to renew any licences for any such Third Party Materials during the Exit Period without GlobalPharma’s prior written consent, provided that GlobalPharma shall compensate the Supplier for all related additional costs with respect to contracts GlobalPharma requires to be extended beyond the Exit Completion Date of the Removed Service.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11.2</w:t>
        <w:tab/>
        <w:t>The Service Provider shall provide GlobalPharma with appropriate interface information and other technical details reasonably required to enable GlobalPharma to use, develop or replace any Software used in the Removed Services that is not commercially available.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11.3</w:t>
        <w:tab/>
        <w:t>All licences, leases and authorisations granted by or on behalf of GlobalPharma to the Service Provider and its Sub-Contractors shall be terminated effective from the termination or expiry date of the MSA (or with partial effect in the event of any partial termination of the MSA or partial cessation of any Services), unless the parties explicitly agree otherwise in writing.</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0" w:name="__RefHeading___Toc157928882"/>
      <w:bookmarkEnd w:id="10"/>
      <w:r>
        <w:rPr>
          <w:bCs/>
          <w:sz w:val="22"/>
          <w:lang w:val="en-GB"/>
        </w:rPr>
        <w:t>THIRD PARTY CONTRACTS</w:t>
      </w:r>
    </w:p>
    <w:p>
      <w:pPr>
        <w:pStyle w:val="Normal"/>
        <w:spacing w:before="0" w:after="0"/>
        <w:jc w:val="both"/>
        <w:rPr/>
      </w:pPr>
      <w:r>
        <w:rPr>
          <w:szCs w:val="22"/>
          <w:lang w:val="en-GB"/>
        </w:rPr>
        <w:t>12.1</w:t>
        <w:tab/>
        <w:t>The Service Provider shall use best endeavours to arrange that all Transferred Contracts are assignable and/or capable of novation at the request of GlobalPharma or any Incoming Service Provider, without restriction (including any need to obtain any consent or approval) or payment by GlobalPharma or the Incoming Service Provider.</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12.2</w:t>
        <w:tab/>
        <w:t>The Service Provider shall not, without GlobalPharma’s prior written consent, terminate or vary in a material respect the terms of any Transferred Contract during the Exit Period.</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12.3</w:t>
        <w:tab/>
        <w:t>At GlobalPharma’s request, the Service Provider shall co-operate in effecting an assignment or novation or the contracts specified in paragraph 12.1 above before the Exit Start Date.</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1" w:name="__RefHeading___Toc157928883"/>
      <w:bookmarkEnd w:id="11"/>
      <w:r>
        <w:rPr>
          <w:bCs/>
          <w:sz w:val="22"/>
          <w:lang w:val="en-GB"/>
        </w:rPr>
        <w:t>GlobalPharma MATERIALS, DATA AND CONFIDENTIAL INFORMATION</w:t>
      </w:r>
    </w:p>
    <w:p>
      <w:pPr>
        <w:pStyle w:val="Normal"/>
        <w:spacing w:before="0" w:after="0"/>
        <w:jc w:val="both"/>
        <w:rPr>
          <w:szCs w:val="22"/>
          <w:lang w:val="en-GB"/>
        </w:rPr>
      </w:pPr>
      <w:r>
        <w:rPr>
          <w:szCs w:val="22"/>
          <w:lang w:val="en-GB"/>
        </w:rPr>
        <w:t xml:space="preserve">In fulfilling its obligations pursuant to clause 16.10, the Service Provider shall (except to the extent prevented by law) after the termination of the MSA, in accordance with GlobalPharma’s reasonable directions, erase, destroy or provide to GlobalPharma copies of all GlobalPharma Materials, GlobalPharma Data and GlobalPharma Confidential Information in the possession or control of the Service Provider, its Affiliates and/or the Sub-Contractors, including the relevant data dictionary and other materials and information needed to allow GlobalPharma to interpret GlobalPharma Data. The Termination Assistance Services shall include the Service Provider providing such support and assistance as GlobalPharma may reasonably require interpreting the GlobalPharma Data and assuming responsibility for management and processing of the GlobalPharma Data. </w:t>
      </w:r>
    </w:p>
    <w:p>
      <w:pPr>
        <w:pStyle w:val="Normal"/>
        <w:spacing w:before="0" w:after="0"/>
        <w:jc w:val="both"/>
        <w:rPr>
          <w:szCs w:val="22"/>
          <w:lang w:val="en-GB"/>
        </w:rPr>
      </w:pPr>
      <w:r>
        <w:rPr>
          <w:szCs w:val="22"/>
          <w:lang w:val="en-GB"/>
        </w:rPr>
      </w:r>
    </w:p>
    <w:p>
      <w:pPr>
        <w:pStyle w:val="Heading1Numbered"/>
        <w:numPr>
          <w:ilvl w:val="0"/>
          <w:numId w:val="2"/>
        </w:numPr>
        <w:ind w:hanging="0" w:start="0"/>
        <w:rPr>
          <w:bCs/>
          <w:sz w:val="22"/>
          <w:lang w:val="en-GB"/>
        </w:rPr>
      </w:pPr>
      <w:bookmarkStart w:id="12" w:name="__RefHeading___Toc157928884"/>
      <w:bookmarkEnd w:id="12"/>
      <w:r>
        <w:rPr>
          <w:bCs/>
          <w:sz w:val="22"/>
          <w:lang w:val="en-GB"/>
        </w:rPr>
        <w:t>TERMINATION ASSISTANCE CHARGES</w:t>
      </w:r>
    </w:p>
    <w:p>
      <w:pPr>
        <w:pStyle w:val="Normal"/>
        <w:spacing w:before="0" w:after="0"/>
        <w:jc w:val="both"/>
        <w:rPr/>
      </w:pPr>
      <w:r>
        <w:rPr>
          <w:szCs w:val="22"/>
          <w:lang w:val="en-GB"/>
        </w:rPr>
        <w:t>14.1</w:t>
        <w:tab/>
        <w:t xml:space="preserve">GlobalPharma shall pay to the Service Provider a fee for the provision of the Termination Assistance Services (the Termination Assistance Charges). The Termination Assistance Charges shall be calculated as follows: </w:t>
      </w:r>
      <w:r>
        <w:rPr>
          <w:b/>
          <w:i/>
          <w:szCs w:val="22"/>
          <w:lang w:val="en-GB"/>
        </w:rPr>
      </w:r>
      <w:r>
        <w:rPr>
          <w:szCs w:val="22"/>
          <w:lang w:val="en-GB"/>
        </w:rPr>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The Service Provider shall deliver a proposed fixed price (based on Attachement 4-E Project Rate Card) Termination Assistance Charge as part of its draft Exit Plan submitted pursuant to paragraph 5.2.  The Service Provider shall ensure that the proposed fix price is based on a detailed “open” calculation using applicable Project Rate Card rates with a price breakdown tied to specific Exit Plan deliverables, milestones and activities and the applicable resource loadings.  The Service Provider shall make the basis of the fixed price calculation available to GlobalPharma at that time.  The parties shall agree the fixed price Termination Assistance Charge as part of the Exit Plan and agree any changes to the Termination Assistance Charge resulting from any updating of the Exit Plan in accordance with paragraph 6. The Termination Assistance Charges are equal to Termination Assistance management fees from TASD to ECD or any extensions, ramped down FTE costs and any other costs that are mutually agreeable.</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14.2</w:t>
        <w:tab/>
        <w:t xml:space="preserve">GlobalPharma shall not be obliged to pay the Termination Assistance Charges under this paragraph 14, if GlobalPharma terminates this MSA pursuant to clause 16.2 or 16.4 of this MSA or partially terminates this MSA pursuant to clause 16.8 if such partial termination arises in respect of clauses 16.2 or 16.4. </w:t>
      </w:r>
    </w:p>
    <w:p>
      <w:pPr>
        <w:pStyle w:val="Normal"/>
        <w:spacing w:before="0" w:after="0"/>
        <w:jc w:val="both"/>
        <w:rPr>
          <w:szCs w:val="22"/>
          <w:lang w:val="en-GB"/>
        </w:rPr>
      </w:pPr>
      <w:r>
        <w:rPr>
          <w:szCs w:val="22"/>
          <w:lang w:val="en-GB"/>
        </w:rPr>
      </w:r>
    </w:p>
    <w:p>
      <w:pPr>
        <w:pStyle w:val="Normal"/>
        <w:spacing w:before="0" w:after="0"/>
        <w:jc w:val="both"/>
        <w:rPr>
          <w:szCs w:val="22"/>
          <w:lang w:val="en-GB"/>
        </w:rPr>
      </w:pPr>
      <w:r>
        <w:rPr>
          <w:szCs w:val="22"/>
          <w:lang w:val="en-GB"/>
        </w:rPr>
        <w:t>14.3</w:t>
        <w:tab/>
        <w:t>The Termination Assistance Charges shall:</w:t>
      </w:r>
    </w:p>
    <w:p>
      <w:pPr>
        <w:pStyle w:val="Normal"/>
        <w:spacing w:before="0" w:after="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(a)</w:t>
        <w:tab/>
        <w:t>be the only amount payable for the Termination Assistance Services; and</w:t>
      </w:r>
    </w:p>
    <w:p>
      <w:pPr>
        <w:pStyle w:val="Normal"/>
        <w:spacing w:before="0" w:after="0"/>
        <w:ind w:hanging="720" w:start="720" w:end="0"/>
        <w:jc w:val="both"/>
        <w:rPr>
          <w:szCs w:val="22"/>
          <w:lang w:val="en-GB"/>
        </w:rPr>
      </w:pPr>
      <w:r>
        <w:rPr>
          <w:szCs w:val="22"/>
          <w:lang w:val="en-GB"/>
        </w:rPr>
      </w:r>
    </w:p>
    <w:p>
      <w:pPr>
        <w:pStyle w:val="Normal"/>
        <w:spacing w:before="0" w:after="0"/>
        <w:ind w:hanging="720" w:start="720" w:end="0"/>
        <w:jc w:val="both"/>
        <w:rPr>
          <w:szCs w:val="22"/>
          <w:lang w:val="en-GB"/>
        </w:rPr>
      </w:pPr>
      <w:r>
        <w:rPr>
          <w:szCs w:val="22"/>
          <w:lang w:val="en-GB"/>
        </w:rPr>
        <w:t>(b)</w:t>
        <w:tab/>
        <w:t>not be payable for the preparation and updating of the Registers or the Exit Plan under this Exhibit, the costs of which shall be included in the Base Charges unless the transition-back is before the end date of the Transition.(preparation of exit plan should be included in Transition Assistance charges)</w:t>
      </w:r>
    </w:p>
    <w:p>
      <w:pPr>
        <w:pStyle w:val="Normal"/>
        <w:spacing w:before="0" w:after="0"/>
        <w:jc w:val="both"/>
        <w:rPr>
          <w:szCs w:val="22"/>
          <w:lang w:val="en-GB"/>
        </w:rPr>
      </w:pPr>
      <w:r>
        <w:rPr>
          <w:szCs w:val="22"/>
          <w:lang w:val="en-GB"/>
        </w:rPr>
      </w:r>
    </w:p>
    <w:p>
      <w:pPr>
        <w:pStyle w:val="Normal"/>
        <w:spacing w:before="0" w:after="0"/>
        <w:jc w:val="both"/>
        <w:rPr/>
      </w:pPr>
      <w:r>
        <w:rPr>
          <w:szCs w:val="22"/>
          <w:lang w:val="en-GB"/>
        </w:rPr>
        <w:t>14.4</w:t>
        <w:tab/>
        <w:t>The parties agree that 25% of the total Termination Assistance Charges due shall be allocated to the Acceptance of the final to-be-agreed Deliverable in the Exit Plan. The remainder of the Termination Assistance Charges shall be due and payable in accordance with the Exit Plan.</w:t>
      </w:r>
    </w:p>
    <w:sectPr>
      <w:headerReference w:type="default" r:id="rId7"/>
      <w:headerReference w:type="first" r:id="rId8"/>
      <w:footerReference w:type="default" r:id="rId9"/>
      <w:footerReference w:type="first" r:id="rId10"/>
      <w:type w:val="nextPage"/>
      <w:pgSz w:w="11906" w:h="16838"/>
      <w:pgMar w:left="1729" w:right="1729" w:gutter="0" w:header="720" w:top="776" w:footer="720" w:bottom="109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rPr>
        <w:szCs w:val="16"/>
        <w:lang w:val="en-GB"/>
      </w:rPr>
    </w:pPr>
    <w:r>
      <w:rPr>
        <w:szCs w:val="16"/>
        <w:lang w:val="en-GB"/>
      </w:rPr>
      <w:tab/>
      <w:t xml:space="preserve">Page </w:t>
    </w:r>
    <w:r>
      <w:rPr>
        <w:szCs w:val="16"/>
        <w:lang w:val="en-GB"/>
      </w:rPr>
      <w:fldChar w:fldCharType="begin"/>
    </w:r>
    <w:r>
      <w:rPr>
        <w:szCs w:val="16"/>
        <w:lang w:val="en-GB"/>
      </w:rPr>
      <w:instrText xml:space="preserve"> PAGE </w:instrText>
    </w:r>
    <w:r>
      <w:rPr>
        <w:szCs w:val="16"/>
        <w:lang w:val="en-GB"/>
      </w:rPr>
      <w:fldChar w:fldCharType="separate"/>
    </w:r>
    <w:r>
      <w:rPr>
        <w:szCs w:val="16"/>
        <w:lang w:val="en-GB"/>
      </w:rPr>
      <w:t>i</w:t>
    </w:r>
    <w:r>
      <w:rPr>
        <w:szCs w:val="16"/>
        <w:lang w:val="en-GB"/>
      </w:rPr>
      <w:fldChar w:fldCharType="end"/>
    </w:r>
    <w:r>
      <w:rPr>
        <w:szCs w:val="16"/>
        <w:lang w:val="en-GB"/>
      </w:rPr>
      <w:t xml:space="preserve"> of </w:t>
    </w:r>
    <w:r>
      <w:rPr>
        <w:szCs w:val="16"/>
        <w:lang w:val="en-GB"/>
      </w:rPr>
      <w:fldChar w:fldCharType="begin"/>
    </w:r>
    <w:r>
      <w:rPr>
        <w:szCs w:val="16"/>
        <w:lang w:val="en-GB"/>
      </w:rPr>
      <w:instrText xml:space="preserve"> NUMPAGES \* ARABIC </w:instrText>
    </w:r>
    <w:r>
      <w:rPr>
        <w:szCs w:val="16"/>
        <w:lang w:val="en-GB"/>
      </w:rPr>
      <w:fldChar w:fldCharType="separate"/>
    </w:r>
    <w:r>
      <w:rPr>
        <w:szCs w:val="16"/>
        <w:lang w:val="en-GB"/>
      </w:rPr>
      <w:t>13</w:t>
    </w:r>
    <w:r>
      <w:rPr>
        <w:szCs w:val="16"/>
        <w:lang w:val="en-GB"/>
      </w:rPr>
      <w:fldChar w:fldCharType="end"/>
    </w:r>
  </w:p>
  <w:p>
    <w:pPr>
      <w:pStyle w:val="Footer"/>
      <w:tabs>
        <w:tab w:val="clear" w:pos="4320"/>
        <w:tab w:val="clear" w:pos="8640"/>
        <w:tab w:val="right" w:pos="8280" w:leader="none"/>
      </w:tabs>
      <w:spacing w:before="120" w:after="120"/>
      <w:rPr>
        <w:szCs w:val="16"/>
        <w:lang w:val="en-GB"/>
      </w:rPr>
    </w:pPr>
    <w:r>
      <w:rPr>
        <w:szCs w:val="16"/>
        <w:lang w:val="en-GB"/>
      </w:rPr>
      <w:t>GlobalPharma</w:t>
      <w:tab/>
      <w:t>Confidential</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640"/>
        <w:tab w:val="left" w:pos="4320" w:leader="none"/>
        <w:tab w:val="left" w:pos="7560" w:leader="none"/>
      </w:tabs>
      <w:spacing w:before="120" w:after="120"/>
      <w:rPr>
        <w:sz w:val="16"/>
        <w:szCs w:val="16"/>
      </w:rPr>
    </w:pPr>
    <w:r>
      <w:rPr>
        <w:sz w:val="16"/>
        <w:szCs w:val="16"/>
      </w:rPr>
    </w:r>
  </w:p>
  <w:p>
    <w:pPr>
      <w:pStyle w:val="Footer"/>
      <w:tabs>
        <w:tab w:val="clear" w:pos="8640"/>
        <w:tab w:val="left" w:pos="4320" w:leader="none"/>
        <w:tab w:val="left" w:pos="7560" w:leader="none"/>
      </w:tabs>
      <w:rPr/>
    </w:pPr>
    <w:r>
      <w:rPr>
        <w:sz w:val="16"/>
        <w:szCs w:val="16"/>
      </w:rPr>
      <w:tab/>
      <w:t xml:space="preserve">Page </w:t>
    </w:r>
    <w:r>
      <w:rPr>
        <w:sz w:val="16"/>
        <w:szCs w:val="16"/>
      </w:rPr>
      <w:fldChar w:fldCharType="begin"/>
    </w:r>
    <w:r>
      <w:rPr>
        <w:sz w:val="16"/>
        <w:szCs w:val="16"/>
      </w:rPr>
      <w:instrText xml:space="preserve"> PAGE </w:instrText>
    </w:r>
    <w:r>
      <w:rPr>
        <w:sz w:val="16"/>
        <w:szCs w:val="16"/>
      </w:rPr>
      <w:fldChar w:fldCharType="separate"/>
    </w:r>
    <w:r>
      <w:rPr>
        <w:sz w:val="16"/>
        <w:szCs w:val="16"/>
      </w:rPr>
      <w:t>9</w:t>
    </w:r>
    <w:r>
      <w:rPr>
        <w:sz w:val="16"/>
        <w:szCs w:val="16"/>
      </w:rPr>
      <w:fldChar w:fldCharType="end"/>
    </w:r>
    <w:r>
      <w:rPr>
        <w:sz w:val="16"/>
        <w:szCs w:val="16"/>
      </w:rPr>
      <w:t xml:space="preserve"> of </w:t>
    </w:r>
    <w:r>
      <w:rPr>
        <w:sz w:val="16"/>
        <w:szCs w:val="16"/>
      </w:rPr>
      <w:fldChar w:fldCharType="begin"/>
    </w:r>
    <w:r>
      <w:rPr>
        <w:sz w:val="16"/>
        <w:szCs w:val="16"/>
      </w:rPr>
      <w:instrText xml:space="preserve"> NUMPAGES \* ARABIC </w:instrText>
    </w:r>
    <w:r>
      <w:rPr>
        <w:sz w:val="16"/>
        <w:szCs w:val="16"/>
      </w:rPr>
      <w:fldChar w:fldCharType="separate"/>
    </w:r>
    <w:r>
      <w:rPr>
        <w:sz w:val="16"/>
        <w:szCs w:val="16"/>
      </w:rPr>
      <w:t>13</w:t>
    </w:r>
    <w:r>
      <w:rPr>
        <w:sz w:val="16"/>
        <w:szCs w:val="16"/>
      </w:rPr>
      <w:fldChar w:fldCharType="end"/>
    </w:r>
    <w:r>
      <w:rPr>
        <w:sz w:val="16"/>
        <w:szCs w:val="16"/>
      </w:rPr>
      <w:tab/>
    </w:r>
  </w:p>
  <w:p>
    <w:pPr>
      <w:pStyle w:val="Footer"/>
      <w:tabs>
        <w:tab w:val="clear" w:pos="8640"/>
        <w:tab w:val="left" w:pos="4320" w:leader="none"/>
        <w:tab w:val="left" w:pos="7560" w:leader="none"/>
      </w:tabs>
      <w:spacing w:before="120" w:after="120"/>
      <w:rPr>
        <w:i/>
        <w:i/>
        <w:sz w:val="16"/>
        <w:szCs w:val="16"/>
      </w:rPr>
    </w:pPr>
    <w:r>
      <w:rPr>
        <w:i/>
        <w:sz w:val="16"/>
        <w:szCs w:val="16"/>
      </w:rPr>
      <w:t xml:space="preserve">GlobalPharma </w:t>
      <w:tab/>
      <w:tab/>
      <w:t>Confidential</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drawing>
        <wp:anchor behindDoc="1" distT="0" distB="0" distL="114935" distR="114935" simplePos="0" locked="0" layoutInCell="1" allowOverlap="1" relativeHeight="3">
          <wp:simplePos x="0" y="0"/>
          <wp:positionH relativeFrom="column">
            <wp:posOffset>4545965</wp:posOffset>
          </wp:positionH>
          <wp:positionV relativeFrom="paragraph">
            <wp:posOffset>52705</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sz w:val="20"/>
      </w:rPr>
      <w:drawing>
        <wp:inline distT="0" distB="0" distL="0" distR="0">
          <wp:extent cx="1494155" cy="345440"/>
          <wp:effectExtent l="0" t="0" r="0" b="0"/>
          <wp:docPr id="2"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sz w:val="20"/>
      </w:rPr>
      <w:tab/>
      <w:tab/>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drawing>
        <wp:anchor behindDoc="1" distT="0" distB="0" distL="114935" distR="114935" simplePos="0" locked="0" layoutInCell="1" allowOverlap="1" relativeHeight="6">
          <wp:simplePos x="0" y="0"/>
          <wp:positionH relativeFrom="column">
            <wp:posOffset>4545965</wp:posOffset>
          </wp:positionH>
          <wp:positionV relativeFrom="paragraph">
            <wp:posOffset>52705</wp:posOffset>
          </wp:positionV>
          <wp:extent cx="1028700" cy="385445"/>
          <wp:effectExtent l="0" t="0" r="0" b="0"/>
          <wp:wrapNone/>
          <wp:docPr id="3"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sz w:val="20"/>
      </w:rPr>
      <w:drawing>
        <wp:inline distT="0" distB="0" distL="0" distR="0">
          <wp:extent cx="1494155" cy="34544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sz w:val="20"/>
      </w:rPr>
      <w:tab/>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8640"/>
        <w:tab w:val="center" w:pos="4320" w:leader="none"/>
        <w:tab w:val="right" w:pos="8460" w:leader="none"/>
      </w:tabs>
      <w:spacing w:before="120" w:after="120"/>
      <w:rPr/>
    </w:pPr>
    <w:r>
      <w:drawing>
        <wp:anchor behindDoc="1" distT="0" distB="0" distL="114935" distR="114935" simplePos="0" locked="0" layoutInCell="1" allowOverlap="1" relativeHeight="24">
          <wp:simplePos x="0" y="0"/>
          <wp:positionH relativeFrom="column">
            <wp:posOffset>4545965</wp:posOffset>
          </wp:positionH>
          <wp:positionV relativeFrom="paragraph">
            <wp:posOffset>52705</wp:posOffset>
          </wp:positionV>
          <wp:extent cx="1028700" cy="385445"/>
          <wp:effectExtent l="0" t="0" r="0" b="0"/>
          <wp:wrapNone/>
          <wp:docPr id="6" name="Image2 Copy 1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Copy 1 Copy 1"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r>
    <w:r>
      <w:rPr>
        <w:sz w:val="20"/>
      </w:rPr>
      <w:drawing>
        <wp:inline distT="0" distB="0" distL="0" distR="0">
          <wp:extent cx="1494155" cy="345440"/>
          <wp:effectExtent l="0" t="0" r="0" b="0"/>
          <wp:docPr id="7" name="Image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Copy 1" descr="" title=""/>
                  <pic:cNvPicPr>
                    <a:picLocks noChangeAspect="1" noChangeArrowheads="1"/>
                  </pic:cNvPicPr>
                </pic:nvPicPr>
                <pic:blipFill>
                  <a:blip r:embed="rId2"/>
                  <a:srcRect l="-24" t="-104" r="-24" b="-104"/>
                  <a:stretch>
                    <a:fillRect/>
                  </a:stretch>
                </pic:blipFill>
                <pic:spPr bwMode="auto">
                  <a:xfrm>
                    <a:off x="0" y="0"/>
                    <a:ext cx="1494155" cy="345440"/>
                  </a:xfrm>
                  <a:prstGeom prst="rect">
                    <a:avLst/>
                  </a:prstGeom>
                  <a:noFill/>
                </pic:spPr>
              </pic:pic>
            </a:graphicData>
          </a:graphic>
        </wp:inline>
      </w:drawing>
    </w:r>
    <w:r>
      <w:rPr>
        <w:sz w:val="20"/>
      </w:rPr>
      <w:tab/>
      <w:tab/>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720"/>
        </w:tabs>
        <w:ind w:start="720" w:hanging="720"/>
      </w:pPr>
      <w:rPr>
        <w:sz w:val="24"/>
        <w:i w:val="false"/>
        <w:b/>
        <w:rFonts w:ascii="Times New Roman" w:hAnsi="Times New Roman" w:cs="Times New Roman"/>
      </w:rPr>
    </w:lvl>
    <w:lvl w:ilvl="3">
      <w:start w:val="1"/>
      <w:numFmt w:val="decimal"/>
      <w:lvlText w:val="%1.%2.%3.%4"/>
      <w:lvlJc w:val="start"/>
      <w:pPr>
        <w:tabs>
          <w:tab w:val="num" w:pos="720"/>
        </w:tabs>
        <w:ind w:start="720" w:hanging="720"/>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3">
    <w:lvl w:ilvl="0">
      <w:start w:val="1"/>
      <w:numFmt w:val="bullet"/>
      <w:lvlText w:val=""/>
      <w:lvlJc w:val="start"/>
      <w:pPr>
        <w:tabs>
          <w:tab w:val="num" w:pos="1800"/>
        </w:tabs>
        <w:ind w:start="1800" w:hanging="360"/>
      </w:pPr>
      <w:rPr>
        <w:rFonts w:ascii="Symbol" w:hAnsi="Symbol" w:cs="Symbol" w:hint="default"/>
      </w:rPr>
    </w:lvl>
  </w:abstractNum>
  <w:abstractNum w:abstractNumId="4">
    <w:lvl w:ilvl="0">
      <w:start w:val="1"/>
      <w:numFmt w:val="decimal"/>
      <w:lvlText w:val="%1."/>
      <w:lvlJc w:val="start"/>
      <w:pPr>
        <w:tabs>
          <w:tab w:val="num" w:pos="1440"/>
        </w:tabs>
        <w:ind w:start="1440" w:hanging="360"/>
      </w:pPr>
      <w:rPr>
        <w:sz w:val="22"/>
        <w:i w:val="false"/>
        <w:b w:val="false"/>
        <w:rFonts w:ascii="Times New Roman" w:hAnsi="Times New Roman" w:cs="Times New Roman"/>
        <w:color w:val="000000"/>
      </w:rPr>
    </w:lvl>
    <w:lvl w:ilvl="1">
      <w:start w:val="1"/>
      <w:numFmt w:val="decimal"/>
      <w:lvlText w:val="%1.%2."/>
      <w:lvlJc w:val="start"/>
      <w:pPr>
        <w:tabs>
          <w:tab w:val="num" w:pos="1728"/>
        </w:tabs>
        <w:ind w:start="1728" w:hanging="619"/>
      </w:pPr>
      <w:rPr>
        <w:sz w:val="22"/>
        <w:i w:val="false"/>
        <w:b w:val="false"/>
        <w:rFonts w:ascii="Times New Roman" w:hAnsi="Times New Roman" w:cs="Times New Roman"/>
      </w:rPr>
    </w:lvl>
    <w:lvl w:ilvl="2">
      <w:start w:val="1"/>
      <w:numFmt w:val="decimal"/>
      <w:lvlText w:val="%1.%2.%3."/>
      <w:lvlJc w:val="start"/>
      <w:pPr>
        <w:tabs>
          <w:tab w:val="num" w:pos="2016"/>
        </w:tabs>
        <w:ind w:start="2016" w:hanging="878"/>
      </w:pPr>
      <w:rPr>
        <w:sz w:val="22"/>
        <w:i w:val="false"/>
        <w:b w:val="false"/>
        <w:rFonts w:ascii="Times New Roman" w:hAnsi="Times New Roman" w:cs="Times New Roman"/>
      </w:rPr>
    </w:lvl>
    <w:lvl w:ilvl="3">
      <w:start w:val="1"/>
      <w:numFmt w:val="decimal"/>
      <w:lvlText w:val="%1.%2.%3.%4."/>
      <w:lvlJc w:val="start"/>
      <w:pPr>
        <w:tabs>
          <w:tab w:val="num" w:pos="2304"/>
        </w:tabs>
        <w:ind w:start="2304" w:hanging="1138"/>
      </w:pPr>
      <w:rPr>
        <w:sz w:val="22"/>
        <w:i w:val="false"/>
        <w:b w:val="false"/>
        <w:rFonts w:ascii="Times New Roman" w:hAnsi="Times New Roman" w:cs="Times New Roman"/>
      </w:rPr>
    </w:lvl>
    <w:lvl w:ilvl="4">
      <w:start w:val="1"/>
      <w:numFmt w:val="none"/>
      <w:suff w:val="nothing"/>
      <w:lvlText w:val=""/>
      <w:lvlJc w:val="start"/>
      <w:pPr>
        <w:tabs>
          <w:tab w:val="num" w:pos="1080"/>
        </w:tabs>
        <w:ind w:start="720" w:hanging="0"/>
      </w:pPr>
      <w:rPr/>
    </w:lvl>
    <w:lvl w:ilvl="5">
      <w:start w:val="1"/>
      <w:numFmt w:val="none"/>
      <w:suff w:val="nothing"/>
      <w:lvlText w:val=""/>
      <w:lvlJc w:val="start"/>
      <w:pPr>
        <w:tabs>
          <w:tab w:val="num" w:pos="1080"/>
        </w:tabs>
        <w:ind w:start="720" w:hanging="0"/>
      </w:pPr>
      <w:rPr/>
    </w:lvl>
    <w:lvl w:ilvl="6">
      <w:start w:val="1"/>
      <w:numFmt w:val="none"/>
      <w:suff w:val="nothing"/>
      <w:lvlText w:val=""/>
      <w:lvlJc w:val="start"/>
      <w:pPr>
        <w:tabs>
          <w:tab w:val="num" w:pos="1080"/>
        </w:tabs>
        <w:ind w:start="720" w:hanging="0"/>
      </w:pPr>
      <w:rPr/>
    </w:lvl>
    <w:lvl w:ilvl="7">
      <w:start w:val="1"/>
      <w:numFmt w:val="none"/>
      <w:suff w:val="nothing"/>
      <w:lvlText w:val=""/>
      <w:lvlJc w:val="start"/>
      <w:pPr>
        <w:tabs>
          <w:tab w:val="num" w:pos="1080"/>
        </w:tabs>
        <w:ind w:start="720" w:hanging="0"/>
      </w:pPr>
      <w:rPr/>
    </w:lvl>
    <w:lvl w:ilvl="8">
      <w:start w:val="1"/>
      <w:numFmt w:val="none"/>
      <w:suff w:val="nothing"/>
      <w:lvlText w:val=""/>
      <w:lvlJc w:val="start"/>
      <w:pPr>
        <w:tabs>
          <w:tab w:val="num" w:pos="1080"/>
        </w:tabs>
        <w:ind w:start="720" w:hanging="0"/>
      </w:pPr>
      <w:rPr/>
    </w:lvl>
  </w:abstractNum>
  <w:abstractNum w:abstractNumId="5">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1.%2."/>
      <w:lvlJc w:val="start"/>
      <w:pPr>
        <w:tabs>
          <w:tab w:val="num" w:pos="1008"/>
        </w:tabs>
        <w:ind w:start="1008" w:hanging="619"/>
      </w:pPr>
      <w:rPr>
        <w:sz w:val="22"/>
        <w:i w:val="false"/>
        <w:b w:val="false"/>
        <w:rFonts w:ascii="Times New Roman" w:hAnsi="Times New Roman" w:cs="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lowerLetter"/>
      <w:lvlText w:val="(%1)"/>
      <w:lvlJc w:val="start"/>
      <w:pPr>
        <w:tabs>
          <w:tab w:val="num" w:pos="720"/>
        </w:tabs>
        <w:ind w:start="720" w:hanging="360"/>
      </w:pPr>
      <w:rPr/>
    </w:lvl>
    <w:lvl w:ilvl="1">
      <w:start w:val="1"/>
      <w:numFmt w:val="lowerLetter"/>
      <w:lvlText w:val="%2."/>
      <w:lvlJc w:val="start"/>
      <w:pPr>
        <w:tabs>
          <w:tab w:val="num" w:pos="1440"/>
        </w:tabs>
        <w:ind w:start="1440" w:hanging="360"/>
      </w:pPr>
    </w:lvl>
    <w:lvl w:ilvl="2">
      <w:start w:val="1"/>
      <w:numFmt w:val="lowerRoman"/>
      <w:lvlText w:val="%3."/>
      <w:lvlJc w:val="end"/>
      <w:pPr>
        <w:tabs>
          <w:tab w:val="num" w:pos="2160"/>
        </w:tabs>
        <w:ind w:start="2160" w:hanging="18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2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Normal"/>
    <w:qFormat/>
    <w:pPr>
      <w:numPr>
        <w:ilvl w:val="0"/>
        <w:numId w:val="1"/>
      </w:numPr>
      <w:tabs>
        <w:tab w:val="clear" w:pos="720"/>
        <w:tab w:val="left" w:pos="360" w:leader="none"/>
      </w:tabs>
      <w:spacing w:before="24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Normal"/>
    <w:qFormat/>
    <w:pPr>
      <w:numPr>
        <w:ilvl w:val="1"/>
        <w:numId w:val="1"/>
      </w:numPr>
      <w:outlineLvl w:val="1"/>
    </w:pPr>
    <w:rPr>
      <w:bCs w:val="false"/>
      <w:iCs/>
      <w:caps w:val="false"/>
      <w:smallCaps w:val="false"/>
      <w:szCs w:val="28"/>
    </w:rPr>
  </w:style>
  <w:style w:type="paragraph" w:styleId="Heading3">
    <w:name w:val="heading 3"/>
    <w:basedOn w:val="Heading2"/>
    <w:next w:val="Normal"/>
    <w:qFormat/>
    <w:pPr>
      <w:numPr>
        <w:ilvl w:val="2"/>
        <w:numId w:val="1"/>
      </w:numPr>
      <w:outlineLvl w:val="2"/>
    </w:pPr>
    <w:rPr>
      <w:bCs/>
      <w:sz w:val="24"/>
      <w:szCs w:val="26"/>
    </w:rPr>
  </w:style>
  <w:style w:type="paragraph" w:styleId="Heading4">
    <w:name w:val="heading 4"/>
    <w:basedOn w:val="Heading3"/>
    <w:next w:val="Normal"/>
    <w:qFormat/>
    <w:pPr>
      <w:numPr>
        <w:ilvl w:val="3"/>
        <w:numId w:val="1"/>
      </w:numPr>
      <w:outlineLvl w:val="3"/>
    </w:pPr>
    <w:rPr>
      <w:bCs w:val="false"/>
      <w:szCs w:val="28"/>
    </w:rPr>
  </w:style>
  <w:style w:type="paragraph" w:styleId="Heading5">
    <w:name w:val="heading 5"/>
    <w:basedOn w:val="Normal"/>
    <w:next w:val="Normal"/>
    <w:qFormat/>
    <w:pPr>
      <w:numPr>
        <w:ilvl w:val="4"/>
        <w:numId w:val="1"/>
      </w:numPr>
      <w:tabs>
        <w:tab w:val="clear" w:pos="720"/>
        <w:tab w:val="left" w:pos="360" w:leader="none"/>
      </w:tabs>
      <w:spacing w:before="240" w:after="60"/>
      <w:outlineLvl w:val="4"/>
    </w:pPr>
    <w:rPr>
      <w:b/>
      <w:bCs/>
      <w:i/>
      <w:iCs/>
      <w:sz w:val="26"/>
      <w:szCs w:val="26"/>
    </w:rPr>
  </w:style>
  <w:style w:type="paragraph" w:styleId="Heading6">
    <w:name w:val="heading 6"/>
    <w:basedOn w:val="Normal"/>
    <w:next w:val="Normal"/>
    <w:qFormat/>
    <w:pPr>
      <w:numPr>
        <w:ilvl w:val="5"/>
        <w:numId w:val="1"/>
      </w:numPr>
      <w:tabs>
        <w:tab w:val="clear" w:pos="720"/>
        <w:tab w:val="left" w:pos="360" w:leader="none"/>
      </w:tabs>
      <w:spacing w:before="240" w:after="60"/>
      <w:outlineLvl w:val="5"/>
    </w:pPr>
    <w:rPr>
      <w:b/>
      <w:bCs/>
      <w:szCs w:val="22"/>
    </w:rPr>
  </w:style>
  <w:style w:type="paragraph" w:styleId="Heading7">
    <w:name w:val="heading 7"/>
    <w:basedOn w:val="Normal"/>
    <w:next w:val="Normal"/>
    <w:qFormat/>
    <w:pPr>
      <w:numPr>
        <w:ilvl w:val="6"/>
        <w:numId w:val="1"/>
      </w:numPr>
      <w:tabs>
        <w:tab w:val="clear" w:pos="720"/>
        <w:tab w:val="left" w:pos="360" w:leader="none"/>
      </w:tabs>
      <w:spacing w:before="240" w:after="60"/>
      <w:outlineLvl w:val="6"/>
    </w:pPr>
    <w:rPr>
      <w:sz w:val="24"/>
    </w:rPr>
  </w:style>
  <w:style w:type="paragraph" w:styleId="Heading8">
    <w:name w:val="heading 8"/>
    <w:basedOn w:val="Normal"/>
    <w:next w:val="Normal"/>
    <w:qFormat/>
    <w:pPr>
      <w:numPr>
        <w:ilvl w:val="7"/>
        <w:numId w:val="1"/>
      </w:numPr>
      <w:tabs>
        <w:tab w:val="clear" w:pos="720"/>
        <w:tab w:val="left" w:pos="360" w:leader="none"/>
      </w:tabs>
      <w:spacing w:before="240" w:after="60"/>
      <w:outlineLvl w:val="7"/>
    </w:pPr>
    <w:rPr>
      <w:i/>
      <w:iCs/>
      <w:sz w:val="24"/>
    </w:rPr>
  </w:style>
  <w:style w:type="paragraph" w:styleId="Heading9">
    <w:name w:val="heading 9"/>
    <w:basedOn w:val="Normal"/>
    <w:next w:val="Normal"/>
    <w:qFormat/>
    <w:pPr>
      <w:numPr>
        <w:ilvl w:val="8"/>
        <w:numId w:val="1"/>
      </w:numPr>
      <w:tabs>
        <w:tab w:val="clear" w:pos="720"/>
        <w:tab w:val="left" w:pos="360" w:leader="none"/>
      </w:tabs>
      <w:spacing w:before="240" w:after="60"/>
      <w:outlineLvl w:val="8"/>
    </w:pPr>
    <w:rPr>
      <w:rFonts w:ascii="Arial" w:hAnsi="Arial" w:cs="Arial"/>
      <w:szCs w:val="22"/>
    </w:rPr>
  </w:style>
  <w:style w:type="character" w:styleId="WW8Num1z0">
    <w:name w:val="WW8Num1z0"/>
    <w:qFormat/>
    <w:rPr>
      <w:rFonts w:ascii="Times New Roman Bold;Times New Roman" w:hAnsi="Times New Roman Bold;Times New Roman" w:cs="Times New Roman Bold;Times New Roman"/>
      <w:b/>
      <w:i w:val="false"/>
      <w:sz w:val="22"/>
      <w:szCs w:val="22"/>
    </w:rPr>
  </w:style>
  <w:style w:type="character" w:styleId="WW8Num1z1">
    <w:name w:val="WW8Num1z1"/>
    <w:qFormat/>
    <w:rPr>
      <w:rFonts w:ascii="Times New Roman Bold;Times New Roman" w:hAnsi="Times New Roman Bold;Times New Roman" w:cs="Times New Roman Bold;Times New Roman"/>
      <w:b/>
      <w:i w:val="false"/>
      <w:sz w:val="28"/>
    </w:rPr>
  </w:style>
  <w:style w:type="character" w:styleId="WW8Num1z2">
    <w:name w:val="WW8Num1z2"/>
    <w:qFormat/>
    <w:rPr>
      <w:rFonts w:ascii="Times New Roman" w:hAnsi="Times New Roman" w:cs="Times New Roman"/>
      <w:b/>
      <w:i w:val="false"/>
      <w:sz w:val="24"/>
    </w:rPr>
  </w:style>
  <w:style w:type="character" w:styleId="WW8Num1z4">
    <w:name w:val="WW8Num1z4"/>
    <w:qFormat/>
    <w:rPr>
      <w:rFonts w:ascii="Times New Roman" w:hAnsi="Times New Roman" w:cs="Times New Roman"/>
      <w:b w:val="false"/>
      <w:i w:val="false"/>
      <w:sz w:val="22"/>
    </w:rPr>
  </w:style>
  <w:style w:type="character" w:styleId="WW8Num1z8">
    <w:name w:val="WW8Num1z8"/>
    <w:qFormat/>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Times New Roman" w:hAnsi="Times New Roman" w:cs="Times New Roman"/>
      <w:b w:val="false"/>
      <w:i w:val="false"/>
      <w:color w:val="000000"/>
      <w:sz w:val="22"/>
    </w:rPr>
  </w:style>
  <w:style w:type="character" w:styleId="WW8Num3z1">
    <w:name w:val="WW8Num3z1"/>
    <w:qFormat/>
    <w:rPr>
      <w:rFonts w:ascii="Times New Roman" w:hAnsi="Times New Roman" w:cs="Times New Roman"/>
      <w:b w:val="false"/>
      <w:i w:val="false"/>
      <w:sz w:val="22"/>
    </w:rPr>
  </w:style>
  <w:style w:type="character" w:styleId="WW8Num3z4">
    <w:name w:val="WW8Num3z4"/>
    <w:qFormat/>
    <w:rPr/>
  </w:style>
  <w:style w:type="character" w:styleId="WW8Num4z0">
    <w:name w:val="WW8Num4z0"/>
    <w:qFormat/>
    <w:rPr>
      <w:rFonts w:ascii="Times New Roman" w:hAnsi="Times New Roman" w:cs="Times New Roman"/>
      <w:b w:val="false"/>
      <w:i w:val="false"/>
      <w:color w:val="000000"/>
      <w:sz w:val="22"/>
    </w:rPr>
  </w:style>
  <w:style w:type="character" w:styleId="WW8Num4z1">
    <w:name w:val="WW8Num4z1"/>
    <w:qFormat/>
    <w:rPr>
      <w:rFonts w:ascii="Times New Roman" w:hAnsi="Times New Roman" w:cs="Times New Roman"/>
      <w:b w:val="false"/>
      <w:i w:val="false"/>
      <w:sz w:val="22"/>
    </w:rPr>
  </w:style>
  <w:style w:type="character" w:styleId="WW8Num4z4">
    <w:name w:val="WW8Num4z4"/>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1">
    <w:name w:val=" Char1"/>
    <w:basedOn w:val="Absatz-Standardschriftart"/>
    <w:qFormat/>
    <w:rPr>
      <w:rFonts w:ascii="Times New Roman Bold;Times New Roman" w:hAnsi="Times New Roman Bold;Times New Roman" w:cs="Arial"/>
      <w:b/>
      <w:iCs/>
      <w:kern w:val="2"/>
      <w:sz w:val="28"/>
      <w:szCs w:val="28"/>
      <w:lang w:val="en-US" w:bidi="ar-SA"/>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360" w:after="36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left" w:pos="4320" w:leader="none"/>
        <w:tab w:val="right" w:pos="8640" w:leader="none"/>
      </w:tabs>
    </w:pPr>
    <w:rPr>
      <w:sz w:val="12"/>
    </w:rPr>
  </w:style>
  <w:style w:type="paragraph" w:styleId="Header">
    <w:name w:val="header"/>
    <w:basedOn w:val="Normal"/>
    <w:pPr>
      <w:tabs>
        <w:tab w:val="clear" w:pos="720"/>
        <w:tab w:val="center" w:pos="4320" w:leader="none"/>
        <w:tab w:val="right" w:pos="8640" w:leader="none"/>
      </w:tabs>
    </w:pPr>
    <w:rPr>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3"/>
      </w:numPr>
      <w:spacing w:before="240" w:after="240"/>
    </w:pPr>
    <w:rPr/>
  </w:style>
  <w:style w:type="paragraph" w:styleId="TableLevel1Numbered">
    <w:name w:val="Table Level 1 Numbered"/>
    <w:basedOn w:val="Normal"/>
    <w:qFormat/>
    <w:pPr/>
    <w:rPr>
      <w:bCs/>
    </w:rPr>
  </w:style>
  <w:style w:type="paragraph" w:styleId="Bullet1Table">
    <w:name w:val="Bullet 1 Table"/>
    <w:basedOn w:val="Normal"/>
    <w:qFormat/>
    <w:pPr>
      <w:numPr>
        <w:ilvl w:val="0"/>
        <w:numId w:val="6"/>
      </w:numPr>
    </w:pPr>
    <w:rPr/>
  </w:style>
  <w:style w:type="paragraph" w:styleId="Heading1Numbered">
    <w:name w:val="Heading 1 Numbered"/>
    <w:basedOn w:val="Normal"/>
    <w:qFormat/>
    <w:pPr>
      <w:numPr>
        <w:ilvl w:val="0"/>
        <w:numId w:val="2"/>
      </w:numPr>
      <w:spacing w:before="24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qFormat/>
    <w:pPr>
      <w:numPr>
        <w:ilvl w:val="0"/>
        <w:numId w:val="2"/>
      </w:numPr>
      <w:spacing w:before="240" w:after="240"/>
    </w:pPr>
    <w:rPr>
      <w:rFonts w:ascii="Times New Roman Bold;Times New Roman" w:hAnsi="Times New Roman Bold;Times New Roman" w:cs="Times New Roman Bold;Times New Roman"/>
      <w:b/>
      <w:sz w:val="28"/>
    </w:rPr>
  </w:style>
  <w:style w:type="paragraph" w:styleId="Heading3Numbered">
    <w:name w:val="Heading 3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Heading4Numbered">
    <w:name w:val="Heading 4 Numbered"/>
    <w:basedOn w:val="Normal"/>
    <w:qFormat/>
    <w:pPr>
      <w:numPr>
        <w:ilvl w:val="0"/>
        <w:numId w:val="2"/>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5"/>
      </w:numPr>
    </w:pPr>
    <w:rPr>
      <w:bCs/>
    </w:rPr>
  </w:style>
  <w:style w:type="paragraph" w:styleId="TableLevel3Numbered">
    <w:name w:val="Table Level 3 Numbered"/>
    <w:basedOn w:val="Normal"/>
    <w:qFormat/>
    <w:pPr>
      <w:numPr>
        <w:ilvl w:val="0"/>
        <w:numId w:val="5"/>
      </w:numPr>
    </w:pPr>
    <w:rPr/>
  </w:style>
  <w:style w:type="paragraph" w:styleId="TableLevel4Numbered">
    <w:name w:val="Table Level 4 Numbered"/>
    <w:basedOn w:val="Normal"/>
    <w:qFormat/>
    <w:pPr>
      <w:numPr>
        <w:ilvl w:val="0"/>
        <w:numId w:val="5"/>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4"/>
      </w:numPr>
      <w:spacing w:before="240" w:after="240"/>
    </w:pPr>
    <w:rPr/>
  </w:style>
  <w:style w:type="paragraph" w:styleId="BodyLevel2Numbered">
    <w:name w:val="Body Level 2 Numbered"/>
    <w:basedOn w:val="Normal"/>
    <w:qFormat/>
    <w:pPr>
      <w:numPr>
        <w:ilvl w:val="0"/>
        <w:numId w:val="4"/>
      </w:numPr>
      <w:spacing w:before="240" w:after="240"/>
    </w:pPr>
    <w:rPr/>
  </w:style>
  <w:style w:type="paragraph" w:styleId="BodyLevel3Numbered">
    <w:name w:val="Body Level 3 Numbered"/>
    <w:basedOn w:val="Normal"/>
    <w:qFormat/>
    <w:pPr>
      <w:numPr>
        <w:ilvl w:val="0"/>
        <w:numId w:val="4"/>
      </w:numPr>
      <w:spacing w:before="240" w:after="240"/>
    </w:pPr>
    <w:rPr/>
  </w:style>
  <w:style w:type="paragraph" w:styleId="BodyLevel4Numbered">
    <w:name w:val="Body Level 4 Numbered"/>
    <w:basedOn w:val="Normal"/>
    <w:qFormat/>
    <w:pPr>
      <w:numPr>
        <w:ilvl w:val="0"/>
        <w:numId w:val="4"/>
      </w:numPr>
      <w:spacing w:before="240" w:after="240"/>
    </w:pPr>
    <w:rPr/>
  </w:style>
  <w:style w:type="paragraph" w:styleId="BodyLevel1Text">
    <w:name w:val="Body Level 1 Text"/>
    <w:basedOn w:val="BodyText"/>
    <w:qFormat/>
    <w:pPr>
      <w:ind w:hanging="0" w:start="1440" w:end="0"/>
    </w:pPr>
    <w:rPr/>
  </w:style>
  <w:style w:type="paragraph" w:styleId="BodyLevel2Text">
    <w:name w:val="Body Level 2 Text"/>
    <w:basedOn w:val="BodyText"/>
    <w:qFormat/>
    <w:pPr>
      <w:ind w:hanging="0" w:start="1728" w:end="0"/>
    </w:pPr>
    <w:rPr/>
  </w:style>
  <w:style w:type="paragraph" w:styleId="BodyLevel3Text">
    <w:name w:val="Body Level 3 Text"/>
    <w:basedOn w:val="BodyText"/>
    <w:qFormat/>
    <w:pPr>
      <w:ind w:hanging="0" w:start="2016" w:end="0"/>
    </w:pPr>
    <w:rPr/>
  </w:style>
  <w:style w:type="paragraph" w:styleId="BodyLevel4Text">
    <w:name w:val="Body Level 4 Text"/>
    <w:basedOn w:val="BodyText"/>
    <w:qFormat/>
    <w:pPr>
      <w:ind w:hanging="0" w:start="2304" w:end="0"/>
    </w:pPr>
    <w:rPr/>
  </w:style>
  <w:style w:type="paragraph" w:styleId="Bullet1Level1">
    <w:name w:val="Bullet 1 Level 1"/>
    <w:basedOn w:val="Normal"/>
    <w:qFormat/>
    <w:pPr>
      <w:tabs>
        <w:tab w:val="clear" w:pos="720"/>
        <w:tab w:val="left" w:pos="1080" w:leader="none"/>
      </w:tabs>
      <w:ind w:hanging="360" w:start="1080" w:end="0"/>
    </w:pPr>
    <w:rPr/>
  </w:style>
  <w:style w:type="paragraph" w:styleId="Sprechblasentext">
    <w:name w:val="Sprechblasen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image" Target="media/image3.png"/><Relationship Id="rId7" Type="http://schemas.openxmlformats.org/officeDocument/2006/relationships/header" Target="header4.xml"/><Relationship Id="rId8" Type="http://schemas.openxmlformats.org/officeDocument/2006/relationships/header" Target="header5.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2007-01-30T17:12:00Z</dcterms:created>
  <dc:creator> </dc:creator>
  <dc:description/>
  <dc:language>en-US</dc:language>
  <cp:lastModifiedBy>Wenger Plattner</cp:lastModifiedBy>
  <cp:lastPrinted>2007-01-30T13:59:00Z</cp:lastPrinted>
  <dcterms:modified xsi:type="dcterms:W3CDTF">2007-01-30T18:30:00Z</dcterms:modified>
  <cp:revision>4</cp:revision>
  <dc:subject/>
  <dc:title> </dc:title>
</cp:coreProperties>
</file>