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t>GlobalPharma</w:t>
      </w:r>
    </w:p>
    <w:p>
      <w:pPr>
        <w:pStyle w:val="Titel"/>
        <w:rPr>
          <w:lang w:val="en-GB"/>
        </w:rPr>
      </w:pPr>
      <w:r>
        <w:rPr>
          <w:lang w:val="en-GB"/>
        </w:rPr>
      </w:r>
    </w:p>
    <w:p>
      <w:pPr>
        <w:pStyle w:val="Titel"/>
        <w:rPr>
          <w:lang w:val="en-GB"/>
        </w:rPr>
      </w:pPr>
      <w:r>
        <w:rPr>
          <w:lang w:val="en-GB"/>
        </w:rPr>
        <w:t xml:space="preserve">Exhibit </w:t>
      </w:r>
      <w:r>
        <w:rPr>
          <w:rFonts w:cs="Times New Roman"/>
          <w:lang w:val="en-GB"/>
        </w:rPr>
        <w:t>19</w:t>
      </w:r>
    </w:p>
    <w:p>
      <w:pPr>
        <w:pStyle w:val="Titel"/>
        <w:rPr>
          <w:lang w:val="en-GB"/>
        </w:rPr>
      </w:pPr>
      <w:r>
        <w:rPr>
          <w:lang w:val="en-GB"/>
        </w:rPr>
        <w:t>CRITICAL SErvices</w:t>
      </w:r>
    </w:p>
    <w:p>
      <w:pPr>
        <w:pStyle w:val="Titel"/>
        <w:rPr>
          <w:lang w:val="en-GB"/>
        </w:rPr>
      </w:pPr>
      <w:r>
        <w:rPr>
          <w:lang w:val="en-GB"/>
        </w:rPr>
      </w:r>
    </w:p>
    <w:p>
      <w:pPr>
        <w:pStyle w:val="Titel"/>
        <w:rPr>
          <w:lang w:val="en-GB"/>
        </w:rPr>
      </w:pPr>
      <w:r>
        <w:rPr>
          <w:lang w:val="en-GB"/>
        </w:rPr>
      </w:r>
    </w:p>
    <w:tbl>
      <w:tblPr>
        <w:tblW w:w="7227" w:type="dxa"/>
        <w:jc w:val="center"/>
        <w:tblInd w:w="0" w:type="dxa"/>
        <w:tblLayout w:type="fixed"/>
        <w:tblCellMar>
          <w:top w:w="0" w:type="dxa"/>
          <w:start w:w="108" w:type="dxa"/>
          <w:bottom w:w="0" w:type="dxa"/>
          <w:end w:w="108" w:type="dxa"/>
        </w:tblCellMar>
      </w:tblPr>
      <w:tblGrid>
        <w:gridCol w:w="7227"/>
      </w:tblGrid>
      <w:tr>
        <w:trPr/>
        <w:tc>
          <w:tcPr>
            <w:tcW w:w="7227"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Normal"/>
        <w:rPr>
          <w:b/>
          <w:bCs/>
          <w:caps/>
        </w:rPr>
      </w:pPr>
      <w:r>
        <w:br w:type="page"/>
      </w:r>
      <w:r>
        <w:rPr>
          <w:b/>
          <w:bCs/>
          <w:caps/>
        </w:rPr>
      </w:r>
    </w:p>
    <w:p>
      <w:pPr>
        <w:pStyle w:val="HEADING11"/>
        <w:numPr>
          <w:ilvl w:val="0"/>
          <w:numId w:val="5"/>
        </w:numPr>
        <w:rPr/>
      </w:pPr>
      <w:r>
        <w:rPr/>
        <w:t>CRITICAL EVENTS</w:t>
      </w:r>
    </w:p>
    <w:p>
      <w:pPr>
        <w:pStyle w:val="Normal"/>
        <w:rPr/>
      </w:pPr>
      <w:r>
        <w:rPr/>
        <w:t>The following shall constitute the Critical Events and the occurrence of such Critical Events shall be treated in accordance with the termination for cause provisions specified in the Master Services Agrement. The following events constitute Critical Events:</w:t>
      </w:r>
    </w:p>
    <w:p>
      <w:pPr>
        <w:pStyle w:val="Normal"/>
        <w:autoSpaceDE w:val="false"/>
        <w:spacing w:lineRule="atLeast" w:line="240"/>
        <w:rPr/>
      </w:pPr>
      <w:r>
        <w:rPr/>
        <w:t>1. On a quarter end, failure to deliver one service component and such failure leads to the consequence that at least one GlobalPharma reporting entity with a yearly turnover in excess of US$ 100,000,000 cannot be loaded in FCRS.</w:t>
      </w:r>
      <w:r>
        <w:rPr>
          <w:color w:val="000000"/>
          <w:szCs w:val="20"/>
        </w:rPr>
      </w:r>
    </w:p>
    <w:p>
      <w:pPr>
        <w:pStyle w:val="HEADING11"/>
        <w:numPr>
          <w:ilvl w:val="0"/>
          <w:numId w:val="0"/>
        </w:numPr>
        <w:ind w:hanging="0" w:start="0"/>
        <w:rPr>
          <w:b w:val="false"/>
          <w:bCs w:val="false"/>
          <w:color w:val="000000"/>
          <w:szCs w:val="20"/>
          <w:u w:val="none"/>
          <w:lang w:val="en-CA"/>
        </w:rPr>
      </w:pPr>
      <w:r>
        <w:rPr>
          <w:b w:val="false"/>
          <w:bCs w:val="false"/>
          <w:caps w:val="false"/>
          <w:smallCaps w:val="false"/>
          <w:color w:val="000000"/>
          <w:sz w:val="22"/>
          <w:szCs w:val="20"/>
          <w:u w:val="none"/>
        </w:rPr>
        <w:t>2. On a month end, second time a failure does happen to deliver one service component and such failure leads to the consequence that at least one GlobalPharma reporting entity with a yearly turnover in excess of US$ 75,000,000 cannot be loaded in FCRS.</w:t>
      </w:r>
    </w:p>
    <w:p>
      <w:pPr>
        <w:pStyle w:val="Normal"/>
        <w:rPr>
          <w:color w:val="000000"/>
          <w:szCs w:val="20"/>
        </w:rPr>
      </w:pPr>
      <w:r>
        <w:rPr>
          <w:color w:val="000000"/>
          <w:szCs w:val="20"/>
        </w:rPr>
        <w:t>3. Service Provider’s failure to comply with its internal controls requirements for the processes and controls under the responsibility of Service Provider, with the consequence that the accounts of a GlobalPharma reporting entity with a yearly turnover or total assets in excess of US$ 200,000,000 has its processes qualified by external auditors under Section 404 of SOX.</w:t>
      </w:r>
    </w:p>
    <w:p>
      <w:pPr>
        <w:pStyle w:val="BodyLevel1Numbered"/>
        <w:numPr>
          <w:ilvl w:val="0"/>
          <w:numId w:val="0"/>
        </w:numPr>
        <w:ind w:hanging="0" w:start="0"/>
        <w:rPr>
          <w:color w:val="000000"/>
          <w:szCs w:val="20"/>
        </w:rPr>
      </w:pPr>
      <w:r>
        <w:rPr/>
        <w:t>4.</w:t>
      </w:r>
      <w:r>
        <w:rPr>
          <w:color w:val="000000"/>
          <w:szCs w:val="20"/>
        </w:rPr>
        <w:t xml:space="preserve"> More than 20 percent of the Critical Service Levels have fallen below the minimum level of service for the 3</w:t>
      </w:r>
      <w:r>
        <w:rPr>
          <w:color w:val="000000"/>
          <w:szCs w:val="20"/>
          <w:vertAlign w:val="superscript"/>
        </w:rPr>
        <w:t>rd</w:t>
      </w:r>
      <w:r>
        <w:rPr>
          <w:color w:val="000000"/>
          <w:szCs w:val="20"/>
        </w:rPr>
        <w:t xml:space="preserve"> consecutive month.</w:t>
      </w:r>
    </w:p>
    <w:p>
      <w:pPr>
        <w:pStyle w:val="BodyLevel1Numbered"/>
        <w:numPr>
          <w:ilvl w:val="0"/>
          <w:numId w:val="0"/>
        </w:numPr>
        <w:ind w:hanging="0" w:start="0"/>
        <w:rPr/>
      </w:pPr>
      <w:r>
        <w:rPr>
          <w:color w:val="000000"/>
          <w:szCs w:val="20"/>
        </w:rPr>
        <w:t>5. Partial termination for cause for a given GlobalPharma CPO would occur if more than fifty (50) percent of the Critical Service Levels have fallen below the minimum level of service for the 3rd consecutive month for any one (1) GlobalPharma CPO.</w:t>
      </w:r>
      <w:r>
        <w:rPr>
          <w:color w:val="000000"/>
          <w:szCs w:val="20"/>
          <w:vertAlign w:val="superscript"/>
        </w:rPr>
      </w:r>
      <w:r>
        <w:rPr>
          <w:color w:val="000000"/>
          <w:szCs w:val="20"/>
        </w:rPr>
      </w:r>
    </w:p>
    <w:p>
      <w:pPr>
        <w:pStyle w:val="BodyLevel1Numbered"/>
        <w:numPr>
          <w:ilvl w:val="0"/>
          <w:numId w:val="0"/>
        </w:numPr>
        <w:ind w:hanging="0" w:start="0"/>
        <w:rPr>
          <w:color w:val="000000"/>
          <w:szCs w:val="20"/>
        </w:rPr>
      </w:pPr>
      <w:r>
        <w:rPr>
          <w:color w:val="000000"/>
          <w:szCs w:val="20"/>
        </w:rPr>
      </w:r>
    </w:p>
    <w:p>
      <w:pPr>
        <w:pStyle w:val="HEADING11"/>
        <w:numPr>
          <w:ilvl w:val="0"/>
          <w:numId w:val="5"/>
        </w:numPr>
        <w:rPr/>
      </w:pPr>
      <w:r>
        <w:rPr/>
        <w:t>FUTURE CRITICAL EVENTS</w:t>
      </w:r>
    </w:p>
    <w:p>
      <w:pPr>
        <w:pStyle w:val="Normal"/>
        <w:spacing w:before="120" w:after="120"/>
        <w:rPr/>
      </w:pPr>
      <w:r>
        <w:rPr/>
        <w:t>The Parties acknowledge that the relative importance of events might change as GlobalPharma’s business needs evolve. Accordingly, from time to time, the Parties will review and update the list of Critical Events.</w:t>
      </w:r>
    </w:p>
    <w:sectPr>
      <w:headerReference w:type="default" r:id="rId2"/>
      <w:footerReference w:type="default" r:id="rId3"/>
      <w:type w:val="nextPage"/>
      <w:pgSz w:w="11906" w:h="16838"/>
      <w:pgMar w:left="1418" w:right="1418" w:gutter="0" w:header="851" w:top="1418" w:footer="39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Times">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sz w:val="16"/>
        <w:szCs w:val="16"/>
        <w:lang w:val="en-GB"/>
      </w:rPr>
    </w:pPr>
    <w:r>
      <w:rPr>
        <w:sz w:val="16"/>
        <w:szCs w:val="16"/>
        <w:lang w:val="en-GB"/>
      </w:rPr>
      <w:t xml:space="preserve">Page </w:t>
    </w:r>
    <w:r>
      <w:rPr>
        <w:sz w:val="16"/>
        <w:szCs w:val="16"/>
        <w:lang w:val="en-GB"/>
      </w:rPr>
      <w:fldChar w:fldCharType="begin"/>
    </w:r>
    <w:r>
      <w:rPr>
        <w:sz w:val="16"/>
        <w:szCs w:val="16"/>
        <w:lang w:val="en-GB"/>
      </w:rPr>
      <w:instrText xml:space="preserve"> PAGE </w:instrText>
    </w:r>
    <w:r>
      <w:rPr>
        <w:sz w:val="16"/>
        <w:szCs w:val="16"/>
        <w:lang w:val="en-GB"/>
      </w:rPr>
      <w:fldChar w:fldCharType="separate"/>
    </w:r>
    <w:r>
      <w:rPr>
        <w:sz w:val="16"/>
        <w:szCs w:val="16"/>
        <w:lang w:val="en-GB"/>
      </w:rPr>
      <w:t>2</w:t>
    </w:r>
    <w:r>
      <w:rPr>
        <w:sz w:val="16"/>
        <w:szCs w:val="16"/>
        <w:lang w:val="en-GB"/>
      </w:rPr>
      <w:fldChar w:fldCharType="end"/>
    </w:r>
    <w:r>
      <w:rPr>
        <w:sz w:val="16"/>
        <w:szCs w:val="16"/>
        <w:lang w:val="en-GB"/>
      </w:rPr>
      <w:t xml:space="preserve"> of  </w:t>
    </w:r>
    <w:r>
      <w:rPr>
        <w:sz w:val="16"/>
        <w:szCs w:val="16"/>
        <w:lang w:val="en-GB"/>
      </w:rPr>
      <w:fldChar w:fldCharType="begin"/>
    </w:r>
    <w:r>
      <w:rPr>
        <w:sz w:val="16"/>
        <w:szCs w:val="16"/>
        <w:lang w:val="en-GB"/>
      </w:rPr>
      <w:instrText xml:space="preserve"> NUMPAGES \* ARABIC </w:instrText>
    </w:r>
    <w:r>
      <w:rPr>
        <w:sz w:val="16"/>
        <w:szCs w:val="16"/>
        <w:lang w:val="en-GB"/>
      </w:rPr>
      <w:fldChar w:fldCharType="separate"/>
    </w:r>
    <w:r>
      <w:rPr>
        <w:sz w:val="16"/>
        <w:szCs w:val="16"/>
        <w:lang w:val="en-GB"/>
      </w:rPr>
      <w:t>2</w:t>
    </w:r>
    <w:r>
      <w:rPr>
        <w:sz w:val="16"/>
        <w:szCs w:val="16"/>
        <w:lang w:val="en-GB"/>
      </w:rPr>
      <w:fldChar w:fldCharType="end"/>
    </w:r>
  </w:p>
  <w:p>
    <w:pPr>
      <w:pStyle w:val="Footer"/>
      <w:rPr/>
    </w:pPr>
    <w:r>
      <w:rPr>
        <w:sz w:val="16"/>
        <w:szCs w:val="16"/>
        <w:lang w:val="en-GB"/>
      </w:rPr>
      <w:t>GlobalPharma AG</w:t>
      <w:tab/>
      <w:tab/>
      <w:t>Confidential</w:t>
    </w:r>
  </w:p>
  <w:p>
    <w:pPr>
      <w:pStyle w:val="Footer"/>
      <w:spacing w:before="120" w:after="120"/>
      <w:rPr>
        <w:sz w:val="16"/>
        <w:szCs w:val="16"/>
        <w:lang w:val="en-GB"/>
      </w:rPr>
    </w:pPr>
    <w:r>
      <w:rPr>
        <w:sz w:val="16"/>
        <w:szCs w:val="16"/>
        <w:lang w:val="en-GB"/>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3860" w:leader="none"/>
      </w:tabs>
      <w:spacing w:before="120" w:after="120"/>
      <w:rPr/>
    </w:pPr>
    <w:r>
      <w:drawing>
        <wp:anchor behindDoc="1" distT="0" distB="0" distL="114935" distR="114935" simplePos="0" locked="0" layoutInCell="1" allowOverlap="1" relativeHeight="5">
          <wp:simplePos x="0" y="0"/>
          <wp:positionH relativeFrom="column">
            <wp:posOffset>4743450</wp:posOffset>
          </wp:positionH>
          <wp:positionV relativeFrom="paragraph">
            <wp:posOffset>-30480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1607"/>
        </w:tabs>
        <w:ind w:start="1605" w:hanging="358"/>
      </w:pPr>
      <w:rPr>
        <w:sz w:val="22"/>
        <w:u w:val="none"/>
        <w:rFonts w:ascii="Arial" w:hAnsi="Arial" w:cs="Arial"/>
      </w:rPr>
    </w:lvl>
    <w:lvl w:ilvl="1">
      <w:start w:val="1"/>
      <w:numFmt w:val="bullet"/>
      <w:lvlText w:val="•"/>
      <w:lvlJc w:val="start"/>
      <w:pPr>
        <w:tabs>
          <w:tab w:val="num" w:pos="2325"/>
        </w:tabs>
        <w:ind w:start="2325" w:hanging="471"/>
      </w:pPr>
      <w:rPr>
        <w:rFonts w:ascii="Times" w:hAnsi="Times" w:cs="Times" w:hint="default"/>
        <w:color w:val="auto"/>
      </w:rPr>
    </w:lvl>
    <w:lvl w:ilvl="2">
      <w:start w:val="1"/>
      <w:numFmt w:val="lowerRoman"/>
      <w:lvlText w:val="%3)"/>
      <w:lvlJc w:val="start"/>
      <w:pPr>
        <w:tabs>
          <w:tab w:val="num" w:pos="1080"/>
        </w:tabs>
        <w:ind w:start="1080" w:hanging="360"/>
      </w:pPr>
    </w:lvl>
    <w:lvl w:ilvl="3">
      <w:start w:val="1"/>
      <w:numFmt w:val="decimal"/>
      <w:lvlText w:val="(%4)"/>
      <w:lvlJc w:val="start"/>
      <w:pPr>
        <w:tabs>
          <w:tab w:val="num" w:pos="1440"/>
        </w:tabs>
        <w:ind w:start="1440" w:hanging="360"/>
      </w:pPr>
    </w:lvl>
    <w:lvl w:ilvl="4">
      <w:start w:val="1"/>
      <w:numFmt w:val="lowerLetter"/>
      <w:lvlText w:val="(%5)"/>
      <w:lvlJc w:val="start"/>
      <w:pPr>
        <w:tabs>
          <w:tab w:val="num" w:pos="1800"/>
        </w:tabs>
        <w:ind w:start="1800" w:hanging="360"/>
      </w:pPr>
    </w:lvl>
    <w:lvl w:ilvl="5">
      <w:start w:val="1"/>
      <w:numFmt w:val="lowerRoman"/>
      <w:lvlText w:val="(%6)"/>
      <w:lvlJc w:val="start"/>
      <w:pPr>
        <w:tabs>
          <w:tab w:val="num" w:pos="2160"/>
        </w:tabs>
        <w:ind w:start="2160" w:hanging="360"/>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decimal"/>
      <w:lvlText w:val="ARTICLE %1"/>
      <w:lvlJc w:val="start"/>
      <w:pPr>
        <w:tabs>
          <w:tab w:val="num" w:pos="1440"/>
        </w:tabs>
        <w:ind w:start="771" w:hanging="771"/>
      </w:pPr>
      <w:rPr/>
    </w:lvl>
    <w:lvl w:ilvl="1">
      <w:start w:val="1"/>
      <w:isLgl/>
      <w:numFmt w:val="decimalZero"/>
      <w:lvlText w:val="%1.%2."/>
      <w:lvlJc w:val="start"/>
      <w:pPr>
        <w:tabs>
          <w:tab w:val="num" w:pos="900"/>
        </w:tabs>
        <w:ind w:start="900" w:hanging="540"/>
      </w:pPr>
      <w:rPr/>
    </w:lvl>
    <w:lvl w:ilvl="2">
      <w:start w:val="1"/>
      <w:numFmt w:val="decimal"/>
      <w:lvlText w:val="(%3)"/>
      <w:lvlJc w:val="start"/>
      <w:pPr>
        <w:tabs>
          <w:tab w:val="num" w:pos="2520"/>
        </w:tabs>
        <w:ind w:start="2520" w:hanging="720"/>
      </w:pPr>
      <w:rPr/>
    </w:lvl>
    <w:lvl w:ilvl="3">
      <w:start w:val="1"/>
      <w:numFmt w:val="lowerLetter"/>
      <w:lvlText w:val="%4)"/>
      <w:lvlJc w:val="start"/>
      <w:pPr>
        <w:tabs>
          <w:tab w:val="num" w:pos="3960"/>
        </w:tabs>
        <w:ind w:start="3960" w:hanging="720"/>
      </w:pPr>
      <w:rPr/>
    </w:lvl>
    <w:lvl w:ilvl="4">
      <w:start w:val="1"/>
      <w:numFmt w:val="lowerRoman"/>
      <w:lvlText w:val="(%5)"/>
      <w:lvlJc w:val="start"/>
      <w:pPr>
        <w:tabs>
          <w:tab w:val="num" w:pos="5760"/>
        </w:tabs>
        <w:ind w:start="5760" w:hanging="1080"/>
      </w:pPr>
      <w:rPr/>
    </w:lvl>
    <w:lvl w:ilvl="5">
      <w:start w:val="1"/>
      <w:numFmt w:val="decimal"/>
      <w:lvlText w:val="%1.%2.%3.%4.%5.%6."/>
      <w:lvlJc w:val="start"/>
      <w:pPr>
        <w:tabs>
          <w:tab w:val="num" w:pos="7200"/>
        </w:tabs>
        <w:ind w:start="7200" w:hanging="1080"/>
      </w:pPr>
      <w:rPr/>
    </w:lvl>
    <w:lvl w:ilvl="6">
      <w:start w:val="1"/>
      <w:numFmt w:val="decimal"/>
      <w:lvlText w:val="%1.%2.%3.%4.%5.%6.%7."/>
      <w:lvlJc w:val="start"/>
      <w:pPr>
        <w:tabs>
          <w:tab w:val="num" w:pos="9000"/>
        </w:tabs>
        <w:ind w:start="9000" w:hanging="1440"/>
      </w:pPr>
      <w:rPr/>
    </w:lvl>
    <w:lvl w:ilvl="7">
      <w:start w:val="1"/>
      <w:numFmt w:val="decimal"/>
      <w:lvlText w:val="%1.%2.%3.%4.%5.%6.%7.%8."/>
      <w:lvlJc w:val="start"/>
      <w:pPr>
        <w:tabs>
          <w:tab w:val="num" w:pos="10440"/>
        </w:tabs>
        <w:ind w:start="10440" w:hanging="1440"/>
      </w:pPr>
      <w:rPr/>
    </w:lvl>
    <w:lvl w:ilvl="8">
      <w:start w:val="1"/>
      <w:numFmt w:val="decimal"/>
      <w:lvlText w:val="%1.%2.%3.%4.%5.%6.%7.%8.%9."/>
      <w:lvlJc w:val="start"/>
      <w:pPr>
        <w:tabs>
          <w:tab w:val="num" w:pos="12240"/>
        </w:tabs>
        <w:ind w:start="12240" w:hanging="1800"/>
      </w:pPr>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abstractNum>
  <w:abstractNum w:abstractNumId="8">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Arial" w:hAnsi="Arial" w:cs="Arial"/>
      <w:sz w:val="22"/>
      <w:u w:val="none"/>
    </w:rPr>
  </w:style>
  <w:style w:type="character" w:styleId="WW8Num1z1">
    <w:name w:val="WW8Num1z1"/>
    <w:qFormat/>
    <w:rPr>
      <w:rFonts w:ascii="Times" w:hAnsi="Times" w:cs="Times"/>
      <w:color w:val="auto"/>
    </w:rPr>
  </w:style>
  <w:style w:type="character" w:styleId="WW8Num2z0">
    <w:name w:val="WW8Num2z0"/>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sz w:val="22"/>
      <w:szCs w:val="22"/>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PageNumber">
    <w:name w:val="page number"/>
    <w:basedOn w:val="Absatz-Standardschriftar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6"/>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4"/>
      </w:numPr>
      <w:spacing w:before="240" w:after="240"/>
    </w:pPr>
    <w:rPr/>
  </w:style>
  <w:style w:type="paragraph" w:styleId="Bullet1Table">
    <w:name w:val="Bullet 1 Table"/>
    <w:basedOn w:val="Normal"/>
    <w:qFormat/>
    <w:pPr>
      <w:numPr>
        <w:ilvl w:val="0"/>
        <w:numId w:val="10"/>
      </w:numPr>
    </w:pPr>
    <w:rPr/>
  </w:style>
  <w:style w:type="paragraph" w:styleId="Heading1Numbered">
    <w:name w:val="Heading 1 Numbered"/>
    <w:basedOn w:val="Normal"/>
    <w:qFormat/>
    <w:pPr>
      <w:numPr>
        <w:ilvl w:val="0"/>
        <w:numId w:val="3"/>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3"/>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9"/>
      </w:numPr>
    </w:pPr>
    <w:rPr>
      <w:bCs/>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8"/>
      </w:numPr>
      <w:spacing w:before="240" w:after="240"/>
    </w:pPr>
    <w:rPr/>
  </w:style>
  <w:style w:type="paragraph" w:styleId="BodyLevel2Numbered">
    <w:name w:val="Body Level 2 Numbered"/>
    <w:basedOn w:val="Normal"/>
    <w:qFormat/>
    <w:pPr>
      <w:numPr>
        <w:ilvl w:val="0"/>
        <w:numId w:val="8"/>
      </w:numPr>
      <w:spacing w:before="240" w:after="240"/>
    </w:pPr>
    <w:rPr/>
  </w:style>
  <w:style w:type="paragraph" w:styleId="BodyLevel3Numbered">
    <w:name w:val="Body Level 3 Numbered"/>
    <w:basedOn w:val="Normal"/>
    <w:qFormat/>
    <w:pPr>
      <w:numPr>
        <w:ilvl w:val="0"/>
        <w:numId w:val="8"/>
      </w:numPr>
      <w:spacing w:before="240" w:after="240"/>
    </w:pPr>
    <w:rPr/>
  </w:style>
  <w:style w:type="paragraph" w:styleId="BodyLevel4Numbered">
    <w:name w:val="Body Level 4 Numbered"/>
    <w:basedOn w:val="Normal"/>
    <w:qFormat/>
    <w:pPr>
      <w:numPr>
        <w:ilvl w:val="0"/>
        <w:numId w:val="8"/>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Kommentartext">
    <w:name w:val="Kommentartext"/>
    <w:basedOn w:val="Normal"/>
    <w:qFormat/>
    <w:pPr/>
    <w:rPr>
      <w:sz w:val="20"/>
      <w:szCs w:val="20"/>
    </w:rPr>
  </w:style>
  <w:style w:type="paragraph" w:styleId="CommentSubject1">
    <w:name w:val="Comment Subject1"/>
    <w:basedOn w:val="Kommentartext"/>
    <w:next w:val="Kommentartext"/>
    <w:qFormat/>
    <w:pPr/>
    <w:rPr>
      <w:b/>
      <w:bCs/>
    </w:rPr>
  </w:style>
  <w:style w:type="paragraph" w:styleId="BalloonText1">
    <w:name w:val="Balloon Text1"/>
    <w:basedOn w:val="Normal"/>
    <w:qFormat/>
    <w:pPr/>
    <w:rPr>
      <w:rFonts w:ascii="Tahoma" w:hAnsi="Tahoma" w:cs="Tahoma"/>
      <w:sz w:val="16"/>
      <w:szCs w:val="16"/>
    </w:rPr>
  </w:style>
  <w:style w:type="paragraph" w:styleId="Sprechblasentext">
    <w:name w:val="Sprechblasentext"/>
    <w:basedOn w:val="Normal"/>
    <w:qFormat/>
    <w:pPr/>
    <w:rPr>
      <w:rFonts w:ascii="Tahoma" w:hAnsi="Tahoma" w:cs="Tahoma"/>
      <w:sz w:val="16"/>
      <w:szCs w:val="16"/>
    </w:rPr>
  </w:style>
  <w:style w:type="paragraph" w:styleId="ScheduleL1">
    <w:name w:val="Schedule L1"/>
    <w:basedOn w:val="Normal"/>
    <w:qFormat/>
    <w:pPr>
      <w:spacing w:before="0" w:after="0"/>
      <w:jc w:val="center"/>
      <w:outlineLvl w:val="0"/>
    </w:pPr>
    <w:rPr>
      <w:b/>
      <w:bCs/>
      <w:szCs w:val="20"/>
      <w:lang w:val="en-GB"/>
    </w:rPr>
  </w:style>
  <w:style w:type="paragraph" w:styleId="Heading2Text">
    <w:name w:val="Heading 2 Text"/>
    <w:basedOn w:val="Normal"/>
    <w:qFormat/>
    <w:pPr>
      <w:spacing w:before="0" w:after="240"/>
      <w:ind w:hanging="0" w:start="720" w:end="0"/>
      <w:jc w:val="both"/>
    </w:pPr>
    <w:rPr>
      <w:szCs w:val="20"/>
      <w:lang w:val="en-AU"/>
    </w:rPr>
  </w:style>
  <w:style w:type="paragraph" w:styleId="ScheduleHdg2">
    <w:name w:val="ScheduleHdg2"/>
    <w:basedOn w:val="Normal"/>
    <w:qFormat/>
    <w:pPr>
      <w:keepNext w:val="true"/>
      <w:spacing w:before="0" w:after="240"/>
      <w:jc w:val="center"/>
      <w:outlineLvl w:val="1"/>
    </w:pPr>
    <w:rPr>
      <w:b/>
      <w:szCs w:val="20"/>
    </w:rPr>
  </w:style>
  <w:style w:type="paragraph" w:styleId="HEADING11">
    <w:name w:val="HEADING 11"/>
    <w:basedOn w:val="Normal"/>
    <w:next w:val="Normal"/>
    <w:qFormat/>
    <w:pPr>
      <w:keepNext w:val="true"/>
      <w:numPr>
        <w:ilvl w:val="0"/>
        <w:numId w:val="5"/>
      </w:numPr>
      <w:spacing w:before="240" w:after="240"/>
      <w:ind w:hanging="0" w:start="0" w:end="0"/>
    </w:pPr>
    <w:rPr>
      <w:b/>
      <w:bCs/>
      <w:caps/>
      <w:sz w:val="24"/>
      <w:u w:val="single"/>
      <w:lang w:val="en-GB"/>
    </w:rPr>
  </w:style>
  <w:style w:type="paragraph" w:styleId="Heading21">
    <w:name w:val="Heading 21"/>
    <w:basedOn w:val="HEADING11"/>
    <w:next w:val="Normal"/>
    <w:qFormat/>
    <w:pPr>
      <w:numPr>
        <w:ilvl w:val="0"/>
        <w:numId w:val="5"/>
      </w:numPr>
      <w:tabs>
        <w:tab w:val="clear" w:pos="720"/>
        <w:tab w:val="left" w:pos="2127" w:leader="none"/>
      </w:tabs>
      <w:spacing w:before="120" w:after="240"/>
      <w:ind w:hanging="590" w:start="874" w:end="0"/>
    </w:pPr>
    <w:rPr>
      <w:b w:val="false"/>
      <w:caps w:val="false"/>
      <w:smallCaps w:val="false"/>
      <w:sz w:val="22"/>
    </w:rPr>
  </w:style>
  <w:style w:type="paragraph" w:styleId="Bodytext1">
    <w:name w:val="Body text1"/>
    <w:basedOn w:val="Normal"/>
    <w:qFormat/>
    <w:pPr>
      <w:tabs>
        <w:tab w:val="clear" w:pos="720"/>
        <w:tab w:val="left" w:pos="7200" w:leader="none"/>
      </w:tabs>
      <w:jc w:val="both"/>
    </w:pPr>
    <w:rPr>
      <w:lang w:val="en-GB"/>
    </w:rPr>
  </w:style>
  <w:style w:type="paragraph" w:styleId="Bullet">
    <w:name w:val="Bullet"/>
    <w:basedOn w:val="Bodytext1"/>
    <w:qFormat/>
    <w:pPr>
      <w:numPr>
        <w:ilvl w:val="0"/>
        <w:numId w:val="7"/>
      </w:numPr>
      <w:tabs>
        <w:tab w:val="left" w:pos="1260" w:leader="none"/>
        <w:tab w:val="left" w:pos="7200" w:leader="none"/>
      </w:tabs>
      <w:ind w:hanging="0" w:start="1260" w:end="0"/>
    </w:pPr>
    <w:rPr/>
  </w:style>
  <w:style w:type="paragraph" w:styleId="Heading31">
    <w:name w:val="Heading 31"/>
    <w:basedOn w:val="Bodytext1"/>
    <w:qFormat/>
    <w:pPr>
      <w:numPr>
        <w:ilvl w:val="0"/>
        <w:numId w:val="5"/>
      </w:numPr>
      <w:tabs>
        <w:tab w:val="clear" w:pos="7200"/>
      </w:tabs>
      <w:ind w:hanging="0" w:start="567" w:end="0"/>
    </w:pPr>
    <w:rPr/>
  </w:style>
  <w:style w:type="paragraph" w:styleId="Heading41">
    <w:name w:val="Heading 41"/>
    <w:basedOn w:val="Heading31"/>
    <w:qFormat/>
    <w:pPr>
      <w:numPr>
        <w:ilvl w:val="0"/>
        <w:numId w:val="5"/>
      </w:numPr>
      <w:ind w:hanging="0" w:start="851" w:end="0"/>
    </w:pPr>
    <w:rPr/>
  </w:style>
  <w:style w:type="paragraph" w:styleId="Heading51">
    <w:name w:val="Heading 51"/>
    <w:basedOn w:val="Heading31"/>
    <w:qFormat/>
    <w:pPr>
      <w:numPr>
        <w:ilvl w:val="0"/>
        <w:numId w:val="5"/>
      </w:numPr>
      <w:tabs>
        <w:tab w:val="left" w:pos="2127" w:leader="none"/>
      </w:tabs>
      <w:ind w:hanging="0" w:start="1134" w:end="0"/>
    </w:pPr>
    <w:rPr/>
  </w:style>
  <w:style w:type="paragraph" w:styleId="BodytextHM">
    <w:name w:val="Body text HM"/>
    <w:basedOn w:val="Normal"/>
    <w:qFormat/>
    <w:pPr>
      <w:tabs>
        <w:tab w:val="clear" w:pos="720"/>
        <w:tab w:val="left" w:pos="709" w:leader="none"/>
      </w:tabs>
      <w:spacing w:before="0" w:after="180"/>
      <w:ind w:hanging="0" w:start="709" w:end="0"/>
    </w:pPr>
    <w:rPr>
      <w:rFonts w:ascii="Arial" w:hAnsi="Arial" w:cs="Arial"/>
      <w:szCs w:val="20"/>
    </w:rPr>
  </w:style>
  <w:style w:type="paragraph" w:styleId="FourthLevelaHM">
    <w:name w:val="Fourth Level a. HM"/>
    <w:basedOn w:val="Normal"/>
    <w:qFormat/>
    <w:pPr>
      <w:numPr>
        <w:ilvl w:val="0"/>
        <w:numId w:val="2"/>
      </w:numPr>
      <w:spacing w:before="0" w:after="180"/>
    </w:pPr>
    <w:rPr>
      <w:rFonts w:ascii="Arial" w:hAnsi="Arial" w:cs="Arial"/>
      <w:szCs w:val="20"/>
    </w:rPr>
  </w:style>
  <w:style w:type="paragraph" w:styleId="StyleTitre1Centr">
    <w:name w:val="Style Titre 1 + Centré"/>
    <w:basedOn w:val="Heading1"/>
    <w:qFormat/>
    <w:pPr>
      <w:numPr>
        <w:ilvl w:val="0"/>
        <w:numId w:val="0"/>
      </w:numPr>
      <w:jc w:val="center"/>
      <w:outlineLvl w:val="9"/>
    </w:pPr>
    <w:rPr>
      <w:rFonts w:cs="Times New Roman"/>
      <w:caps w:val="false"/>
      <w:smallCaps w:val="false"/>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2007-01-29T20:36:00Z</dcterms:created>
  <dc:creator>TPI</dc:creator>
  <dc:description>RFP8 Exhibit 6 Governance Model (A4).
Version 1 - 110102</dc:description>
  <dc:language>en-US</dc:language>
  <cp:lastModifiedBy>Wenger Plattner</cp:lastModifiedBy>
  <cp:lastPrinted>2007-01-29T16:06:00Z</cp:lastPrinted>
  <dcterms:modified xsi:type="dcterms:W3CDTF">2007-01-29T20:36:00Z</dcterms:modified>
  <cp:revision>2</cp:revision>
  <dc:subject/>
  <dc:title>RFP8 Exhibit 6 Governance Model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Released</vt:lpwstr>
  </property>
</Properties>
</file>