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2.0</w:t>
      </w:r>
    </w:p>
    <w:p>
      <w:pPr>
        <w:pStyle w:val="Titel"/>
        <w:rPr/>
      </w:pPr>
      <w:r>
        <w:rPr>
          <w:rFonts w:cs="Arial" w:ascii="Arial" w:hAnsi="Arial"/>
        </w:rPr>
        <w:t>Statements of work</w:t>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el"/>
        <w:rPr>
          <w:rFonts w:ascii="Verdana" w:hAnsi="Verdana" w:cs="Verdana"/>
          <w:sz w:val="20"/>
          <w:szCs w:val="20"/>
        </w:rPr>
      </w:pPr>
      <w:r>
        <w:rPr>
          <w:rFonts w:cs="Verdana" w:ascii="Verdana" w:hAnsi="Verdana"/>
          <w:sz w:val="20"/>
          <w:szCs w:val="20"/>
        </w:rPr>
      </w:r>
    </w:p>
    <w:p>
      <w:pPr>
        <w:pStyle w:val="Titel"/>
        <w:rPr>
          <w:rFonts w:ascii="Verdana" w:hAnsi="Verdana" w:cs="Verdana"/>
          <w:sz w:val="20"/>
          <w:szCs w:val="20"/>
        </w:rPr>
      </w:pPr>
      <w:r>
        <w:rPr>
          <w:rFonts w:cs="Verdana" w:ascii="Verdana" w:hAnsi="Verdana"/>
          <w:sz w:val="20"/>
          <w:szCs w:val="20"/>
        </w:rPr>
      </w:r>
    </w:p>
    <w:p>
      <w:pPr>
        <w:pStyle w:val="Normal"/>
        <w:jc w:val="center"/>
        <w:rPr>
          <w:rFonts w:ascii="Verdana" w:hAnsi="Verdana" w:cs="Verdana"/>
          <w:sz w:val="20"/>
          <w:szCs w:val="20"/>
        </w:rPr>
      </w:pPr>
      <w:r>
        <w:rPr>
          <w:rFonts w:cs="Verdana" w:ascii="Verdana" w:hAnsi="Verdana"/>
          <w:sz w:val="20"/>
          <w:szCs w:val="20"/>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pBdr>
          <w:top w:val="single" w:sz="4" w:space="1" w:color="000000"/>
          <w:left w:val="single" w:sz="4" w:space="4" w:color="000000"/>
          <w:bottom w:val="single" w:sz="4" w:space="1" w:color="000000"/>
          <w:right w:val="single" w:sz="4" w:space="4" w:color="000000"/>
        </w:pBdr>
        <w:jc w:val="center"/>
        <w:rPr>
          <w:rFonts w:ascii="Arial" w:hAnsi="Arial" w:cs="Arial"/>
          <w:sz w:val="24"/>
        </w:rPr>
      </w:pPr>
      <w:r>
        <w:rPr>
          <w:rFonts w:cs="Arial" w:ascii="Arial" w:hAnsi="Arial"/>
          <w:sz w:val="24"/>
        </w:rPr>
      </w:r>
    </w:p>
    <w:p>
      <w:pPr>
        <w:pStyle w:val="Normal"/>
        <w:pBdr>
          <w:top w:val="single" w:sz="4" w:space="1" w:color="000000"/>
          <w:left w:val="single" w:sz="4" w:space="4" w:color="000000"/>
          <w:bottom w:val="single" w:sz="4" w:space="1" w:color="000000"/>
          <w:right w:val="single" w:sz="4" w:space="4" w:color="000000"/>
        </w:pBdr>
        <w:jc w:val="center"/>
        <w:rPr>
          <w:rFonts w:ascii="Arial" w:hAnsi="Arial" w:cs="Arial"/>
          <w:sz w:val="24"/>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pBdr>
          <w:top w:val="single" w:sz="4" w:space="1" w:color="000000"/>
          <w:left w:val="single" w:sz="4" w:space="4" w:color="000000"/>
          <w:bottom w:val="single" w:sz="4" w:space="1" w:color="000000"/>
          <w:right w:val="single" w:sz="4" w:space="4" w:color="000000"/>
        </w:pBdr>
        <w:jc w:val="center"/>
        <w:rPr>
          <w:rFonts w:ascii="Arial" w:hAnsi="Arial" w:cs="Arial"/>
          <w:sz w:val="24"/>
        </w:rPr>
      </w:pPr>
      <w:r>
        <w:rPr>
          <w:rFonts w:cs="Arial" w:ascii="Arial" w:hAnsi="Arial"/>
          <w:sz w:val="24"/>
        </w:rPr>
      </w:r>
      <w:r>
        <w:br w:type="page"/>
      </w:r>
    </w:p>
    <w:p>
      <w:pPr>
        <w:pStyle w:val="Titel"/>
        <w:jc w:val="start"/>
        <w:rPr/>
      </w:pPr>
      <w:r>
        <w:rPr/>
        <w:t>Table of Contents</w:t>
      </w:r>
    </w:p>
    <w:sdt>
      <w:sdtPr>
        <w:docPartObj>
          <w:docPartGallery w:val="Table of Contents"/>
          <w:docPartUnique w:val="true"/>
        </w:docPartObj>
      </w:sdtPr>
      <w:sdtContent>
        <w:p>
          <w:pPr>
            <w:pStyle w:val="TOC1"/>
            <w:tabs>
              <w:tab w:val="clear" w:pos="720"/>
              <w:tab w:val="left" w:pos="440" w:leader="none"/>
              <w:tab w:val="right" w:pos="9061" w:leader="dot"/>
            </w:tabs>
            <w:rPr>
              <w:b w:val="false"/>
              <w:bCs w:val="false"/>
              <w:caps w:val="false"/>
              <w:smallCaps w:val="false"/>
              <w:sz w:val="24"/>
              <w:szCs w:val="24"/>
              <w:lang w:val="de-CH" w:eastAsia="en-US"/>
            </w:rPr>
          </w:pPr>
          <w:r>
            <w:fldChar w:fldCharType="begin"/>
          </w:r>
          <w:r>
            <w:rPr>
              <w:rStyle w:val="IndexLink"/>
              <w:lang w:val="en-GB" w:eastAsia="en-US"/>
            </w:rPr>
            <w:instrText xml:space="preserve"> TOC \o "2-2" \h \z \t "Überschrift 1;1" </w:instrText>
          </w:r>
          <w:r>
            <w:rPr>
              <w:rStyle w:val="IndexLink"/>
              <w:lang w:val="en-GB" w:eastAsia="en-US"/>
            </w:rPr>
            <w:fldChar w:fldCharType="separate"/>
          </w:r>
          <w:hyperlink w:anchor="__RefHeading___Toc157769510">
            <w:r>
              <w:rPr>
                <w:rStyle w:val="IndexLink"/>
                <w:lang w:val="en-GB" w:eastAsia="en-US"/>
              </w:rPr>
              <w:t>1.</w:t>
            </w:r>
            <w:r>
              <w:rPr>
                <w:rStyle w:val="IndexLink"/>
                <w:b w:val="false"/>
                <w:bCs w:val="false"/>
                <w:caps w:val="false"/>
                <w:smallCaps w:val="false"/>
                <w:sz w:val="24"/>
                <w:szCs w:val="24"/>
                <w:lang w:val="de-CH" w:eastAsia="en-US"/>
              </w:rPr>
              <w:tab/>
            </w:r>
            <w:r>
              <w:rPr>
                <w:rStyle w:val="IndexLink"/>
                <w:lang w:val="en-US" w:eastAsia="en-US"/>
              </w:rPr>
              <w:t>Introduction</w:t>
              <w:tab/>
              <w:t>3</w:t>
            </w:r>
          </w:hyperlink>
        </w:p>
        <w:p>
          <w:pPr>
            <w:pStyle w:val="TOC2"/>
            <w:tabs>
              <w:tab w:val="clear" w:pos="720"/>
              <w:tab w:val="left" w:pos="880" w:leader="none"/>
              <w:tab w:val="right" w:pos="9061" w:leader="dot"/>
            </w:tabs>
            <w:rPr>
              <w:caps w:val="false"/>
              <w:smallCaps w:val="false"/>
              <w:sz w:val="24"/>
              <w:szCs w:val="24"/>
              <w:lang w:val="de-CH" w:eastAsia="en-US"/>
            </w:rPr>
          </w:pPr>
          <w:hyperlink w:anchor="__RefHeading___Toc157769511">
            <w:r>
              <w:rPr>
                <w:rStyle w:val="IndexLink"/>
                <w:rFonts w:cs="Times New Roman Bold;Times New Roman" w:ascii="Times New Roman Bold;Times New Roman" w:hAnsi="Times New Roman Bold;Times New Roman"/>
                <w:lang w:val="en-GB" w:eastAsia="en-US"/>
              </w:rPr>
              <w:t>1.1.</w:t>
            </w:r>
            <w:r>
              <w:rPr>
                <w:rStyle w:val="IndexLink"/>
                <w:caps w:val="false"/>
                <w:smallCaps w:val="false"/>
                <w:sz w:val="24"/>
                <w:szCs w:val="24"/>
                <w:lang w:val="de-CH" w:eastAsia="en-US"/>
              </w:rPr>
              <w:tab/>
            </w:r>
            <w:r>
              <w:rPr>
                <w:rStyle w:val="IndexLink"/>
                <w:lang w:val="en-US" w:eastAsia="en-US"/>
              </w:rPr>
              <w:t>The following documents comprise the Statements of Work under The Agreements:</w:t>
              <w:tab/>
              <w:t>3</w:t>
            </w:r>
          </w:hyperlink>
        </w:p>
        <w:p>
          <w:pPr>
            <w:pStyle w:val="TOC2"/>
            <w:tabs>
              <w:tab w:val="clear" w:pos="720"/>
              <w:tab w:val="left" w:pos="880" w:leader="none"/>
              <w:tab w:val="right" w:pos="9061" w:leader="dot"/>
            </w:tabs>
            <w:rPr>
              <w:sz w:val="24"/>
              <w:szCs w:val="24"/>
              <w:lang w:val="de-CH" w:eastAsia="en-US"/>
            </w:rPr>
          </w:pPr>
          <w:hyperlink w:anchor="__RefHeading___Toc157769512">
            <w:r>
              <w:rPr>
                <w:rStyle w:val="IndexLink"/>
                <w:rFonts w:cs="Times New Roman Bold;Times New Roman" w:ascii="Times New Roman Bold;Times New Roman" w:hAnsi="Times New Roman Bold;Times New Roman"/>
                <w:caps w:val="false"/>
                <w:smallCaps w:val="false"/>
                <w:lang w:val="en-GB" w:eastAsia="en-US"/>
              </w:rPr>
              <w:t>1.2.</w:t>
            </w:r>
            <w:r>
              <w:rPr>
                <w:rStyle w:val="IndexLink"/>
                <w:caps w:val="false"/>
                <w:smallCaps w:val="false"/>
                <w:sz w:val="24"/>
                <w:szCs w:val="24"/>
                <w:lang w:val="de-CH" w:eastAsia="en-US"/>
              </w:rPr>
              <w:tab/>
            </w:r>
            <w:r>
              <w:rPr>
                <w:rStyle w:val="IndexLink"/>
                <w:caps w:val="false"/>
                <w:smallCaps w:val="false"/>
                <w:lang w:val="en-US" w:eastAsia="en-US"/>
              </w:rPr>
              <w:t>The Service Provider’s responsibilities are :</w:t>
              <w:tab/>
              <w:t>3</w:t>
            </w:r>
          </w:hyperlink>
          <w:r>
            <w:rPr>
              <w:rStyle w:val="IndexLink"/>
              <w:smallCaps w:val="false"/>
              <w:caps w:val="false"/>
              <w:lang w:val="en-US" w:eastAsia="en-US"/>
            </w:rPr>
            <w:fldChar w:fldCharType="end"/>
          </w:r>
        </w:p>
      </w:sdtContent>
    </w:sdt>
    <w:p>
      <w:pPr>
        <w:pStyle w:val="Normal"/>
        <w:numPr>
          <w:ilvl w:val="0"/>
          <w:numId w:val="0"/>
        </w:numPr>
        <w:ind w:hanging="540" w:start="540" w:end="0"/>
        <w:rPr>
          <w:smallCaps/>
          <w:sz w:val="24"/>
          <w:szCs w:val="24"/>
          <w:lang w:val="de-CH" w:eastAsia="en-US"/>
        </w:rPr>
      </w:pPr>
      <w:r>
        <w:rPr>
          <w:smallCaps/>
          <w:sz w:val="24"/>
          <w:szCs w:val="24"/>
          <w:lang w:val="de-CH" w:eastAsia="en-US"/>
        </w:rPr>
      </w:r>
      <w:r>
        <w:br w:type="page"/>
      </w:r>
    </w:p>
    <w:p>
      <w:pPr>
        <w:pStyle w:val="Normal"/>
        <w:ind w:start="540" w:end="0"/>
        <w:rPr>
          <w:rFonts w:ascii="Verdana" w:hAnsi="Verdana" w:cs="Verdana"/>
          <w:sz w:val="20"/>
          <w:szCs w:val="20"/>
        </w:rPr>
      </w:pPr>
      <w:r>
        <w:rPr>
          <w:rFonts w:cs="Verdana" w:ascii="Verdana" w:hAnsi="Verdana"/>
          <w:sz w:val="20"/>
          <w:szCs w:val="20"/>
        </w:rPr>
      </w:r>
    </w:p>
    <w:p>
      <w:pPr>
        <w:pStyle w:val="Heading1"/>
        <w:numPr>
          <w:ilvl w:val="0"/>
          <w:numId w:val="14"/>
        </w:numPr>
        <w:rPr/>
      </w:pPr>
      <w:bookmarkStart w:id="0" w:name="__RefHeading___Toc157769510"/>
      <w:bookmarkEnd w:id="0"/>
      <w:r>
        <w:rPr/>
        <w:t>Introduction</w:t>
      </w:r>
    </w:p>
    <w:p>
      <w:pPr>
        <w:pStyle w:val="Heading2"/>
        <w:numPr>
          <w:ilvl w:val="1"/>
          <w:numId w:val="14"/>
        </w:numPr>
        <w:rPr/>
      </w:pPr>
      <w:bookmarkStart w:id="1" w:name="__RefHeading___Toc157769511"/>
      <w:bookmarkEnd w:id="1"/>
      <w:r>
        <w:rPr/>
        <w:t>The following documents comprise the Statements of Work under The Agreements:</w:t>
      </w:r>
    </w:p>
    <w:p>
      <w:pPr>
        <w:pStyle w:val="Heading3"/>
        <w:numPr>
          <w:ilvl w:val="2"/>
          <w:numId w:val="14"/>
        </w:numPr>
        <w:ind w:hanging="851" w:start="851"/>
        <w:rPr/>
      </w:pPr>
      <w:r>
        <w:rPr/>
        <w:t>Exhibit 2.1 Cross-Functional (CF)</w:t>
      </w:r>
    </w:p>
    <w:p>
      <w:pPr>
        <w:pStyle w:val="Heading3"/>
        <w:numPr>
          <w:ilvl w:val="2"/>
          <w:numId w:val="14"/>
        </w:numPr>
        <w:ind w:hanging="851" w:start="851"/>
        <w:rPr/>
      </w:pPr>
      <w:r>
        <w:rPr/>
        <w:t>Exhibit 2.2 General Accounting (GA)</w:t>
      </w:r>
    </w:p>
    <w:p>
      <w:pPr>
        <w:pStyle w:val="Heading3"/>
        <w:numPr>
          <w:ilvl w:val="2"/>
          <w:numId w:val="14"/>
        </w:numPr>
        <w:ind w:hanging="851" w:start="851"/>
        <w:rPr/>
      </w:pPr>
      <w:r>
        <w:rPr/>
        <w:t>Exhibit 2.3 Fixed Asset management (FA)</w:t>
      </w:r>
    </w:p>
    <w:p>
      <w:pPr>
        <w:pStyle w:val="Heading3"/>
        <w:numPr>
          <w:ilvl w:val="2"/>
          <w:numId w:val="14"/>
        </w:numPr>
        <w:ind w:hanging="851" w:start="851"/>
        <w:rPr/>
      </w:pPr>
      <w:r>
        <w:rPr/>
        <w:t>Exhibit 2.4 Requisition to Pay (RTP)</w:t>
      </w:r>
    </w:p>
    <w:p>
      <w:pPr>
        <w:pStyle w:val="Heading3"/>
        <w:numPr>
          <w:ilvl w:val="2"/>
          <w:numId w:val="14"/>
        </w:numPr>
        <w:ind w:hanging="851" w:start="851"/>
        <w:rPr/>
      </w:pPr>
      <w:r>
        <w:rPr/>
        <w:t>Exhibit 2.5 Accounts Payables (AP)</w:t>
      </w:r>
    </w:p>
    <w:p>
      <w:pPr>
        <w:pStyle w:val="Heading3"/>
        <w:numPr>
          <w:ilvl w:val="2"/>
          <w:numId w:val="14"/>
        </w:numPr>
        <w:ind w:hanging="851" w:start="851"/>
        <w:rPr>
          <w:lang w:val="fr-FR"/>
        </w:rPr>
      </w:pPr>
      <w:r>
        <w:rPr>
          <w:lang w:val="fr-FR"/>
        </w:rPr>
        <w:t>Exhibit 2.6 Travel &amp; Entertainment (T&amp;E)</w:t>
      </w:r>
    </w:p>
    <w:p>
      <w:pPr>
        <w:pStyle w:val="Heading3"/>
        <w:numPr>
          <w:ilvl w:val="2"/>
          <w:numId w:val="14"/>
        </w:numPr>
        <w:ind w:hanging="851" w:start="851"/>
        <w:rPr/>
      </w:pPr>
      <w:r>
        <w:rPr/>
        <w:t>Exhibit 2.7 Order to Cash (OTC)</w:t>
      </w:r>
    </w:p>
    <w:p>
      <w:pPr>
        <w:pStyle w:val="Heading3"/>
        <w:numPr>
          <w:ilvl w:val="2"/>
          <w:numId w:val="14"/>
        </w:numPr>
        <w:ind w:hanging="851" w:start="851"/>
        <w:rPr/>
      </w:pPr>
      <w:r>
        <w:rPr/>
        <w:t>Exhibit 2.8 Finance &amp; Accounting Business Process Services GlobalPharma’ Internal Controls Compliance Support</w:t>
      </w:r>
    </w:p>
    <w:p>
      <w:pPr>
        <w:pStyle w:val="Heading3"/>
        <w:numPr>
          <w:ilvl w:val="2"/>
          <w:numId w:val="14"/>
        </w:numPr>
        <w:ind w:hanging="851" w:start="851"/>
        <w:rPr/>
      </w:pPr>
      <w:r>
        <w:rPr/>
        <w:t>and all other Exhibits and Attachments that are part of The Agreements that are necessary to deliver the Services.</w:t>
      </w:r>
    </w:p>
    <w:p>
      <w:pPr>
        <w:pStyle w:val="Heading2"/>
        <w:numPr>
          <w:ilvl w:val="1"/>
          <w:numId w:val="14"/>
        </w:numPr>
        <w:rPr/>
      </w:pPr>
      <w:bookmarkStart w:id="2" w:name="__RefHeading___Toc157769512"/>
      <w:bookmarkEnd w:id="2"/>
      <w:r>
        <w:rPr/>
        <w:t>The Service Provider’s responsibilities are:</w:t>
      </w:r>
    </w:p>
    <w:p>
      <w:pPr>
        <w:pStyle w:val="Heading3"/>
        <w:numPr>
          <w:ilvl w:val="0"/>
          <w:numId w:val="7"/>
        </w:numPr>
        <w:rPr/>
      </w:pPr>
      <w:r>
        <w:rPr/>
        <w:t>Perform all Services as described in the Exhibits mentioned in Section 1.1 as of the Commencement Date unless otherwise specified.</w:t>
      </w:r>
    </w:p>
    <w:p>
      <w:pPr>
        <w:pStyle w:val="Heading3"/>
        <w:numPr>
          <w:ilvl w:val="0"/>
          <w:numId w:val="7"/>
        </w:numPr>
        <w:rPr/>
      </w:pPr>
      <w:r>
        <w:rPr/>
        <w:t>Perform all services, tasks, obligations and responsibilities described in these Exhibits at or above applicable Service Levels and in accordance with the terms of the Agreement as of the Commencement Date unless otherwise specified.</w:t>
      </w:r>
    </w:p>
    <w:p>
      <w:pPr>
        <w:pStyle w:val="Heading3"/>
        <w:numPr>
          <w:ilvl w:val="0"/>
          <w:numId w:val="7"/>
        </w:numPr>
        <w:rPr/>
      </w:pPr>
      <w:r>
        <w:rPr/>
        <w:t>As part of the Services and the Base Charges, and at no additional charge, fee, cost or expense to GlobalPharma, the Service Provider shall provide all of the Services described in these Exhibits including all in-scope activities performed by Affected Employees.</w:t>
      </w:r>
    </w:p>
    <w:p>
      <w:pPr>
        <w:pStyle w:val="Heading2"/>
        <w:numPr>
          <w:ilvl w:val="0"/>
          <w:numId w:val="0"/>
        </w:numPr>
        <w:ind w:hanging="0" w:start="0"/>
        <w:rPr/>
      </w:pPr>
      <w:r>
        <w:rPr/>
      </w:r>
    </w:p>
    <w:sectPr>
      <w:headerReference w:type="default" r:id="rId2"/>
      <w:footerReference w:type="default" r:id="rId3"/>
      <w:type w:val="nextPage"/>
      <w:pgSz w:w="11906" w:h="16838"/>
      <w:pgMar w:left="1418" w:right="1418" w:gutter="0" w:header="181" w:top="720" w:footer="256" w:bottom="85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Arial Unicode MS">
    <w:charset w:val="80"/>
    <w:family w:val="swiss"/>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6" w:color="000000"/>
      </w:pBdr>
      <w:tabs>
        <w:tab w:val="clear" w:pos="4320"/>
        <w:tab w:val="clear" w:pos="8640"/>
        <w:tab w:val="center" w:pos="4680" w:leader="none"/>
        <w:tab w:val="center" w:pos="7200" w:leader="none"/>
        <w:tab w:val="right" w:pos="14400" w:leader="none"/>
      </w:tabs>
      <w:spacing w:before="120" w:after="120"/>
      <w:jc w:val="center"/>
      <w:rPr>
        <w:rFonts w:ascii="Arial" w:hAnsi="Arial" w:cs="Arial"/>
        <w:i/>
        <w:i/>
        <w:sz w:val="20"/>
        <w:szCs w:val="22"/>
      </w:rPr>
    </w:pPr>
    <w:r>
      <w:rPr>
        <w:rFonts w:cs="Arial" w:ascii="Arial" w:hAnsi="Arial"/>
        <w:i/>
        <w:sz w:val="20"/>
        <w:szCs w:val="22"/>
      </w:rPr>
      <w:t>GlobalPharma and ServicePro Confidential</w:t>
    </w:r>
  </w:p>
  <w:p>
    <w:pPr>
      <w:pStyle w:val="Footer"/>
      <w:tabs>
        <w:tab w:val="clear" w:pos="4320"/>
        <w:tab w:val="clear" w:pos="8640"/>
        <w:tab w:val="center" w:pos="4680" w:leader="none"/>
        <w:tab w:val="center" w:pos="7200" w:leader="none"/>
        <w:tab w:val="right" w:pos="14400" w:leader="none"/>
      </w:tabs>
      <w:spacing w:before="120" w:after="120"/>
      <w:jc w:val="center"/>
      <w:rPr>
        <w:rFonts w:ascii="Arial" w:hAnsi="Arial" w:cs="Arial"/>
        <w:i/>
        <w:i/>
        <w:sz w:val="20"/>
        <w:szCs w:val="22"/>
      </w:rPr>
    </w:pPr>
    <w:r>
      <w:rPr>
        <w:rFonts w:cs="Arial" w:ascii="Arial" w:hAnsi="Arial"/>
        <w:i/>
        <w:sz w:val="20"/>
        <w:szCs w:val="22"/>
      </w:rPr>
      <w:fldChar w:fldCharType="begin"/>
    </w:r>
    <w:r>
      <w:rPr>
        <w:sz w:val="20"/>
        <w:i/>
        <w:szCs w:val="22"/>
        <w:rFonts w:cs="Arial" w:ascii="Arial" w:hAnsi="Arial"/>
      </w:rPr>
      <w:instrText xml:space="preserve"> PAGE </w:instrText>
    </w:r>
    <w:r>
      <w:rPr>
        <w:sz w:val="20"/>
        <w:i/>
        <w:szCs w:val="22"/>
        <w:rFonts w:cs="Arial" w:ascii="Arial" w:hAnsi="Arial"/>
      </w:rPr>
      <w:fldChar w:fldCharType="separate"/>
    </w:r>
    <w:r>
      <w:rPr>
        <w:sz w:val="20"/>
        <w:i/>
        <w:szCs w:val="22"/>
        <w:rFonts w:cs="Arial" w:ascii="Arial" w:hAnsi="Arial"/>
      </w:rPr>
      <w:t>3</w:t>
    </w:r>
    <w:r>
      <w:rPr>
        <w:sz w:val="20"/>
        <w:i/>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14400" w:leader="none"/>
      </w:tabs>
      <w:spacing w:before="120" w:after="120"/>
      <w:rPr/>
    </w:pPr>
    <w:r>
      <w:rPr/>
      <w:drawing>
        <wp:anchor behindDoc="1" distT="0" distB="0" distL="114935" distR="114935" simplePos="0" locked="0" layoutInCell="1" allowOverlap="1" relativeHeight="7">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10">
          <wp:simplePos x="0" y="0"/>
          <wp:positionH relativeFrom="column">
            <wp:posOffset>4743450</wp:posOffset>
          </wp:positionH>
          <wp:positionV relativeFrom="paragraph">
            <wp:posOffset>-28575</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494155" cy="345440"/>
                  </a:xfrm>
                  <a:prstGeom prst="rect">
                    <a:avLst/>
                  </a:prstGeom>
                  <a:noFill/>
                </pic:spPr>
              </pic:pic>
            </a:graphicData>
          </a:graphic>
        </wp:inline>
      </w:drawing>
    </w:r>
  </w:p>
  <w:p>
    <w:pPr>
      <w:pStyle w:val="Header"/>
      <w:pBdr>
        <w:bottom w:val="single" w:sz="4" w:space="1" w:color="000000"/>
      </w:pBdr>
      <w:tabs>
        <w:tab w:val="clear" w:pos="4320"/>
        <w:tab w:val="clear" w:pos="8640"/>
        <w:tab w:val="right" w:pos="14400" w:leader="none"/>
      </w:tabs>
      <w:spacing w:before="120" w:after="120"/>
      <w:rPr/>
    </w:pPr>
    <w:r>
      <w:rPr/>
      <w:tab/>
      <w:tab/>
      <w:tab/>
      <w:tab/>
      <w:tab/>
      <w:t>Exhibit 2.0 FINAL (clean) 15 January 07.doc</w:t>
    </w:r>
    <w:r>
      <w:rPr/>
    </w:r>
    <w:r>
      <w:rPr/>
    </w:r>
    <w:r>
      <w:rPr/>
    </w:r>
    <w:r>
      <w:rPr/>
    </w: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decimal"/>
      <w:lvlText w:val="%1"/>
      <w:lvlJc w:val="start"/>
      <w:pPr>
        <w:tabs>
          <w:tab w:val="num" w:pos="432"/>
        </w:tabs>
        <w:ind w:start="432" w:hanging="432"/>
      </w:pPr>
      <w:rPr>
        <w:sz w:val="28"/>
        <w:i w:val="false"/>
        <w:b/>
      </w:rPr>
    </w:lvl>
    <w:lvl w:ilvl="1">
      <w:start w:val="1"/>
      <w:numFmt w:val="decimal"/>
      <w:lvlText w:val="%1.%2"/>
      <w:lvlJc w:val="start"/>
      <w:pPr>
        <w:tabs>
          <w:tab w:val="num" w:pos="576"/>
        </w:tabs>
        <w:ind w:start="576" w:hanging="576"/>
      </w:pPr>
      <w:rPr>
        <w:smallCaps w:val="false"/>
        <w:caps w:val="false"/>
        <w:outline w:val="false"/>
        <w:dstrike w:val="false"/>
        <w:strike w:val="false"/>
        <w:vertAlign w:val="baseline"/>
        <w:position w:val="0"/>
        <w:sz w:val="24"/>
        <w:spacing w:val="0"/>
        <w:i w:val="false"/>
        <w:shadow w:val="false"/>
        <w:u w:val="none"/>
        <w:kern w:val="0"/>
        <w:iCs w:val="false"/>
        <w:bCs w:val="false"/>
        <w:em w:val="none"/>
        <w:vanish w:val="false"/>
      </w:rPr>
    </w:lvl>
    <w:lvl w:ilvl="2">
      <w:start w:val="1"/>
      <w:numFmt w:val="decimal"/>
      <w:lvlText w:val="%1.%2.%3"/>
      <w:lvlJc w:val="start"/>
      <w:pPr>
        <w:tabs>
          <w:tab w:val="num" w:pos="720"/>
        </w:tabs>
        <w:ind w:start="720" w:hanging="720"/>
      </w:pPr>
      <w:rPr>
        <w:sz w:val="24"/>
        <w:i w:val="false"/>
        <w:b/>
      </w:rPr>
    </w:lvl>
    <w:lvl w:ilvl="3">
      <w:start w:val="1"/>
      <w:numFmt w:val="decimal"/>
      <w:lvlText w:val="%1.%2.%3.%4"/>
      <w:lvlJc w:val="start"/>
      <w:pPr>
        <w:tabs>
          <w:tab w:val="num" w:pos="864"/>
        </w:tabs>
        <w:ind w:start="864" w:hanging="864"/>
      </w:pPr>
      <w:rPr>
        <w:sz w:val="24"/>
        <w:i w:val="false"/>
        <w:b/>
      </w:rPr>
    </w:lvl>
    <w:lvl w:ilvl="4">
      <w:start w:val="1"/>
      <w:numFmt w:val="decimal"/>
      <w:lvlText w:val="%1.%2.%3.%4.%5"/>
      <w:lvlJc w:val="start"/>
      <w:pPr>
        <w:tabs>
          <w:tab w:val="num" w:pos="1008"/>
        </w:tabs>
        <w:ind w:start="1008" w:hanging="1008"/>
      </w:pPr>
      <w:rPr>
        <w:sz w:val="22"/>
        <w:i w:val="false"/>
        <w:b w:val="false"/>
      </w:rPr>
    </w:lvl>
    <w:lvl w:ilvl="5">
      <w:start w:val="1"/>
      <w:numFmt w:val="decimal"/>
      <w:lvlText w:val="%1.%2.%3.%4.%5.%6"/>
      <w:lvlJc w:val="start"/>
      <w:pPr>
        <w:tabs>
          <w:tab w:val="num" w:pos="1152"/>
        </w:tabs>
        <w:ind w:start="1152" w:hanging="1152"/>
      </w:pPr>
      <w:rPr>
        <w:sz w:val="22"/>
        <w:i w:val="false"/>
        <w:b w:val="false"/>
      </w:rPr>
    </w:lvl>
    <w:lvl w:ilvl="6">
      <w:start w:val="1"/>
      <w:numFmt w:val="decimal"/>
      <w:lvlText w:val="%1.%2.%3.%4.%5.%6.%7"/>
      <w:lvlJc w:val="start"/>
      <w:pPr>
        <w:tabs>
          <w:tab w:val="num" w:pos="1296"/>
        </w:tabs>
        <w:ind w:start="1296" w:hanging="1296"/>
      </w:pPr>
      <w:rPr>
        <w:sz w:val="22"/>
        <w:i w:val="false"/>
        <w:b w:val="false"/>
      </w:rPr>
    </w:lvl>
    <w:lvl w:ilvl="7">
      <w:start w:val="1"/>
      <w:numFmt w:val="decimal"/>
      <w:lvlText w:val="%1.%2.%3.%4.%5.%6.%7.%8"/>
      <w:lvlJc w:val="start"/>
      <w:pPr>
        <w:tabs>
          <w:tab w:val="num" w:pos="1440"/>
        </w:tabs>
        <w:ind w:start="1440" w:hanging="1440"/>
      </w:pPr>
      <w:rPr>
        <w:sz w:val="22"/>
        <w:i w:val="false"/>
        <w:b w:val="false"/>
      </w:rPr>
    </w:lvl>
    <w:lvl w:ilvl="8">
      <w:start w:val="1"/>
      <w:numFmt w:val="decimal"/>
      <w:lvlText w:val="%1.%2.%3.%4.%5.%6.%7.%8.%9"/>
      <w:lvlJc w:val="start"/>
      <w:pPr>
        <w:tabs>
          <w:tab w:val="num" w:pos="1584"/>
        </w:tabs>
        <w:ind w:start="1584" w:hanging="1584"/>
      </w:pPr>
      <w:rPr/>
    </w:lvl>
  </w:abstractNum>
  <w:abstractNum w:abstractNumId="4">
    <w:lvl w:ilvl="0">
      <w:start w:val="1"/>
      <w:numFmt w:val="bullet"/>
      <w:lvlText w:val=""/>
      <w:lvlJc w:val="start"/>
      <w:pPr>
        <w:tabs>
          <w:tab w:val="num" w:pos="1800"/>
        </w:tabs>
        <w:ind w:start="1800" w:hanging="360"/>
      </w:pPr>
      <w:rPr>
        <w:rFonts w:ascii="Symbol" w:hAnsi="Symbol" w:cs="Symbol" w:hint="default"/>
      </w:rPr>
    </w:lvl>
  </w:abstractNum>
  <w:abstractNum w:abstractNumId="5">
    <w:lvl w:ilvl="0">
      <w:start w:val="1"/>
      <w:numFmt w:val="bullet"/>
      <w:lvlText w:val=""/>
      <w:lvlJc w:val="start"/>
      <w:pPr>
        <w:tabs>
          <w:tab w:val="num" w:pos="1800"/>
        </w:tabs>
        <w:ind w:start="180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abstractNum w:abstractNumId="8">
    <w:lvl w:ilvl="0">
      <w:start w:val="1"/>
      <w:numFmt w:val="decimal"/>
      <w:lvlText w:val="%1.0"/>
      <w:lvlJc w:val="start"/>
      <w:pPr>
        <w:tabs>
          <w:tab w:val="num" w:pos="972"/>
        </w:tabs>
        <w:ind w:start="684" w:hanging="72"/>
      </w:pPr>
      <w:rPr/>
    </w:lvl>
    <w:lvl w:ilvl="1">
      <w:start w:val="1"/>
      <w:numFmt w:val="decimal"/>
      <w:lvlText w:val="%1.%2"/>
      <w:lvlJc w:val="start"/>
      <w:pPr>
        <w:tabs>
          <w:tab w:val="num" w:pos="1304"/>
        </w:tabs>
        <w:ind w:start="944" w:hanging="720"/>
      </w:pPr>
    </w:lvl>
    <w:lvl w:ilvl="2">
      <w:start w:val="1"/>
      <w:numFmt w:val="decimal"/>
      <w:lvlText w:val="%3."/>
      <w:lvlJc w:val="start"/>
      <w:pPr>
        <w:tabs>
          <w:tab w:val="num" w:pos="2024"/>
        </w:tabs>
        <w:ind w:start="1664" w:hanging="0"/>
      </w:pPr>
      <w:rPr/>
    </w:lvl>
    <w:lvl w:ilvl="3">
      <w:start w:val="1"/>
      <w:numFmt w:val="lowerLetter"/>
      <w:lvlText w:val="%4)"/>
      <w:lvlJc w:val="start"/>
      <w:pPr>
        <w:tabs>
          <w:tab w:val="num" w:pos="2744"/>
        </w:tabs>
        <w:ind w:start="2384" w:hanging="0"/>
      </w:pPr>
      <w:rPr/>
    </w:lvl>
    <w:lvl w:ilvl="4">
      <w:start w:val="1"/>
      <w:numFmt w:val="decimal"/>
      <w:lvlText w:val="(%5)"/>
      <w:lvlJc w:val="start"/>
      <w:pPr>
        <w:tabs>
          <w:tab w:val="num" w:pos="3464"/>
        </w:tabs>
        <w:ind w:start="3104" w:hanging="0"/>
      </w:pPr>
      <w:rPr/>
    </w:lvl>
    <w:lvl w:ilvl="5">
      <w:start w:val="1"/>
      <w:numFmt w:val="lowerLetter"/>
      <w:lvlText w:val="(%6)"/>
      <w:lvlJc w:val="start"/>
      <w:pPr>
        <w:tabs>
          <w:tab w:val="num" w:pos="4184"/>
        </w:tabs>
        <w:ind w:start="3824" w:hanging="0"/>
      </w:pPr>
      <w:rPr/>
    </w:lvl>
    <w:lvl w:ilvl="6">
      <w:start w:val="1"/>
      <w:numFmt w:val="lowerRoman"/>
      <w:lvlText w:val="(%7)"/>
      <w:lvlJc w:val="start"/>
      <w:pPr>
        <w:tabs>
          <w:tab w:val="num" w:pos="4904"/>
        </w:tabs>
        <w:ind w:start="4544" w:hanging="0"/>
      </w:pPr>
      <w:rPr/>
    </w:lvl>
    <w:lvl w:ilvl="7">
      <w:start w:val="1"/>
      <w:numFmt w:val="lowerLetter"/>
      <w:lvlText w:val="(%8)"/>
      <w:lvlJc w:val="start"/>
      <w:pPr>
        <w:tabs>
          <w:tab w:val="num" w:pos="5624"/>
        </w:tabs>
        <w:ind w:start="5264" w:hanging="0"/>
      </w:pPr>
      <w:rPr/>
    </w:lvl>
    <w:lvl w:ilvl="8">
      <w:start w:val="1"/>
      <w:numFmt w:val="lowerRoman"/>
      <w:lvlText w:val="(%9)"/>
      <w:lvlJc w:val="start"/>
      <w:pPr>
        <w:tabs>
          <w:tab w:val="num" w:pos="6344"/>
        </w:tabs>
        <w:ind w:start="5984" w:hanging="0"/>
      </w:pPr>
      <w:rPr/>
    </w:lvl>
  </w:abstractNum>
  <w:abstractNum w:abstractNumId="9">
    <w:lvl w:ilvl="0">
      <w:start w:val="1"/>
      <w:numFmt w:val="bullet"/>
      <w:lvlText w:val=""/>
      <w:lvlJc w:val="start"/>
      <w:pPr>
        <w:tabs>
          <w:tab w:val="num" w:pos="1627"/>
        </w:tabs>
        <w:ind w:start="1627" w:hanging="547"/>
      </w:pPr>
      <w:rPr>
        <w:rFonts w:ascii="Symbol" w:hAnsi="Symbol" w:cs="Symbol" w:hint="default"/>
      </w:rPr>
    </w:lvl>
  </w:abstractNum>
  <w:abstractNum w:abstractNumId="10">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11">
    <w:lvl w:ilvl="0">
      <w:start w:val="1"/>
      <w:numFmt w:val="bullet"/>
      <w:lvlText w:val=""/>
      <w:lvlJc w:val="start"/>
      <w:pPr>
        <w:tabs>
          <w:tab w:val="num" w:pos="2160"/>
        </w:tabs>
        <w:ind w:start="2160" w:hanging="533"/>
      </w:pPr>
      <w:rPr>
        <w:rFonts w:ascii="Symbol" w:hAnsi="Symbol" w:cs="Symbol" w:hint="default"/>
      </w:rPr>
    </w:lvl>
  </w:abstractNum>
  <w:abstractNum w:abstractNumId="12">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3">
    <w:lvl w:ilvl="0">
      <w:start w:val="1"/>
      <w:numFmt w:val="bullet"/>
      <w:lvlText w:val=""/>
      <w:lvlJc w:val="start"/>
      <w:pPr>
        <w:tabs>
          <w:tab w:val="num" w:pos="360"/>
        </w:tabs>
        <w:ind w:start="360" w:hanging="360"/>
      </w:pPr>
      <w:rPr>
        <w:rFonts w:ascii="Symbol" w:hAnsi="Symbol" w:cs="Symbol" w:hint="default"/>
      </w:rPr>
    </w:lvl>
  </w:abstractNum>
  <w:abstractNum w:abstractNumId="14">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lang w:val="en-GB"/>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lang w:val="en-GB"/>
      </w:rPr>
    </w:lvl>
    <w:lvl w:ilvl="2">
      <w:start w:val="1"/>
      <w:numFmt w:val="decimal"/>
      <w:lvlText w:val="%1.%2.%3."/>
      <w:lvlJc w:val="start"/>
      <w:pPr>
        <w:tabs>
          <w:tab w:val="num" w:pos="1080"/>
        </w:tabs>
        <w:ind w:start="1080" w:hanging="1080"/>
      </w:pPr>
      <w:rPr>
        <w:sz w:val="22"/>
        <w:i w:val="false"/>
        <w:b w:val="false"/>
        <w:rFonts w:ascii="Times New Roman" w:hAnsi="Times New Roman" w:cs="Times New Roman"/>
      </w:rPr>
    </w:lvl>
    <w:lvl w:ilvl="3">
      <w:start w:val="1"/>
      <w:numFmt w:val="decimal"/>
      <w:lvlText w:val="%1.%2.%3.%4."/>
      <w:lvlJc w:val="start"/>
      <w:pPr>
        <w:tabs>
          <w:tab w:val="num" w:pos="1080"/>
        </w:tabs>
        <w:ind w:start="1080" w:hanging="1080"/>
      </w:pPr>
      <w:rPr>
        <w:sz w:val="22"/>
        <w:i w:val="false"/>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4"/>
      </w:numPr>
      <w:tabs>
        <w:tab w:val="clear" w:pos="720"/>
        <w:tab w:val="left" w:pos="851" w:leader="none"/>
      </w:tabs>
      <w:spacing w:before="720" w:after="240"/>
      <w:ind w:hanging="505" w:start="505" w:end="0"/>
      <w:outlineLvl w:val="0"/>
    </w:pPr>
    <w:rPr>
      <w:rFonts w:ascii="Times New Roman Bold;Times New Roman" w:hAnsi="Times New Roman Bold;Times New Roman" w:cs="Arial"/>
      <w:b/>
      <w:bCs/>
      <w:caps/>
      <w:kern w:val="2"/>
      <w:sz w:val="24"/>
      <w:szCs w:val="32"/>
    </w:rPr>
  </w:style>
  <w:style w:type="paragraph" w:styleId="Heading2">
    <w:name w:val="heading 2"/>
    <w:basedOn w:val="Heading1"/>
    <w:next w:val="Normal"/>
    <w:qFormat/>
    <w:pPr>
      <w:numPr>
        <w:ilvl w:val="0"/>
        <w:numId w:val="14"/>
      </w:numPr>
      <w:spacing w:before="240" w:after="0"/>
      <w:ind w:hanging="851" w:start="851" w:end="0"/>
      <w:outlineLvl w:val="1"/>
    </w:pPr>
    <w:rPr>
      <w:rFonts w:ascii="Times New Roman" w:hAnsi="Times New Roman" w:cs="Times New Roman"/>
      <w:bCs w:val="false"/>
      <w:iCs/>
      <w:caps w:val="false"/>
      <w:smallCaps w:val="false"/>
      <w:szCs w:val="28"/>
    </w:rPr>
  </w:style>
  <w:style w:type="paragraph" w:styleId="Heading3">
    <w:name w:val="heading 3"/>
    <w:basedOn w:val="Heading2"/>
    <w:next w:val="Normal"/>
    <w:qFormat/>
    <w:pPr>
      <w:numPr>
        <w:ilvl w:val="0"/>
        <w:numId w:val="14"/>
      </w:numPr>
      <w:outlineLvl w:val="2"/>
    </w:pPr>
    <w:rPr>
      <w:b w:val="false"/>
      <w:bCs/>
      <w:szCs w:val="26"/>
      <w:lang w:val="en-GB"/>
    </w:rPr>
  </w:style>
  <w:style w:type="paragraph" w:styleId="Heading4">
    <w:name w:val="heading 4"/>
    <w:basedOn w:val="Heading3"/>
    <w:next w:val="Normal"/>
    <w:qFormat/>
    <w:pPr>
      <w:numPr>
        <w:ilvl w:val="0"/>
        <w:numId w:val="14"/>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2z0">
    <w:name w:val="WW8Num2z0"/>
    <w:qFormat/>
    <w:rPr>
      <w:b/>
      <w:i w:val="false"/>
      <w:sz w:val="28"/>
    </w:rPr>
  </w:style>
  <w:style w:type="character" w:styleId="WW8Num2z1">
    <w:name w:val="WW8Num2z1"/>
    <w:qFormat/>
    <w:rPr>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2z2">
    <w:name w:val="WW8Num2z2"/>
    <w:qFormat/>
    <w:rPr>
      <w:b/>
      <w:i w:val="false"/>
      <w:sz w:val="24"/>
    </w:rPr>
  </w:style>
  <w:style w:type="character" w:styleId="WW8Num2z4">
    <w:name w:val="WW8Num2z4"/>
    <w:qFormat/>
    <w:rPr>
      <w:b w:val="false"/>
      <w:i w:val="false"/>
      <w:sz w:val="22"/>
    </w:rPr>
  </w:style>
  <w:style w:type="character" w:styleId="WW8Num2z8">
    <w:name w:val="WW8Num2z8"/>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Bold;Times New Roman" w:hAnsi="Times New Roman Bold;Times New Roman" w:cs="Times New Roman Bold;Times New Roman"/>
      <w:b/>
      <w:i w:val="false"/>
      <w:color w:val="000000"/>
      <w:sz w:val="28"/>
      <w:szCs w:val="28"/>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Bold;Times New Roman" w:hAnsi="Times New Roman Bold;Times New Roman" w:cs="Times New Roman"/>
      <w:b/>
      <w:i w:val="false"/>
      <w:color w:val="000000"/>
      <w:sz w:val="24"/>
      <w:lang w:val="en-GB"/>
    </w:rPr>
  </w:style>
  <w:style w:type="character" w:styleId="WW8Num14z1">
    <w:name w:val="WW8Num14z1"/>
    <w:qFormat/>
    <w:rPr>
      <w:rFonts w:ascii="Times New Roman Bold;Times New Roman" w:hAnsi="Times New Roman Bold;Times New Roman" w:cs="Times New Roman"/>
      <w:b/>
      <w:i w:val="false"/>
      <w:sz w:val="24"/>
      <w:lang w:val="en-GB"/>
    </w:rPr>
  </w:style>
  <w:style w:type="character" w:styleId="WW8Num14z2">
    <w:name w:val="WW8Num14z2"/>
    <w:qFormat/>
    <w:rPr>
      <w:rFonts w:ascii="Times New Roman" w:hAnsi="Times New Roman" w:cs="Times New Roman"/>
      <w:b w:val="false"/>
      <w:i w:val="false"/>
      <w:sz w:val="22"/>
    </w:rPr>
  </w:style>
  <w:style w:type="character" w:styleId="WW8Num14z4">
    <w:name w:val="WW8Num14z4"/>
    <w:qFormat/>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Char">
    <w:name w:val=" Char"/>
    <w:basedOn w:val="Absatz-Standardschriftart"/>
    <w:qFormat/>
    <w:rPr>
      <w:rFonts w:ascii="Arial Unicode MS" w:hAnsi="Arial Unicode MS" w:eastAsia="Arial Unicode MS" w:cs="Arial Unicode MS"/>
      <w:sz w:val="24"/>
      <w:szCs w:val="24"/>
      <w:lang w:val="en-US" w:bidi="ar-SA"/>
    </w:rPr>
  </w:style>
  <w:style w:type="character" w:styleId="NormalBlueChar">
    <w:name w:val="Normal + Blue Char"/>
    <w:basedOn w:val="Absatz-Standardschriftart"/>
    <w:qFormat/>
    <w:rPr>
      <w:color w:val="0000FF"/>
      <w:sz w:val="22"/>
      <w:szCs w:val="24"/>
      <w:lang w:val="en-US" w:bidi="ar-SA"/>
    </w:rPr>
  </w:style>
  <w:style w:type="character" w:styleId="BlueindentChar">
    <w:name w:val="Blue indent Char"/>
    <w:basedOn w:val="NormalBlueChar"/>
    <w:qFormat/>
    <w:rPr>
      <w:sz w:val="24"/>
    </w:rPr>
  </w:style>
  <w:style w:type="character" w:styleId="StyleBlueindentBoldChar">
    <w:name w:val="Style Blue indent + Bold Char"/>
    <w:basedOn w:val="BlueindentChar"/>
    <w:qFormat/>
    <w:rPr>
      <w:b/>
      <w:bCs/>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4"/>
      </w:numPr>
      <w:spacing w:before="240" w:after="240"/>
    </w:pPr>
    <w:rPr/>
  </w:style>
  <w:style w:type="paragraph" w:styleId="TableLevel1Numbered">
    <w:name w:val="Table Level 1 Numbered"/>
    <w:basedOn w:val="Normal"/>
    <w:qFormat/>
    <w:pPr>
      <w:numPr>
        <w:ilvl w:val="0"/>
        <w:numId w:val="12"/>
      </w:numPr>
    </w:pPr>
    <w:rPr>
      <w:bCs/>
    </w:rPr>
  </w:style>
  <w:style w:type="paragraph" w:styleId="Bullet1Table">
    <w:name w:val="Bullet 1 Table"/>
    <w:basedOn w:val="Normal"/>
    <w:qFormat/>
    <w:pPr>
      <w:numPr>
        <w:ilvl w:val="0"/>
        <w:numId w:val="13"/>
      </w:numPr>
    </w:pPr>
    <w:rPr/>
  </w:style>
  <w:style w:type="paragraph" w:styleId="Heading1Numbered">
    <w:name w:val="Heading 1 Numbered"/>
    <w:basedOn w:val="Normal"/>
    <w:qFormat/>
    <w:pPr>
      <w:numPr>
        <w:ilvl w:val="0"/>
        <w:numId w:val="8"/>
      </w:numPr>
      <w:tabs>
        <w:tab w:val="clear" w:pos="720"/>
        <w:tab w:val="left" w:pos="612" w:leader="none"/>
      </w:tabs>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8"/>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3"/>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12"/>
      </w:numPr>
    </w:pPr>
    <w:rPr>
      <w:bCs/>
    </w:rPr>
  </w:style>
  <w:style w:type="paragraph" w:styleId="TableLevel3Numbered">
    <w:name w:val="Table Level 3 Numbered"/>
    <w:basedOn w:val="Normal"/>
    <w:qFormat/>
    <w:pPr>
      <w:numPr>
        <w:ilvl w:val="0"/>
        <w:numId w:val="12"/>
      </w:numPr>
    </w:pPr>
    <w:rPr/>
  </w:style>
  <w:style w:type="paragraph" w:styleId="TableLevel4Numbered">
    <w:name w:val="Table Level 4 Numbered"/>
    <w:basedOn w:val="Normal"/>
    <w:qFormat/>
    <w:pPr>
      <w:numPr>
        <w:ilvl w:val="0"/>
        <w:numId w:val="12"/>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240" w:after="240"/>
    </w:pPr>
    <w:rPr/>
  </w:style>
  <w:style w:type="paragraph" w:styleId="BodyLevel2Numbered">
    <w:name w:val="Body Level 2 Numbered"/>
    <w:basedOn w:val="Normal"/>
    <w:qFormat/>
    <w:pPr>
      <w:numPr>
        <w:ilvl w:val="0"/>
        <w:numId w:val="10"/>
      </w:numPr>
      <w:spacing w:before="240" w:after="240"/>
    </w:pPr>
    <w:rPr/>
  </w:style>
  <w:style w:type="paragraph" w:styleId="BodyLevel3Numbered">
    <w:name w:val="Body Level 3 Numbered"/>
    <w:basedOn w:val="Normal"/>
    <w:qFormat/>
    <w:pPr>
      <w:numPr>
        <w:ilvl w:val="0"/>
        <w:numId w:val="10"/>
      </w:numPr>
      <w:spacing w:before="240" w:after="240"/>
    </w:pPr>
    <w:rPr/>
  </w:style>
  <w:style w:type="paragraph" w:styleId="BodyLevel4Numbered">
    <w:name w:val="Body Level 4 Numbered"/>
    <w:basedOn w:val="Normal"/>
    <w:qFormat/>
    <w:pPr>
      <w:numPr>
        <w:ilvl w:val="0"/>
        <w:numId w:val="10"/>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numPr>
        <w:ilvl w:val="0"/>
        <w:numId w:val="6"/>
      </w:numPr>
    </w:pPr>
    <w:rPr/>
  </w:style>
  <w:style w:type="paragraph" w:styleId="Level1Numbered">
    <w:name w:val="Level 1 Numbered"/>
    <w:basedOn w:val="Normal"/>
    <w:qFormat/>
    <w:pPr>
      <w:numPr>
        <w:ilvl w:val="0"/>
        <w:numId w:val="12"/>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BodyTextBulletL1">
    <w:name w:val="Body Text Bullet L1"/>
    <w:basedOn w:val="Normal"/>
    <w:qFormat/>
    <w:pPr>
      <w:numPr>
        <w:ilvl w:val="0"/>
        <w:numId w:val="11"/>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BodyTextBullet">
    <w:name w:val="Body Text Bullet"/>
    <w:basedOn w:val="Normal"/>
    <w:qFormat/>
    <w:pPr>
      <w:numPr>
        <w:ilvl w:val="0"/>
        <w:numId w:val="9"/>
      </w:numPr>
      <w:tabs>
        <w:tab w:val="clear" w:pos="720"/>
        <w:tab w:val="left" w:pos="1440" w:leader="none"/>
      </w:tabs>
      <w:ind w:hanging="360" w:start="1440" w:end="0"/>
    </w:pPr>
    <w:rPr/>
  </w:style>
  <w:style w:type="paragraph" w:styleId="FootnoteText">
    <w:name w:val="footnote text"/>
    <w:basedOn w:val="Normal"/>
    <w:pPr>
      <w:keepLines/>
      <w:spacing w:before="0" w:after="240"/>
      <w:jc w:val="both"/>
    </w:pPr>
    <w:rPr>
      <w:sz w:val="20"/>
      <w:szCs w:val="20"/>
    </w:rPr>
  </w:style>
  <w:style w:type="paragraph" w:styleId="StyleTableTextCentered">
    <w:name w:val="Style Table Text + Centered"/>
    <w:basedOn w:val="TableText"/>
    <w:qFormat/>
    <w:pPr>
      <w:jc w:val="center"/>
    </w:pPr>
    <w:rPr>
      <w:szCs w:val="20"/>
    </w:rPr>
  </w:style>
  <w:style w:type="paragraph" w:styleId="TableLevel5Numbered">
    <w:name w:val="Table Level 5 Numbered"/>
    <w:basedOn w:val="Normal"/>
    <w:qFormat/>
    <w:pPr>
      <w:tabs>
        <w:tab w:val="clear" w:pos="720"/>
        <w:tab w:val="left" w:pos="1296" w:leader="none"/>
      </w:tabs>
      <w:ind w:hanging="576" w:start="1296" w:end="0"/>
    </w:pPr>
    <w:rPr/>
  </w:style>
  <w:style w:type="paragraph" w:styleId="TableLevel6Numbered">
    <w:name w:val="Table Level 6 Numbered"/>
    <w:basedOn w:val="Normal"/>
    <w:qFormat/>
    <w:pPr>
      <w:tabs>
        <w:tab w:val="clear" w:pos="720"/>
        <w:tab w:val="left" w:pos="1296" w:leader="none"/>
      </w:tabs>
      <w:ind w:hanging="576" w:start="1296" w:end="0"/>
    </w:pPr>
    <w:rPr/>
  </w:style>
  <w:style w:type="paragraph" w:styleId="TableLevel7Numbered">
    <w:name w:val="Table Level 7 Numbered"/>
    <w:basedOn w:val="Normal"/>
    <w:qFormat/>
    <w:pPr>
      <w:tabs>
        <w:tab w:val="clear" w:pos="720"/>
        <w:tab w:val="left" w:pos="1728" w:leader="none"/>
      </w:tabs>
      <w:ind w:hanging="432" w:start="1728" w:end="0"/>
    </w:pPr>
    <w:rPr/>
  </w:style>
  <w:style w:type="paragraph" w:styleId="TableLevel8Numbered">
    <w:name w:val="Table Level 8 Numbered"/>
    <w:basedOn w:val="Normal"/>
    <w:qFormat/>
    <w:pPr>
      <w:tabs>
        <w:tab w:val="clear" w:pos="720"/>
        <w:tab w:val="left" w:pos="1728" w:leader="none"/>
      </w:tabs>
      <w:ind w:hanging="432" w:start="1728" w:end="0"/>
    </w:pPr>
    <w:rPr/>
  </w:style>
  <w:style w:type="paragraph" w:styleId="Textkrper2">
    <w:name w:val="Textkörper 2"/>
    <w:basedOn w:val="Normal"/>
    <w:qFormat/>
    <w:pPr>
      <w:spacing w:lineRule="auto" w:line="480"/>
    </w:pPr>
    <w:rPr/>
  </w:style>
  <w:style w:type="paragraph" w:styleId="RPF-BodyText">
    <w:name w:val="RPF-BodyText"/>
    <w:qFormat/>
    <w:pPr>
      <w:widowControl/>
      <w:bidi w:val="0"/>
      <w:spacing w:before="120" w:after="120"/>
      <w:ind w:hanging="0" w:start="720" w:end="0"/>
      <w:jc w:val="both"/>
    </w:pPr>
    <w:rPr>
      <w:rFonts w:ascii="Arial" w:hAnsi="Arial" w:eastAsia="SimSun;宋体" w:cs="Arial"/>
      <w:bCs/>
      <w:color w:val="auto"/>
      <w:sz w:val="22"/>
      <w:szCs w:val="20"/>
      <w:lang w:val="en-US" w:bidi="he-IL" w:eastAsia="zh-CN"/>
    </w:rPr>
  </w:style>
  <w:style w:type="paragraph" w:styleId="StandardWeb">
    <w:name w:val="Standard (Web)"/>
    <w:basedOn w:val="Normal"/>
    <w:qFormat/>
    <w:pPr>
      <w:spacing w:before="280" w:after="280"/>
    </w:pPr>
    <w:rPr>
      <w:rFonts w:ascii="Arial Unicode MS" w:hAnsi="Arial Unicode MS" w:eastAsia="Arial Unicode MS" w:cs="Arial Unicode MS"/>
      <w:sz w:val="24"/>
    </w:rPr>
  </w:style>
  <w:style w:type="paragraph" w:styleId="RPF-BulletList">
    <w:name w:val="RPF-BulletList"/>
    <w:qFormat/>
    <w:pPr>
      <w:widowControl/>
      <w:bidi w:val="0"/>
      <w:spacing w:before="60" w:after="60"/>
      <w:ind w:hanging="504" w:start="720" w:end="0"/>
      <w:jc w:val="both"/>
    </w:pPr>
    <w:rPr>
      <w:rFonts w:ascii="Arial" w:hAnsi="Arial" w:eastAsia="SimSun;宋体" w:cs="Arial"/>
      <w:color w:val="auto"/>
      <w:sz w:val="22"/>
      <w:szCs w:val="22"/>
      <w:lang w:val="en-US" w:bidi="he-IL" w:eastAsia="zh-CN"/>
    </w:rPr>
  </w:style>
  <w:style w:type="paragraph" w:styleId="NormalBlue">
    <w:name w:val="Normal + Blue"/>
    <w:basedOn w:val="Normal"/>
    <w:qFormat/>
    <w:pPr>
      <w:spacing w:before="0" w:after="0"/>
      <w:ind w:hanging="0" w:start="540" w:end="0"/>
      <w:jc w:val="both"/>
    </w:pPr>
    <w:rPr>
      <w:color w:val="0000FF"/>
    </w:rPr>
  </w:style>
  <w:style w:type="paragraph" w:styleId="Blueindent">
    <w:name w:val="Blue indent"/>
    <w:basedOn w:val="NormalBlue"/>
    <w:qFormat/>
    <w:pPr>
      <w:ind w:hanging="0" w:start="851" w:end="0"/>
      <w:jc w:val="start"/>
    </w:pPr>
    <w:rPr>
      <w:sz w:val="24"/>
    </w:rPr>
  </w:style>
  <w:style w:type="paragraph" w:styleId="StyleBlueindentBold">
    <w:name w:val="Style Blue indent + Bold"/>
    <w:basedOn w:val="Blueindent"/>
    <w:qFormat/>
    <w:pPr/>
    <w:rPr>
      <w:b/>
      <w:bCs/>
    </w:rPr>
  </w:style>
  <w:style w:type="paragraph" w:styleId="Blueindent3">
    <w:name w:val="Blue indent 3"/>
    <w:basedOn w:val="Heading3"/>
    <w:qFormat/>
    <w:pPr>
      <w:numPr>
        <w:ilvl w:val="0"/>
        <w:numId w:val="0"/>
      </w:numPr>
      <w:ind w:hanging="0" w:start="851" w:end="0"/>
    </w:pPr>
    <w:rPr>
      <w:b/>
      <w:color w:val="FF0000"/>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Listennummer2">
    <w:name w:val="Listennummer 2"/>
    <w:basedOn w:val="Normal"/>
    <w:qFormat/>
    <w:pPr>
      <w:numPr>
        <w:ilvl w:val="0"/>
        <w:numId w:val="2"/>
      </w:numPr>
    </w:pPr>
    <w:rPr/>
  </w:style>
  <w:style w:type="paragraph" w:styleId="TableLevel3-4Bullet">
    <w:name w:val="Table Level 3-4 Bullet"/>
    <w:basedOn w:val="Normal"/>
    <w:qFormat/>
    <w:pPr>
      <w:numPr>
        <w:ilvl w:val="0"/>
        <w:numId w:val="5"/>
      </w:numPr>
    </w:pPr>
    <w:rPr/>
  </w:style>
  <w:style w:type="paragraph" w:styleId="Heading5Numbered">
    <w:name w:val="Heading 5 Numbered"/>
    <w:basedOn w:val="Normal"/>
    <w:qFormat/>
    <w:pPr>
      <w:tabs>
        <w:tab w:val="left" w:pos="720" w:leader="none"/>
      </w:tabs>
      <w:ind w:hanging="720" w:start="720" w:end="0"/>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2007-01-29T20:06:00Z</dcterms:created>
  <dc:creator>Victoria A. Rittinger</dc:creator>
  <dc:description/>
  <cp:keywords>F&amp;A CF</cp:keywords>
  <dc:language>en-US</dc:language>
  <cp:lastModifiedBy>Wenger Plattner</cp:lastModifiedBy>
  <cp:lastPrinted>2005-10-21T08:43:00Z</cp:lastPrinted>
  <dcterms:modified xsi:type="dcterms:W3CDTF">2007-01-29T20:06:00Z</dcterms:modified>
  <cp:revision>2</cp:revision>
  <dc:subject>E2.4 - F&amp;A Cross Functional</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15800.0000000000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11.1</vt:lpwstr>
  </property>
</Properties>
</file>