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Exhibit 2.1</w:t>
      </w:r>
    </w:p>
    <w:p>
      <w:pPr>
        <w:pStyle w:val="Titel"/>
        <w:rPr>
          <w:rFonts w:ascii="Arial" w:hAnsi="Arial" w:cs="Arial"/>
        </w:rPr>
      </w:pPr>
      <w:r>
        <w:rPr>
          <w:rFonts w:cs="Arial" w:ascii="Arial" w:hAnsi="Arial"/>
        </w:rPr>
        <w:t>Statement of work</w:t>
      </w:r>
    </w:p>
    <w:p>
      <w:pPr>
        <w:pStyle w:val="Titel"/>
        <w:rPr>
          <w:rFonts w:ascii="Arial" w:hAnsi="Arial" w:cs="Arial"/>
        </w:rPr>
      </w:pPr>
      <w:r>
        <w:rPr>
          <w:rFonts w:cs="Arial" w:ascii="Arial" w:hAnsi="Arial"/>
        </w:rPr>
        <w:t>cROSS fUNCTIONAL (cf)</w:t>
      </w:r>
    </w:p>
    <w:p>
      <w:pPr>
        <w:pStyle w:val="Titel"/>
        <w:rPr>
          <w:rFonts w:ascii="Arial" w:hAnsi="Arial" w:cs="Arial"/>
        </w:rPr>
      </w:pPr>
      <w:r>
        <w:rPr>
          <w:rFonts w:cs="Arial" w:ascii="Arial" w:hAnsi="Arial"/>
        </w:rPr>
      </w:r>
    </w:p>
    <w:p>
      <w:pPr>
        <w:pStyle w:val="Normal"/>
        <w:rPr/>
      </w:pPr>
      <w:r>
        <w:rPr/>
      </w:r>
    </w:p>
    <w:p>
      <w:pPr>
        <w:pStyle w:val="Titel"/>
        <w:rPr>
          <w:rFonts w:ascii="Verdana" w:hAnsi="Verdana" w:cs="Verdana"/>
          <w:sz w:val="20"/>
          <w:szCs w:val="20"/>
        </w:rPr>
      </w:pPr>
      <w:r>
        <w:rPr>
          <w:rFonts w:cs="Verdana" w:ascii="Verdana" w:hAnsi="Verdana"/>
          <w:sz w:val="20"/>
          <w:szCs w:val="20"/>
        </w:rPr>
      </w:r>
    </w:p>
    <w:p>
      <w:pPr>
        <w:pStyle w:val="Titel"/>
        <w:rPr>
          <w:rFonts w:ascii="Verdana" w:hAnsi="Verdana" w:cs="Verdana"/>
          <w:sz w:val="20"/>
          <w:szCs w:val="20"/>
        </w:rPr>
      </w:pPr>
      <w:r>
        <w:rPr>
          <w:rFonts w:cs="Verdana" w:ascii="Verdana" w:hAnsi="Verdana"/>
          <w:sz w:val="20"/>
          <w:szCs w:val="20"/>
        </w:rPr>
      </w:r>
    </w:p>
    <w:p>
      <w:pPr>
        <w:pStyle w:val="Normal"/>
        <w:jc w:val="center"/>
        <w:rPr>
          <w:rFonts w:ascii="Verdana" w:hAnsi="Verdana" w:cs="Verdana"/>
          <w:sz w:val="20"/>
          <w:szCs w:val="20"/>
        </w:rPr>
      </w:pPr>
      <w:r>
        <w:rPr>
          <w:rFonts w:cs="Verdana" w:ascii="Verdana" w:hAnsi="Verdana"/>
          <w:sz w:val="20"/>
          <w:szCs w:val="20"/>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pBdr>
          <w:top w:val="single" w:sz="4" w:space="1" w:color="000000"/>
          <w:left w:val="single" w:sz="4" w:space="4" w:color="000000"/>
          <w:bottom w:val="single" w:sz="4" w:space="1" w:color="000000"/>
          <w:right w:val="single" w:sz="4" w:space="4" w:color="000000"/>
        </w:pBdr>
        <w:jc w:val="center"/>
        <w:rPr>
          <w:rFonts w:ascii="Arial" w:hAnsi="Arial" w:cs="Arial"/>
          <w:sz w:val="24"/>
        </w:rPr>
      </w:pPr>
      <w:r>
        <w:rPr>
          <w:rFonts w:cs="Arial" w:ascii="Arial" w:hAnsi="Arial"/>
          <w:sz w:val="24"/>
        </w:rPr>
      </w:r>
    </w:p>
    <w:p>
      <w:pPr>
        <w:pStyle w:val="Normal"/>
        <w:pBdr>
          <w:top w:val="single" w:sz="4" w:space="1" w:color="000000"/>
          <w:left w:val="single" w:sz="4" w:space="4" w:color="000000"/>
          <w:bottom w:val="single" w:sz="4" w:space="1" w:color="000000"/>
          <w:right w:val="single" w:sz="4" w:space="4" w:color="000000"/>
        </w:pBdr>
        <w:jc w:val="center"/>
        <w:rPr>
          <w:rFonts w:ascii="Arial" w:hAnsi="Arial" w:cs="Arial"/>
          <w:sz w:val="24"/>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pBdr>
          <w:top w:val="single" w:sz="4" w:space="1" w:color="000000"/>
          <w:left w:val="single" w:sz="4" w:space="4" w:color="000000"/>
          <w:bottom w:val="single" w:sz="4" w:space="1" w:color="000000"/>
          <w:right w:val="single" w:sz="4" w:space="4" w:color="000000"/>
        </w:pBdr>
        <w:jc w:val="center"/>
        <w:rPr>
          <w:rFonts w:ascii="Arial" w:hAnsi="Arial" w:cs="Arial"/>
          <w:sz w:val="24"/>
        </w:rPr>
      </w:pPr>
      <w:r>
        <w:rPr>
          <w:rFonts w:cs="Arial" w:ascii="Arial" w:hAnsi="Arial"/>
          <w:sz w:val="24"/>
        </w:rPr>
      </w:r>
      <w:r>
        <w:br w:type="page"/>
      </w:r>
    </w:p>
    <w:p>
      <w:pPr>
        <w:pStyle w:val="Titel"/>
        <w:jc w:val="start"/>
        <w:rPr/>
      </w:pPr>
      <w:r>
        <w:rPr/>
        <w:t>Table of Contents</w:t>
      </w:r>
    </w:p>
    <w:sdt>
      <w:sdtPr>
        <w:docPartObj>
          <w:docPartGallery w:val="Table of Contents"/>
          <w:docPartUnique w:val="true"/>
        </w:docPartObj>
      </w:sdtPr>
      <w:sdtContent>
        <w:p>
          <w:pPr>
            <w:pStyle w:val="TOC1"/>
            <w:tabs>
              <w:tab w:val="clear" w:pos="720"/>
              <w:tab w:val="left" w:pos="540" w:leader="none"/>
              <w:tab w:val="right" w:pos="9061" w:leader="dot"/>
            </w:tabs>
            <w:rPr>
              <w:b w:val="false"/>
              <w:bCs w:val="false"/>
              <w:caps w:val="false"/>
              <w:smallCaps w:val="false"/>
              <w:sz w:val="24"/>
              <w:szCs w:val="24"/>
              <w:lang w:val="de-CH" w:eastAsia="en-US"/>
            </w:rPr>
          </w:pPr>
          <w:r>
            <w:fldChar w:fldCharType="begin"/>
          </w:r>
          <w:r>
            <w:rPr>
              <w:rStyle w:val="IndexLink"/>
              <w:lang w:val="en-US" w:eastAsia="en-US"/>
            </w:rPr>
            <w:instrText xml:space="preserve"> TOC \h \z \t "Formatvorlage1;1" </w:instrText>
          </w:r>
          <w:r>
            <w:rPr>
              <w:rStyle w:val="IndexLink"/>
              <w:lang w:val="en-US" w:eastAsia="en-US"/>
            </w:rPr>
            <w:fldChar w:fldCharType="separate"/>
          </w:r>
          <w:hyperlink w:anchor="__RefHeading___Toc157772289">
            <w:r>
              <w:rPr>
                <w:rStyle w:val="IndexLink"/>
                <w:lang w:val="en-US" w:eastAsia="en-US"/>
              </w:rPr>
              <w:t>1.</w:t>
            </w:r>
            <w:r>
              <w:rPr>
                <w:rStyle w:val="IndexLink"/>
                <w:b w:val="false"/>
                <w:bCs w:val="false"/>
                <w:caps w:val="false"/>
                <w:smallCaps w:val="false"/>
                <w:sz w:val="24"/>
                <w:szCs w:val="24"/>
                <w:lang w:val="de-CH" w:eastAsia="en-US"/>
              </w:rPr>
              <w:tab/>
            </w:r>
            <w:r>
              <w:rPr>
                <w:rStyle w:val="IndexLink"/>
                <w:lang w:val="en-US" w:eastAsia="en-US"/>
              </w:rPr>
              <w:t>General Requirements</w:t>
              <w:tab/>
              <w:t>3</w:t>
            </w:r>
          </w:hyperlink>
        </w:p>
        <w:p>
          <w:pPr>
            <w:pStyle w:val="TOC1"/>
            <w:tabs>
              <w:tab w:val="clear" w:pos="720"/>
              <w:tab w:val="left" w:pos="540" w:leader="none"/>
              <w:tab w:val="right" w:pos="9061" w:leader="dot"/>
            </w:tabs>
            <w:rPr>
              <w:b w:val="false"/>
              <w:bCs w:val="false"/>
              <w:caps w:val="false"/>
              <w:smallCaps w:val="false"/>
              <w:sz w:val="24"/>
              <w:szCs w:val="24"/>
              <w:lang w:val="de-CH" w:eastAsia="en-US"/>
            </w:rPr>
          </w:pPr>
          <w:hyperlink w:anchor="__RefHeading___Toc157772290">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Delivery Model - Service CenterS and Locations</w:t>
              <w:tab/>
              <w:t>3</w:t>
            </w:r>
          </w:hyperlink>
        </w:p>
        <w:p>
          <w:pPr>
            <w:pStyle w:val="TOC1"/>
            <w:tabs>
              <w:tab w:val="clear" w:pos="720"/>
              <w:tab w:val="left" w:pos="540" w:leader="none"/>
              <w:tab w:val="right" w:pos="9061" w:leader="dot"/>
            </w:tabs>
            <w:rPr>
              <w:b w:val="false"/>
              <w:bCs w:val="false"/>
              <w:caps w:val="false"/>
              <w:smallCaps w:val="false"/>
              <w:sz w:val="24"/>
              <w:szCs w:val="24"/>
              <w:lang w:val="de-CH" w:eastAsia="en-US"/>
            </w:rPr>
          </w:pPr>
          <w:hyperlink w:anchor="__RefHeading___Toc157772291">
            <w:r>
              <w:rPr>
                <w:rStyle w:val="IndexLink"/>
                <w:lang w:val="en-US" w:eastAsia="en-US"/>
              </w:rPr>
              <w:t>3.</w:t>
            </w:r>
            <w:r>
              <w:rPr>
                <w:rStyle w:val="IndexLink"/>
                <w:b w:val="false"/>
                <w:bCs w:val="false"/>
                <w:caps w:val="false"/>
                <w:smallCaps w:val="false"/>
                <w:sz w:val="24"/>
                <w:szCs w:val="24"/>
                <w:lang w:val="de-CH" w:eastAsia="en-US"/>
              </w:rPr>
              <w:tab/>
            </w:r>
            <w:r>
              <w:rPr>
                <w:rStyle w:val="IndexLink"/>
                <w:lang w:val="en-US" w:eastAsia="en-US"/>
              </w:rPr>
              <w:t>Policies and Procedures</w:t>
              <w:tab/>
              <w:t>3</w:t>
            </w:r>
          </w:hyperlink>
        </w:p>
        <w:p>
          <w:pPr>
            <w:pStyle w:val="TOC1"/>
            <w:tabs>
              <w:tab w:val="clear" w:pos="720"/>
              <w:tab w:val="left" w:pos="540" w:leader="none"/>
              <w:tab w:val="right" w:pos="9061" w:leader="dot"/>
            </w:tabs>
            <w:rPr>
              <w:b w:val="false"/>
              <w:bCs w:val="false"/>
              <w:caps w:val="false"/>
              <w:smallCaps w:val="false"/>
              <w:sz w:val="24"/>
              <w:szCs w:val="24"/>
              <w:lang w:val="de-CH" w:eastAsia="en-US"/>
            </w:rPr>
          </w:pPr>
          <w:hyperlink w:anchor="__RefHeading___Toc157772292">
            <w:r>
              <w:rPr>
                <w:rStyle w:val="IndexLink"/>
                <w:lang w:val="en-US" w:eastAsia="en-US"/>
              </w:rPr>
              <w:t>4.</w:t>
            </w:r>
            <w:r>
              <w:rPr>
                <w:rStyle w:val="IndexLink"/>
                <w:b w:val="false"/>
                <w:bCs w:val="false"/>
                <w:caps w:val="false"/>
                <w:smallCaps w:val="false"/>
                <w:sz w:val="24"/>
                <w:szCs w:val="24"/>
                <w:lang w:val="de-CH" w:eastAsia="en-US"/>
              </w:rPr>
              <w:tab/>
            </w:r>
            <w:r>
              <w:rPr>
                <w:rStyle w:val="IndexLink"/>
                <w:lang w:val="en-US" w:eastAsia="en-US"/>
              </w:rPr>
              <w:t>Benchmarking and Best Practices</w:t>
              <w:tab/>
              <w:t>4</w:t>
            </w:r>
          </w:hyperlink>
        </w:p>
        <w:p>
          <w:pPr>
            <w:pStyle w:val="TOC1"/>
            <w:tabs>
              <w:tab w:val="clear" w:pos="720"/>
              <w:tab w:val="left" w:pos="540" w:leader="none"/>
              <w:tab w:val="right" w:pos="9061" w:leader="dot"/>
            </w:tabs>
            <w:rPr>
              <w:b w:val="false"/>
              <w:bCs w:val="false"/>
              <w:caps w:val="false"/>
              <w:smallCaps w:val="false"/>
              <w:sz w:val="24"/>
              <w:szCs w:val="24"/>
              <w:lang w:val="de-CH" w:eastAsia="en-US"/>
            </w:rPr>
          </w:pPr>
          <w:hyperlink w:anchor="__RefHeading___Toc157772293">
            <w:r>
              <w:rPr>
                <w:rStyle w:val="IndexLink"/>
                <w:lang w:val="en-US" w:eastAsia="en-US"/>
              </w:rPr>
              <w:t>5.</w:t>
            </w:r>
            <w:r>
              <w:rPr>
                <w:rStyle w:val="IndexLink"/>
                <w:b w:val="false"/>
                <w:bCs w:val="false"/>
                <w:caps w:val="false"/>
                <w:smallCaps w:val="false"/>
                <w:sz w:val="24"/>
                <w:szCs w:val="24"/>
                <w:lang w:val="de-CH" w:eastAsia="en-US"/>
              </w:rPr>
              <w:tab/>
            </w:r>
            <w:r>
              <w:rPr>
                <w:rStyle w:val="IndexLink"/>
                <w:lang w:val="en-US" w:eastAsia="en-US"/>
              </w:rPr>
              <w:t>Continuous Improvement</w:t>
              <w:tab/>
              <w:t>5</w:t>
            </w:r>
          </w:hyperlink>
        </w:p>
        <w:p>
          <w:pPr>
            <w:pStyle w:val="TOC1"/>
            <w:tabs>
              <w:tab w:val="clear" w:pos="720"/>
              <w:tab w:val="left" w:pos="540" w:leader="none"/>
              <w:tab w:val="right" w:pos="9061" w:leader="dot"/>
            </w:tabs>
            <w:rPr>
              <w:b w:val="false"/>
              <w:bCs w:val="false"/>
              <w:caps w:val="false"/>
              <w:smallCaps w:val="false"/>
              <w:sz w:val="24"/>
              <w:szCs w:val="24"/>
              <w:lang w:val="de-CH" w:eastAsia="en-US"/>
            </w:rPr>
          </w:pPr>
          <w:hyperlink w:anchor="__RefHeading___Toc157772294">
            <w:r>
              <w:rPr>
                <w:rStyle w:val="IndexLink"/>
                <w:lang w:val="en-US" w:eastAsia="en-US"/>
              </w:rPr>
              <w:t>6.</w:t>
            </w:r>
            <w:r>
              <w:rPr>
                <w:rStyle w:val="IndexLink"/>
                <w:b w:val="false"/>
                <w:bCs w:val="false"/>
                <w:caps w:val="false"/>
                <w:smallCaps w:val="false"/>
                <w:sz w:val="24"/>
                <w:szCs w:val="24"/>
                <w:lang w:val="de-CH" w:eastAsia="en-US"/>
              </w:rPr>
              <w:tab/>
            </w:r>
            <w:r>
              <w:rPr>
                <w:rStyle w:val="IndexLink"/>
                <w:lang w:val="en-US" w:eastAsia="en-US"/>
              </w:rPr>
              <w:t>Compliance</w:t>
              <w:tab/>
              <w:t>6</w:t>
            </w:r>
          </w:hyperlink>
        </w:p>
        <w:p>
          <w:pPr>
            <w:pStyle w:val="TOC1"/>
            <w:tabs>
              <w:tab w:val="clear" w:pos="720"/>
              <w:tab w:val="left" w:pos="540" w:leader="none"/>
              <w:tab w:val="right" w:pos="9061" w:leader="dot"/>
            </w:tabs>
            <w:rPr>
              <w:b w:val="false"/>
              <w:bCs w:val="false"/>
              <w:caps w:val="false"/>
              <w:smallCaps w:val="false"/>
              <w:sz w:val="24"/>
              <w:szCs w:val="24"/>
              <w:lang w:val="de-CH" w:eastAsia="en-US"/>
            </w:rPr>
          </w:pPr>
          <w:hyperlink w:anchor="__RefHeading___Toc157772295">
            <w:r>
              <w:rPr>
                <w:rStyle w:val="IndexLink"/>
                <w:lang w:val="en-US" w:eastAsia="en-US"/>
              </w:rPr>
              <w:t>7.</w:t>
            </w:r>
            <w:r>
              <w:rPr>
                <w:rStyle w:val="IndexLink"/>
                <w:b w:val="false"/>
                <w:bCs w:val="false"/>
                <w:caps w:val="false"/>
                <w:smallCaps w:val="false"/>
                <w:sz w:val="24"/>
                <w:szCs w:val="24"/>
                <w:lang w:val="de-CH" w:eastAsia="en-US"/>
              </w:rPr>
              <w:tab/>
            </w:r>
            <w:r>
              <w:rPr>
                <w:rStyle w:val="IndexLink"/>
                <w:lang w:val="en-US" w:eastAsia="en-US"/>
              </w:rPr>
              <w:t>Language and Hours of Operation</w:t>
              <w:tab/>
              <w:t>6</w:t>
            </w:r>
          </w:hyperlink>
        </w:p>
        <w:p>
          <w:pPr>
            <w:pStyle w:val="TOC1"/>
            <w:tabs>
              <w:tab w:val="clear" w:pos="720"/>
              <w:tab w:val="left" w:pos="540" w:leader="none"/>
              <w:tab w:val="right" w:pos="9061" w:leader="dot"/>
            </w:tabs>
            <w:rPr>
              <w:b w:val="false"/>
              <w:bCs w:val="false"/>
              <w:caps w:val="false"/>
              <w:smallCaps w:val="false"/>
              <w:sz w:val="24"/>
              <w:szCs w:val="24"/>
              <w:lang w:val="de-CH" w:eastAsia="en-US"/>
            </w:rPr>
          </w:pPr>
          <w:hyperlink w:anchor="__RefHeading___Toc157772296">
            <w:r>
              <w:rPr>
                <w:rStyle w:val="IndexLink"/>
                <w:lang w:val="en-US" w:eastAsia="en-US"/>
              </w:rPr>
              <w:t>8.</w:t>
            </w:r>
            <w:r>
              <w:rPr>
                <w:rStyle w:val="IndexLink"/>
                <w:b w:val="false"/>
                <w:bCs w:val="false"/>
                <w:caps w:val="false"/>
                <w:smallCaps w:val="false"/>
                <w:sz w:val="24"/>
                <w:szCs w:val="24"/>
                <w:lang w:val="de-CH" w:eastAsia="en-US"/>
              </w:rPr>
              <w:tab/>
            </w:r>
            <w:r>
              <w:rPr>
                <w:rStyle w:val="IndexLink"/>
                <w:lang w:val="en-US" w:eastAsia="en-US"/>
              </w:rPr>
              <w:t>Project management and support</w:t>
              <w:tab/>
              <w:t>7</w:t>
            </w:r>
          </w:hyperlink>
        </w:p>
        <w:p>
          <w:pPr>
            <w:pStyle w:val="TOC1"/>
            <w:tabs>
              <w:tab w:val="clear" w:pos="720"/>
              <w:tab w:val="left" w:pos="540" w:leader="none"/>
              <w:tab w:val="right" w:pos="9061" w:leader="dot"/>
            </w:tabs>
            <w:rPr>
              <w:b w:val="false"/>
              <w:bCs w:val="false"/>
              <w:caps w:val="false"/>
              <w:smallCaps w:val="false"/>
              <w:sz w:val="24"/>
              <w:szCs w:val="24"/>
              <w:lang w:val="de-CH" w:eastAsia="en-US"/>
            </w:rPr>
          </w:pPr>
          <w:hyperlink w:anchor="__RefHeading___Toc157772297">
            <w:r>
              <w:rPr>
                <w:rStyle w:val="IndexLink"/>
                <w:lang w:val="en-US" w:eastAsia="en-US"/>
              </w:rPr>
              <w:t>9.</w:t>
            </w:r>
            <w:r>
              <w:rPr>
                <w:rStyle w:val="IndexLink"/>
                <w:b w:val="false"/>
                <w:bCs w:val="false"/>
                <w:caps w:val="false"/>
                <w:smallCaps w:val="false"/>
                <w:sz w:val="24"/>
                <w:szCs w:val="24"/>
                <w:lang w:val="de-CH" w:eastAsia="en-US"/>
              </w:rPr>
              <w:tab/>
            </w:r>
            <w:r>
              <w:rPr>
                <w:rStyle w:val="IndexLink"/>
                <w:lang w:val="en-US" w:eastAsia="en-US"/>
              </w:rPr>
              <w:t>quality assurance</w:t>
              <w:tab/>
              <w:t>8</w:t>
            </w:r>
          </w:hyperlink>
        </w:p>
        <w:p>
          <w:pPr>
            <w:pStyle w:val="TOC1"/>
            <w:tabs>
              <w:tab w:val="clear" w:pos="720"/>
              <w:tab w:val="left" w:pos="540" w:leader="none"/>
              <w:tab w:val="left" w:pos="660" w:leader="none"/>
              <w:tab w:val="right" w:pos="9061" w:leader="dot"/>
            </w:tabs>
            <w:rPr>
              <w:b w:val="false"/>
              <w:bCs w:val="false"/>
              <w:caps w:val="false"/>
              <w:smallCaps w:val="false"/>
              <w:sz w:val="24"/>
              <w:szCs w:val="24"/>
              <w:lang w:val="de-CH" w:eastAsia="en-US"/>
            </w:rPr>
          </w:pPr>
          <w:hyperlink w:anchor="__RefHeading___Toc157772298">
            <w:r>
              <w:rPr>
                <w:rStyle w:val="IndexLink"/>
                <w:lang w:val="en-US" w:eastAsia="en-US"/>
              </w:rPr>
              <w:t>10.</w:t>
            </w:r>
            <w:r>
              <w:rPr>
                <w:rStyle w:val="IndexLink"/>
                <w:b w:val="false"/>
                <w:bCs w:val="false"/>
                <w:caps w:val="false"/>
                <w:smallCaps w:val="false"/>
                <w:sz w:val="24"/>
                <w:szCs w:val="24"/>
                <w:lang w:val="de-CH" w:eastAsia="en-US"/>
              </w:rPr>
              <w:tab/>
            </w:r>
            <w:r>
              <w:rPr>
                <w:rStyle w:val="IndexLink"/>
                <w:lang w:val="en-US" w:eastAsia="en-US"/>
              </w:rPr>
              <w:t>operations documentation</w:t>
              <w:tab/>
              <w:t>8</w:t>
            </w:r>
          </w:hyperlink>
        </w:p>
        <w:p>
          <w:pPr>
            <w:pStyle w:val="TOC1"/>
            <w:tabs>
              <w:tab w:val="clear" w:pos="720"/>
              <w:tab w:val="left" w:pos="540" w:leader="none"/>
              <w:tab w:val="left" w:pos="660" w:leader="none"/>
              <w:tab w:val="right" w:pos="9061" w:leader="dot"/>
            </w:tabs>
            <w:rPr>
              <w:b w:val="false"/>
              <w:bCs w:val="false"/>
              <w:caps w:val="false"/>
              <w:smallCaps w:val="false"/>
              <w:sz w:val="24"/>
              <w:szCs w:val="24"/>
              <w:lang w:val="de-CH" w:eastAsia="en-US"/>
            </w:rPr>
          </w:pPr>
          <w:hyperlink w:anchor="__RefHeading___Toc157772299">
            <w:r>
              <w:rPr>
                <w:rStyle w:val="IndexLink"/>
                <w:lang w:val="en-US" w:eastAsia="en-US"/>
              </w:rPr>
              <w:t>11.</w:t>
            </w:r>
            <w:r>
              <w:rPr>
                <w:rStyle w:val="IndexLink"/>
                <w:b w:val="false"/>
                <w:bCs w:val="false"/>
                <w:caps w:val="false"/>
                <w:smallCaps w:val="false"/>
                <w:sz w:val="24"/>
                <w:szCs w:val="24"/>
                <w:lang w:val="de-CH" w:eastAsia="en-US"/>
              </w:rPr>
              <w:tab/>
            </w:r>
            <w:r>
              <w:rPr>
                <w:rStyle w:val="IndexLink"/>
                <w:lang w:val="en-US" w:eastAsia="en-US"/>
              </w:rPr>
              <w:t>Problem management</w:t>
              <w:tab/>
              <w:t>9</w:t>
            </w:r>
          </w:hyperlink>
        </w:p>
        <w:p>
          <w:pPr>
            <w:pStyle w:val="TOC1"/>
            <w:tabs>
              <w:tab w:val="clear" w:pos="720"/>
              <w:tab w:val="left" w:pos="540" w:leader="none"/>
              <w:tab w:val="left" w:pos="660" w:leader="none"/>
              <w:tab w:val="right" w:pos="9061" w:leader="dot"/>
            </w:tabs>
            <w:rPr>
              <w:b w:val="false"/>
              <w:bCs w:val="false"/>
              <w:caps w:val="false"/>
              <w:smallCaps w:val="false"/>
              <w:sz w:val="24"/>
              <w:szCs w:val="24"/>
              <w:lang w:val="de-CH" w:eastAsia="en-US"/>
            </w:rPr>
          </w:pPr>
          <w:hyperlink w:anchor="__RefHeading___Toc157772300">
            <w:r>
              <w:rPr>
                <w:rStyle w:val="IndexLink"/>
                <w:lang w:val="en-US" w:eastAsia="en-US"/>
              </w:rPr>
              <w:t>12.</w:t>
            </w:r>
            <w:r>
              <w:rPr>
                <w:rStyle w:val="IndexLink"/>
                <w:b w:val="false"/>
                <w:bCs w:val="false"/>
                <w:caps w:val="false"/>
                <w:smallCaps w:val="false"/>
                <w:sz w:val="24"/>
                <w:szCs w:val="24"/>
                <w:lang w:val="de-CH" w:eastAsia="en-US"/>
              </w:rPr>
              <w:tab/>
            </w:r>
            <w:r>
              <w:rPr>
                <w:rStyle w:val="IndexLink"/>
                <w:lang w:val="en-US" w:eastAsia="en-US"/>
              </w:rPr>
              <w:t>Change management</w:t>
              <w:tab/>
              <w:t>10</w:t>
            </w:r>
          </w:hyperlink>
        </w:p>
        <w:p>
          <w:pPr>
            <w:pStyle w:val="TOC1"/>
            <w:tabs>
              <w:tab w:val="clear" w:pos="720"/>
              <w:tab w:val="left" w:pos="540" w:leader="none"/>
              <w:tab w:val="left" w:pos="660" w:leader="none"/>
              <w:tab w:val="right" w:pos="9061" w:leader="dot"/>
            </w:tabs>
            <w:rPr>
              <w:b w:val="false"/>
              <w:bCs w:val="false"/>
              <w:caps w:val="false"/>
              <w:smallCaps w:val="false"/>
              <w:sz w:val="24"/>
              <w:szCs w:val="24"/>
              <w:lang w:val="de-CH" w:eastAsia="en-US"/>
            </w:rPr>
          </w:pPr>
          <w:hyperlink w:anchor="__RefHeading___Toc157772301">
            <w:r>
              <w:rPr>
                <w:rStyle w:val="IndexLink"/>
                <w:lang w:val="en-US" w:eastAsia="en-US"/>
              </w:rPr>
              <w:t>13.</w:t>
            </w:r>
            <w:r>
              <w:rPr>
                <w:rStyle w:val="IndexLink"/>
                <w:b w:val="false"/>
                <w:bCs w:val="false"/>
                <w:caps w:val="false"/>
                <w:smallCaps w:val="false"/>
                <w:sz w:val="24"/>
                <w:szCs w:val="24"/>
                <w:lang w:val="de-CH" w:eastAsia="en-US"/>
              </w:rPr>
              <w:tab/>
            </w:r>
            <w:r>
              <w:rPr>
                <w:rStyle w:val="IndexLink"/>
                <w:lang w:val="en-US" w:eastAsia="en-US"/>
              </w:rPr>
              <w:t>ongoing business divestitures and acquisitions</w:t>
              <w:tab/>
              <w:t>11</w:t>
            </w:r>
          </w:hyperlink>
        </w:p>
        <w:p>
          <w:pPr>
            <w:pStyle w:val="TOC1"/>
            <w:tabs>
              <w:tab w:val="clear" w:pos="720"/>
              <w:tab w:val="left" w:pos="540" w:leader="none"/>
              <w:tab w:val="left" w:pos="660" w:leader="none"/>
              <w:tab w:val="right" w:pos="9061" w:leader="dot"/>
            </w:tabs>
            <w:rPr>
              <w:b w:val="false"/>
              <w:bCs w:val="false"/>
              <w:caps w:val="false"/>
              <w:smallCaps w:val="false"/>
              <w:sz w:val="24"/>
              <w:szCs w:val="24"/>
              <w:lang w:val="de-CH" w:eastAsia="en-US"/>
            </w:rPr>
          </w:pPr>
          <w:hyperlink w:anchor="__RefHeading___Toc157772302">
            <w:r>
              <w:rPr>
                <w:rStyle w:val="IndexLink"/>
                <w:lang w:val="en-US" w:eastAsia="en-US"/>
              </w:rPr>
              <w:t>14.</w:t>
            </w:r>
            <w:r>
              <w:rPr>
                <w:rStyle w:val="IndexLink"/>
                <w:b w:val="false"/>
                <w:bCs w:val="false"/>
                <w:caps w:val="false"/>
                <w:smallCaps w:val="false"/>
                <w:sz w:val="24"/>
                <w:szCs w:val="24"/>
                <w:lang w:val="de-CH" w:eastAsia="en-US"/>
              </w:rPr>
              <w:tab/>
            </w:r>
            <w:r>
              <w:rPr>
                <w:rStyle w:val="IndexLink"/>
                <w:lang w:val="en-US" w:eastAsia="en-US"/>
              </w:rPr>
              <w:t>consolidation and relocation services</w:t>
              <w:tab/>
              <w:t>11</w:t>
            </w:r>
          </w:hyperlink>
        </w:p>
        <w:p>
          <w:pPr>
            <w:pStyle w:val="TOC1"/>
            <w:tabs>
              <w:tab w:val="clear" w:pos="720"/>
              <w:tab w:val="left" w:pos="540" w:leader="none"/>
              <w:tab w:val="left" w:pos="660" w:leader="none"/>
              <w:tab w:val="right" w:pos="9061" w:leader="dot"/>
            </w:tabs>
            <w:rPr>
              <w:b w:val="false"/>
              <w:bCs w:val="false"/>
              <w:caps w:val="false"/>
              <w:smallCaps w:val="false"/>
              <w:sz w:val="24"/>
              <w:szCs w:val="24"/>
              <w:lang w:val="de-CH" w:eastAsia="en-US"/>
            </w:rPr>
          </w:pPr>
          <w:hyperlink w:anchor="__RefHeading___Toc157772303">
            <w:r>
              <w:rPr>
                <w:rStyle w:val="IndexLink"/>
                <w:lang w:val="en-US" w:eastAsia="en-US"/>
              </w:rPr>
              <w:t>15.</w:t>
            </w:r>
            <w:r>
              <w:rPr>
                <w:rStyle w:val="IndexLink"/>
                <w:b w:val="false"/>
                <w:bCs w:val="false"/>
                <w:caps w:val="false"/>
                <w:smallCaps w:val="false"/>
                <w:sz w:val="24"/>
                <w:szCs w:val="24"/>
                <w:lang w:val="de-CH" w:eastAsia="en-US"/>
              </w:rPr>
              <w:tab/>
            </w:r>
            <w:r>
              <w:rPr>
                <w:rStyle w:val="IndexLink"/>
                <w:lang w:val="en-US" w:eastAsia="en-US"/>
              </w:rPr>
              <w:t>Reporting and records Retention</w:t>
              <w:tab/>
              <w:t>12</w:t>
            </w:r>
          </w:hyperlink>
        </w:p>
        <w:p>
          <w:pPr>
            <w:pStyle w:val="TOC1"/>
            <w:tabs>
              <w:tab w:val="clear" w:pos="720"/>
              <w:tab w:val="left" w:pos="540" w:leader="none"/>
              <w:tab w:val="left" w:pos="660" w:leader="none"/>
              <w:tab w:val="right" w:pos="9061" w:leader="dot"/>
            </w:tabs>
            <w:rPr>
              <w:b w:val="false"/>
              <w:bCs w:val="false"/>
              <w:caps w:val="false"/>
              <w:smallCaps w:val="false"/>
              <w:sz w:val="24"/>
              <w:szCs w:val="24"/>
              <w:lang w:val="de-CH" w:eastAsia="en-US"/>
            </w:rPr>
          </w:pPr>
          <w:hyperlink w:anchor="__RefHeading___Toc157772304">
            <w:r>
              <w:rPr>
                <w:rStyle w:val="IndexLink"/>
                <w:lang w:val="en-US" w:eastAsia="en-US"/>
              </w:rPr>
              <w:t>16.</w:t>
            </w:r>
            <w:r>
              <w:rPr>
                <w:rStyle w:val="IndexLink"/>
                <w:b w:val="false"/>
                <w:bCs w:val="false"/>
                <w:caps w:val="false"/>
                <w:smallCaps w:val="false"/>
                <w:sz w:val="24"/>
                <w:szCs w:val="24"/>
                <w:lang w:val="de-CH" w:eastAsia="en-US"/>
              </w:rPr>
              <w:tab/>
            </w:r>
            <w:r>
              <w:rPr>
                <w:rStyle w:val="IndexLink"/>
                <w:lang w:val="en-US" w:eastAsia="en-US"/>
              </w:rPr>
              <w:t>Performance Measurement and effectiveness</w:t>
              <w:tab/>
              <w:t>13</w:t>
            </w:r>
          </w:hyperlink>
        </w:p>
        <w:p>
          <w:pPr>
            <w:pStyle w:val="TOC1"/>
            <w:tabs>
              <w:tab w:val="clear" w:pos="720"/>
              <w:tab w:val="left" w:pos="540" w:leader="none"/>
              <w:tab w:val="left" w:pos="660" w:leader="none"/>
              <w:tab w:val="right" w:pos="9061" w:leader="dot"/>
            </w:tabs>
            <w:rPr>
              <w:b w:val="false"/>
              <w:bCs w:val="false"/>
              <w:caps w:val="false"/>
              <w:smallCaps w:val="false"/>
              <w:sz w:val="24"/>
              <w:szCs w:val="24"/>
              <w:lang w:val="de-CH" w:eastAsia="en-US"/>
            </w:rPr>
          </w:pPr>
          <w:hyperlink w:anchor="__RefHeading___Toc157772305">
            <w:r>
              <w:rPr>
                <w:rStyle w:val="IndexLink"/>
                <w:lang w:val="en-US" w:eastAsia="en-US"/>
              </w:rPr>
              <w:t>17.</w:t>
            </w:r>
            <w:r>
              <w:rPr>
                <w:rStyle w:val="IndexLink"/>
                <w:b w:val="false"/>
                <w:bCs w:val="false"/>
                <w:caps w:val="false"/>
                <w:smallCaps w:val="false"/>
                <w:sz w:val="24"/>
                <w:szCs w:val="24"/>
                <w:lang w:val="de-CH" w:eastAsia="en-US"/>
              </w:rPr>
              <w:tab/>
            </w:r>
            <w:r>
              <w:rPr>
                <w:rStyle w:val="IndexLink"/>
                <w:lang w:val="en-US" w:eastAsia="en-US"/>
              </w:rPr>
              <w:t>MONITOR AND COMMUNICATE SERVICE COMPLIANCE</w:t>
              <w:tab/>
              <w:t>13</w:t>
            </w:r>
          </w:hyperlink>
        </w:p>
        <w:p>
          <w:pPr>
            <w:pStyle w:val="TOC1"/>
            <w:tabs>
              <w:tab w:val="clear" w:pos="720"/>
              <w:tab w:val="left" w:pos="540" w:leader="none"/>
              <w:tab w:val="left" w:pos="660" w:leader="none"/>
              <w:tab w:val="right" w:pos="9061" w:leader="dot"/>
            </w:tabs>
            <w:rPr>
              <w:b w:val="false"/>
              <w:bCs w:val="false"/>
              <w:caps w:val="false"/>
              <w:smallCaps w:val="false"/>
              <w:sz w:val="24"/>
              <w:szCs w:val="24"/>
              <w:lang w:val="de-CH" w:eastAsia="en-US"/>
            </w:rPr>
          </w:pPr>
          <w:hyperlink w:anchor="__RefHeading___Toc157772306">
            <w:r>
              <w:rPr>
                <w:rStyle w:val="IndexLink"/>
                <w:lang w:val="en-US" w:eastAsia="en-US"/>
              </w:rPr>
              <w:t>18.</w:t>
            </w:r>
            <w:r>
              <w:rPr>
                <w:rStyle w:val="IndexLink"/>
                <w:b w:val="false"/>
                <w:bCs w:val="false"/>
                <w:caps w:val="false"/>
                <w:smallCaps w:val="false"/>
                <w:sz w:val="24"/>
                <w:szCs w:val="24"/>
                <w:lang w:val="de-CH" w:eastAsia="en-US"/>
              </w:rPr>
              <w:tab/>
            </w:r>
            <w:r>
              <w:rPr>
                <w:rStyle w:val="IndexLink"/>
                <w:lang w:val="en-US" w:eastAsia="en-US"/>
              </w:rPr>
              <w:t>Third Party Material</w:t>
              <w:tab/>
              <w:t>14</w:t>
            </w:r>
          </w:hyperlink>
        </w:p>
        <w:p>
          <w:pPr>
            <w:pStyle w:val="TOC1"/>
            <w:tabs>
              <w:tab w:val="clear" w:pos="720"/>
              <w:tab w:val="left" w:pos="540" w:leader="none"/>
              <w:tab w:val="left" w:pos="660" w:leader="none"/>
              <w:tab w:val="right" w:pos="9061" w:leader="dot"/>
            </w:tabs>
            <w:rPr>
              <w:sz w:val="24"/>
              <w:szCs w:val="24"/>
              <w:lang w:val="de-CH" w:eastAsia="en-US"/>
            </w:rPr>
          </w:pPr>
          <w:hyperlink w:anchor="__RefHeading___Toc157772307">
            <w:r>
              <w:rPr>
                <w:rStyle w:val="IndexLink"/>
                <w:b w:val="false"/>
                <w:bCs w:val="false"/>
                <w:caps w:val="false"/>
                <w:smallCaps w:val="false"/>
                <w:lang w:val="en-US" w:eastAsia="en-US"/>
              </w:rPr>
              <w:t>19.</w:t>
            </w:r>
            <w:r>
              <w:rPr>
                <w:rStyle w:val="IndexLink"/>
                <w:b w:val="false"/>
                <w:bCs w:val="false"/>
                <w:caps w:val="false"/>
                <w:smallCaps w:val="false"/>
                <w:sz w:val="24"/>
                <w:szCs w:val="24"/>
                <w:lang w:val="de-CH" w:eastAsia="en-US"/>
              </w:rPr>
              <w:tab/>
            </w:r>
            <w:r>
              <w:rPr>
                <w:rStyle w:val="IndexLink"/>
                <w:b w:val="false"/>
                <w:bCs w:val="false"/>
                <w:caps w:val="false"/>
                <w:smallCaps w:val="false"/>
                <w:lang w:val="en-US" w:eastAsia="en-US"/>
              </w:rPr>
              <w:t>IP Rights Listing</w:t>
              <w:tab/>
              <w:t>14</w:t>
            </w:r>
          </w:hyperlink>
          <w:r>
            <w:rPr>
              <w:rStyle w:val="IndexLink"/>
              <w:smallCaps w:val="false"/>
              <w:caps w:val="false"/>
              <w:b w:val="false"/>
              <w:bCs w:val="false"/>
              <w:lang w:val="en-US" w:eastAsia="en-US"/>
            </w:rPr>
            <w:fldChar w:fldCharType="end"/>
          </w:r>
        </w:p>
      </w:sdtContent>
    </w:sdt>
    <w:p>
      <w:pPr>
        <w:pStyle w:val="Normal"/>
        <w:numPr>
          <w:ilvl w:val="0"/>
          <w:numId w:val="0"/>
        </w:numPr>
        <w:tabs>
          <w:tab w:val="clear" w:pos="720"/>
          <w:tab w:val="left" w:pos="540" w:leader="none"/>
        </w:tabs>
        <w:ind w:hanging="540" w:start="540" w:end="0"/>
        <w:rPr>
          <w:rFonts w:ascii="Verdana" w:hAnsi="Verdana" w:cs="Verdana"/>
          <w:b/>
          <w:bCs/>
          <w:caps/>
          <w:sz w:val="20"/>
          <w:szCs w:val="20"/>
          <w:lang w:val="de-CH" w:eastAsia="en-US"/>
        </w:rPr>
      </w:pPr>
      <w:r>
        <w:rPr>
          <w:rFonts w:cs="Verdana" w:ascii="Verdana" w:hAnsi="Verdana"/>
          <w:b/>
          <w:bCs/>
          <w:caps/>
          <w:sz w:val="20"/>
          <w:szCs w:val="20"/>
          <w:lang w:val="de-CH" w:eastAsia="en-US"/>
        </w:rPr>
      </w:r>
      <w:r>
        <w:br w:type="page"/>
      </w:r>
    </w:p>
    <w:p>
      <w:pPr>
        <w:pStyle w:val="Normal"/>
        <w:tabs>
          <w:tab w:val="clear" w:pos="720"/>
          <w:tab w:val="left" w:pos="540" w:leader="none"/>
        </w:tabs>
        <w:ind w:start="540" w:end="0"/>
        <w:rPr>
          <w:rFonts w:ascii="Verdana" w:hAnsi="Verdana" w:cs="Verdana"/>
          <w:sz w:val="20"/>
          <w:szCs w:val="20"/>
        </w:rPr>
      </w:pPr>
      <w:r>
        <w:rPr>
          <w:rFonts w:cs="Verdana" w:ascii="Verdana" w:hAnsi="Verdana"/>
          <w:sz w:val="20"/>
          <w:szCs w:val="20"/>
        </w:rPr>
      </w:r>
    </w:p>
    <w:p>
      <w:pPr>
        <w:pStyle w:val="Formatvorlage1"/>
        <w:numPr>
          <w:ilvl w:val="0"/>
          <w:numId w:val="14"/>
        </w:numPr>
        <w:rPr/>
      </w:pPr>
      <w:bookmarkStart w:id="0" w:name="__RefHeading___Toc157772289"/>
      <w:bookmarkEnd w:id="0"/>
      <w:r>
        <w:rPr/>
        <w:t>General Requirements</w:t>
      </w:r>
    </w:p>
    <w:p>
      <w:pPr>
        <w:pStyle w:val="Heading2"/>
        <w:numPr>
          <w:ilvl w:val="1"/>
          <w:numId w:val="14"/>
        </w:numPr>
        <w:ind w:hanging="0" w:start="0"/>
        <w:rPr/>
      </w:pPr>
      <w:r>
        <w:rPr/>
        <w:t>The Service Provider’s responsibilities include:</w:t>
      </w:r>
    </w:p>
    <w:p>
      <w:pPr>
        <w:pStyle w:val="Heading2"/>
        <w:numPr>
          <w:ilvl w:val="1"/>
          <w:numId w:val="14"/>
        </w:numPr>
        <w:ind w:hanging="0" w:start="0"/>
        <w:rPr/>
      </w:pPr>
      <w:r>
        <w:rPr/>
        <w:t>Perform all Cross Functional (CF) Business Process Services for all Finance and Accounting Services described in Exhibit 2.1 in conjunction with the Services described in the Exhibits 2.2 to 2.8 as of the Commencement Date unless otherwise specified.</w:t>
      </w:r>
    </w:p>
    <w:p>
      <w:pPr>
        <w:pStyle w:val="Heading2"/>
        <w:numPr>
          <w:ilvl w:val="1"/>
          <w:numId w:val="14"/>
        </w:numPr>
        <w:ind w:hanging="0" w:start="0"/>
        <w:rPr/>
      </w:pPr>
      <w:r>
        <w:rPr/>
        <w:t>Perform all services, tasks, obligations and responsibilities described in this Exhibit at or above applicable Service Levels and in accordance with the terms of the Agreement as of the Commencement Date unless otherwise specified.</w:t>
      </w:r>
    </w:p>
    <w:p>
      <w:pPr>
        <w:pStyle w:val="Heading2"/>
        <w:numPr>
          <w:ilvl w:val="1"/>
          <w:numId w:val="14"/>
        </w:numPr>
        <w:ind w:hanging="0" w:start="0"/>
        <w:rPr>
          <w:bCs/>
          <w:szCs w:val="22"/>
        </w:rPr>
      </w:pPr>
      <w:r>
        <w:rPr/>
        <w:t>As part of the Services and the Base Charges, and at no additional charge, fee, cost or expense to GlobalPharma, the Service Provider shall provide all of the services described in this Exhibit including all in-scope activities performed by Affected Employees.</w:t>
      </w:r>
    </w:p>
    <w:p>
      <w:pPr>
        <w:pStyle w:val="Heading2"/>
        <w:numPr>
          <w:ilvl w:val="1"/>
          <w:numId w:val="14"/>
        </w:numPr>
        <w:ind w:hanging="0" w:start="0"/>
        <w:rPr/>
      </w:pPr>
      <w:r>
        <w:rPr/>
        <w:t>Provide the most efficient and effective solution possible, not being constrained by specific GlobalPharma methodologies or technologies, with the agreement of GlobalPharma.</w:t>
      </w:r>
    </w:p>
    <w:p>
      <w:pPr>
        <w:pStyle w:val="Formatvorlage1"/>
        <w:numPr>
          <w:ilvl w:val="0"/>
          <w:numId w:val="14"/>
        </w:numPr>
        <w:rPr/>
      </w:pPr>
      <w:bookmarkStart w:id="1" w:name="__RefHeading___Toc157772290"/>
      <w:bookmarkEnd w:id="1"/>
      <w:r>
        <w:rPr/>
        <w:t>Delivery Model - Service CenterS and Locations</w:t>
      </w:r>
    </w:p>
    <w:p>
      <w:pPr>
        <w:pStyle w:val="Heading2"/>
        <w:numPr>
          <w:ilvl w:val="1"/>
          <w:numId w:val="14"/>
        </w:numPr>
        <w:ind w:hanging="0" w:start="0"/>
        <w:rPr/>
      </w:pPr>
      <w:r>
        <w:rPr/>
        <w:t>Continental European Finance and Procurement operations and processes (plus the UK Procurement processes) will be delivered out of the Service Provider’s service centre in Bucharest (Romania). UK (except the procurement processes) and US services will be delivered out of Service Provider’s service centre in Kolkata (India).</w:t>
      </w:r>
    </w:p>
    <w:p>
      <w:pPr>
        <w:pStyle w:val="Heading2"/>
        <w:numPr>
          <w:ilvl w:val="1"/>
          <w:numId w:val="14"/>
        </w:numPr>
        <w:ind w:hanging="0" w:start="0"/>
        <w:rPr/>
      </w:pPr>
      <w:r>
        <w:rPr/>
        <w:t>Any further opportunities to shift services for Europe to India would be handled in a second step subject to GlobalPharma agreement. The guiding rule is that wherever there is a need for English language services at sufficient scale those could be delivered from Kolkata (India). Any change is handled through the Change control mechanism described in Exhibit 20.</w:t>
      </w:r>
    </w:p>
    <w:p>
      <w:pPr>
        <w:pStyle w:val="Formatvorlage1"/>
        <w:numPr>
          <w:ilvl w:val="0"/>
          <w:numId w:val="14"/>
        </w:numPr>
        <w:rPr/>
      </w:pPr>
      <w:bookmarkStart w:id="2" w:name="__RefHeading___Toc157772291"/>
      <w:bookmarkEnd w:id="2"/>
      <w:r>
        <w:rPr/>
        <w:t>Policies and Procedures</w:t>
      </w:r>
    </w:p>
    <w:p>
      <w:pPr>
        <w:pStyle w:val="Heading2"/>
        <w:numPr>
          <w:ilvl w:val="1"/>
          <w:numId w:val="14"/>
        </w:numPr>
        <w:ind w:hanging="0" w:start="0"/>
        <w:rPr/>
      </w:pPr>
      <w:r>
        <w:rPr/>
        <w:t>The Service Provider’s responsibilities include, but are not limited to:</w:t>
      </w:r>
    </w:p>
    <w:p>
      <w:pPr>
        <w:pStyle w:val="Heading2"/>
        <w:numPr>
          <w:ilvl w:val="1"/>
          <w:numId w:val="14"/>
        </w:numPr>
        <w:ind w:hanging="0" w:start="0"/>
        <w:rPr/>
      </w:pPr>
      <w:r>
        <w:rPr/>
        <w:t xml:space="preserve">Understand all GlobalPharma policies and how current processes and systems map against those policies. </w:t>
      </w:r>
    </w:p>
    <w:p>
      <w:pPr>
        <w:pStyle w:val="Heading2"/>
        <w:numPr>
          <w:ilvl w:val="1"/>
          <w:numId w:val="14"/>
        </w:numPr>
        <w:ind w:hanging="0" w:start="0"/>
        <w:rPr/>
      </w:pPr>
      <w:r>
        <w:rPr/>
        <w:t>The exact split of work would be jointly defined and signed-off in the policies and procedures of GlobalPharma. Before the Knowledge Transfer/On the Job Training (as defined in Exhibit 21), the Service Provider will work with GlobalPharma to arrive at the detailed process maps for each activity performed by the Service Provider and document those. Once validated and approved by the GlobalPharma team, these will be followed and adhered to by the team of the Service Provider. Any changes or updates to these will also be maintained by Service Provider after appropriate validation and approval by GlobalPharma during the entire contract lifecycle.</w:t>
      </w:r>
    </w:p>
    <w:p>
      <w:pPr>
        <w:pStyle w:val="Heading2"/>
        <w:numPr>
          <w:ilvl w:val="1"/>
          <w:numId w:val="14"/>
        </w:numPr>
        <w:ind w:hanging="0" w:start="0"/>
        <w:rPr/>
      </w:pPr>
      <w:r>
        <w:rPr/>
        <w:t>Identify, communicate and track any issues on the processes outsourced to the Service Provider back to GlobalPharma – including those which result from issues in GlobalPharma work scope. Each party is responsible to resolve issues created in their work scope based on cost-benefit assessments for potential resolution alternatives of those issues. Cost-benefit assessments are provided by the Service Provider in a reasonable and agreed timeframe, in which advice to GlobalPharma is provided on work process design and potential implications.</w:t>
      </w:r>
    </w:p>
    <w:p>
      <w:pPr>
        <w:pStyle w:val="Heading2"/>
        <w:numPr>
          <w:ilvl w:val="1"/>
          <w:numId w:val="14"/>
        </w:numPr>
        <w:ind w:hanging="0" w:start="0"/>
        <w:rPr>
          <w:rFonts w:ascii="Arial" w:hAnsi="Arial" w:cs="Arial"/>
          <w:szCs w:val="22"/>
        </w:rPr>
      </w:pPr>
      <w:r>
        <w:rPr/>
        <w:t>Implement issue escalation process where Service Provider’s process managers regularly meet to review potential control issues, audit results and recommendations, and implement enhancements upon GlobalPharma approval.</w:t>
      </w:r>
    </w:p>
    <w:p>
      <w:pPr>
        <w:pStyle w:val="Heading2"/>
        <w:numPr>
          <w:ilvl w:val="1"/>
          <w:numId w:val="14"/>
        </w:numPr>
        <w:ind w:hanging="0" w:start="0"/>
        <w:rPr>
          <w:rFonts w:ascii="Arial" w:hAnsi="Arial" w:cs="Arial"/>
          <w:szCs w:val="22"/>
        </w:rPr>
      </w:pPr>
      <w:r>
        <w:rPr/>
        <w:t>Provide input to GlobalPharma on policy change opportunities, proposed policy changes, industry direction, as is relevant to the in-scope processes and how such changes will impact then-current work processes and systems.</w:t>
      </w:r>
    </w:p>
    <w:p>
      <w:pPr>
        <w:pStyle w:val="Heading2"/>
        <w:numPr>
          <w:ilvl w:val="1"/>
          <w:numId w:val="14"/>
        </w:numPr>
        <w:ind w:hanging="0" w:start="0"/>
        <w:rPr>
          <w:rFonts w:ascii="Arial" w:hAnsi="Arial" w:cs="Arial"/>
          <w:szCs w:val="22"/>
        </w:rPr>
      </w:pPr>
      <w:r>
        <w:rPr/>
        <w:t>Ensure that existing and new policies and procedures, as communicated by GlobalPharma to the Service Provider, are incorporated into the Standard Operating Procedures and signed off by GlobalPharma..</w:t>
      </w:r>
    </w:p>
    <w:p>
      <w:pPr>
        <w:pStyle w:val="Heading2"/>
        <w:numPr>
          <w:ilvl w:val="1"/>
          <w:numId w:val="14"/>
        </w:numPr>
        <w:ind w:hanging="0" w:start="0"/>
        <w:rPr/>
      </w:pPr>
      <w:r>
        <w:rPr/>
        <w:t>Ensure that GlobalPharma established policy guidelines – including systems security and access policies and procedures - are followed and report policy exceptions to GlobalPharma.</w:t>
      </w:r>
    </w:p>
    <w:p>
      <w:pPr>
        <w:pStyle w:val="Heading2"/>
        <w:numPr>
          <w:ilvl w:val="1"/>
          <w:numId w:val="14"/>
        </w:numPr>
        <w:ind w:hanging="0" w:start="0"/>
        <w:rPr>
          <w:lang w:val="en-GB"/>
        </w:rPr>
      </w:pPr>
      <w:r>
        <w:rPr>
          <w:lang w:val="en-GB"/>
        </w:rPr>
        <w:t>Work collaboratively with all appropriate GlobalPharma functional organizations, internal and external customers and suppliers as appropriate in performing the services.</w:t>
      </w:r>
      <w:r>
        <w:rPr/>
      </w:r>
      <w:r>
        <w:rPr>
          <w:lang w:val="en-GB"/>
        </w:rPr>
      </w:r>
    </w:p>
    <w:p>
      <w:pPr>
        <w:pStyle w:val="Formatvorlage1"/>
        <w:numPr>
          <w:ilvl w:val="0"/>
          <w:numId w:val="14"/>
        </w:numPr>
        <w:rPr/>
      </w:pPr>
      <w:bookmarkStart w:id="3" w:name="__RefHeading___Toc157772292"/>
      <w:bookmarkEnd w:id="3"/>
      <w:r>
        <w:rPr/>
        <w:t>Benchmarking and Best Practices</w:t>
      </w:r>
    </w:p>
    <w:p>
      <w:pPr>
        <w:pStyle w:val="Heading2"/>
        <w:numPr>
          <w:ilvl w:val="1"/>
          <w:numId w:val="14"/>
        </w:numPr>
        <w:ind w:hanging="0" w:start="0"/>
        <w:rPr/>
      </w:pPr>
      <w:r>
        <w:rPr/>
        <w:t>The Service Provider’s responsibilities include, but are not limited to:</w:t>
      </w:r>
    </w:p>
    <w:p>
      <w:pPr>
        <w:pStyle w:val="Heading2"/>
        <w:numPr>
          <w:ilvl w:val="1"/>
          <w:numId w:val="14"/>
        </w:numPr>
        <w:ind w:hanging="0" w:start="0"/>
        <w:rPr>
          <w:rFonts w:ascii="Arial" w:hAnsi="Arial" w:cs="Arial"/>
          <w:szCs w:val="22"/>
        </w:rPr>
      </w:pPr>
      <w:r>
        <w:rPr/>
        <w:t>Facilitate the benchmarking in accordance with the Agreements.</w:t>
      </w:r>
    </w:p>
    <w:p>
      <w:pPr>
        <w:pStyle w:val="Heading2"/>
        <w:numPr>
          <w:ilvl w:val="1"/>
          <w:numId w:val="14"/>
        </w:numPr>
        <w:ind w:hanging="0" w:start="0"/>
        <w:rPr/>
      </w:pPr>
      <w:r>
        <w:rPr/>
        <w:t>Disclose any best practice throughout the policies, procedures and processes not currently applied within GlobalPharma which should be brought to GlobalPharma attention.</w:t>
      </w:r>
    </w:p>
    <w:p>
      <w:pPr>
        <w:pStyle w:val="Heading2"/>
        <w:numPr>
          <w:ilvl w:val="1"/>
          <w:numId w:val="14"/>
        </w:numPr>
        <w:ind w:hanging="0" w:start="0"/>
        <w:rPr/>
      </w:pPr>
      <w:r>
        <w:rPr/>
        <w:t>Recommend updates and improvements to GlobalPharma approval levels, schedule of authorizations and delegation of authority, and other internal controls and supporting workflow on a regular basis but no less than on an annual basis.</w:t>
      </w:r>
    </w:p>
    <w:p>
      <w:pPr>
        <w:pStyle w:val="Heading2"/>
        <w:numPr>
          <w:ilvl w:val="1"/>
          <w:numId w:val="14"/>
        </w:numPr>
        <w:ind w:hanging="0" w:start="0"/>
        <w:rPr/>
      </w:pPr>
      <w:r>
        <w:rPr/>
        <w:t>Review existing processes to evaluate process performance and work with GlobalPharma management to improve upon current performance levels on a regular basis but no less than on an annual basis. Make recommendations for improvement projects in order to leverage common sets of tools and processes at GlobalPharma, utilizing the same to increase efficiency, compliance, reduce operating cost and cycle time while maintaining order quality and accuracy as requested by GlobalPharma.</w:t>
      </w:r>
      <w:r>
        <w:rPr>
          <w:szCs w:val="22"/>
          <w:lang w:val="en-GB"/>
        </w:rPr>
      </w:r>
      <w:r>
        <w:rPr/>
      </w:r>
      <w:r>
        <w:rPr>
          <w:szCs w:val="22"/>
        </w:rPr>
      </w:r>
      <w:r>
        <w:rPr/>
      </w:r>
      <w:r>
        <w:rPr>
          <w:szCs w:val="22"/>
          <w:lang w:val="en-GB"/>
        </w:rPr>
      </w:r>
      <w:r>
        <w:rPr/>
      </w:r>
      <w:r>
        <w:rPr>
          <w:szCs w:val="22"/>
        </w:rPr>
      </w:r>
      <w:r>
        <w:rPr/>
      </w:r>
    </w:p>
    <w:p>
      <w:pPr>
        <w:pStyle w:val="Heading2"/>
        <w:numPr>
          <w:ilvl w:val="1"/>
          <w:numId w:val="14"/>
        </w:numPr>
        <w:ind w:hanging="0" w:start="0"/>
        <w:rPr/>
      </w:pPr>
      <w:r>
        <w:rPr/>
        <w:t>If asked by GlobalPharma, assess the existing outsourcing agreements of GlobalPharma of in scope processes/services if it would be beneficial to GlobalPharma if you would provide these services instead of the existing or other third parties either at contract renewal date or before.</w:t>
      </w:r>
    </w:p>
    <w:p>
      <w:pPr>
        <w:pStyle w:val="Heading2"/>
        <w:numPr>
          <w:ilvl w:val="1"/>
          <w:numId w:val="14"/>
        </w:numPr>
        <w:ind w:hanging="0" w:start="0"/>
        <w:rPr>
          <w:szCs w:val="22"/>
        </w:rPr>
      </w:pPr>
      <w:r>
        <w:rPr/>
        <w:t xml:space="preserve">Provide cost-benefit analysis for potential improvement programs and provide subsequent implementation plans for </w:t>
      </w:r>
      <w:r>
        <w:rPr>
          <w:szCs w:val="22"/>
        </w:rPr>
        <w:t>approved</w:t>
      </w:r>
      <w:r>
        <w:rPr/>
        <w:t xml:space="preserve"> </w:t>
      </w:r>
      <w:r>
        <w:rPr>
          <w:szCs w:val="22"/>
          <w:lang w:val="en-GB"/>
        </w:rPr>
        <w:t>recommendations</w:t>
      </w:r>
      <w:r>
        <w:rPr/>
        <w:t>. The financial aspect is covered in Exhibit 4 Section 8.0 “Incentives to reduce cost”.</w:t>
      </w:r>
    </w:p>
    <w:p>
      <w:pPr>
        <w:pStyle w:val="Heading2"/>
        <w:numPr>
          <w:ilvl w:val="1"/>
          <w:numId w:val="14"/>
        </w:numPr>
        <w:ind w:hanging="0" w:start="0"/>
        <w:rPr/>
      </w:pPr>
      <w:r>
        <w:rPr/>
        <w:t xml:space="preserve">Utilize an </w:t>
      </w:r>
      <w:r>
        <w:rPr>
          <w:szCs w:val="22"/>
        </w:rPr>
        <w:t>appropriate</w:t>
      </w:r>
      <w:r>
        <w:rPr/>
        <w:t xml:space="preserve"> continuous improvement methodology to monitor and improve performance, including but not limited to “Sixsigma (Define Measure Analyze Improve Control)”, a methodology to undertake continuous process improvement focused on reducing defects per million opportunities, “Business Process Management System”, a methodology designed specifically to ensure that improved processes are able to sustain gains and perform consistently at desired levels, “Change Acceleration Process Toolkit”, a support methodology to manage people, set appropriate expectations, and deal with the softer issues of managing change and “Lean”, a methodology that focuses on the removal of waste, which is defined as anything not necessary to produce the product or service, for example, an additional process step, infrastructure, or handoff. Utilize </w:t>
      </w:r>
      <w:r>
        <w:rPr>
          <w:rFonts w:cs="Times New Roman"/>
        </w:rPr>
        <w:t xml:space="preserve">a </w:t>
      </w:r>
      <w:r>
        <w:rPr/>
        <w:t>well-structured quality organization that works closely in tandem with operations to drive process improvement with a continuous focus to exceed its customer's expectations in the quality of services and products provided.</w:t>
      </w:r>
    </w:p>
    <w:p>
      <w:pPr>
        <w:pStyle w:val="Heading2"/>
        <w:numPr>
          <w:ilvl w:val="1"/>
          <w:numId w:val="14"/>
        </w:numPr>
        <w:ind w:hanging="0" w:start="0"/>
        <w:rPr/>
      </w:pPr>
      <w:r>
        <w:rPr/>
        <w:t>Maintain appropriate levels of industry knowledge in GlobalPharma’s business in order to provide support and recommendation of projects. Service Provider will maintain this knowledge through, among other activities, participation in finance and technology training or conferences such as US Generally Accepted Accounting Principles (US GAAP) or process orientated technologies.</w:t>
      </w:r>
    </w:p>
    <w:p>
      <w:pPr>
        <w:pStyle w:val="Heading2"/>
        <w:numPr>
          <w:ilvl w:val="1"/>
          <w:numId w:val="14"/>
        </w:numPr>
        <w:ind w:hanging="0" w:start="0"/>
        <w:rPr/>
      </w:pPr>
      <w:r>
        <w:rPr/>
        <w:t>Expense cost for Pharma or other specific meetings for which GlobalPharma is asking specific staff of the Service Provider to attend are born by GlobalPharma and will require expense approval from GlobalPharma.</w:t>
      </w:r>
    </w:p>
    <w:p>
      <w:pPr>
        <w:pStyle w:val="Formatvorlage1"/>
        <w:numPr>
          <w:ilvl w:val="0"/>
          <w:numId w:val="14"/>
        </w:numPr>
        <w:rPr/>
      </w:pPr>
      <w:bookmarkStart w:id="4" w:name="__RefHeading___Toc157772293"/>
      <w:bookmarkEnd w:id="4"/>
      <w:r>
        <w:rPr/>
        <w:t>Continuous Improvement</w:t>
      </w:r>
    </w:p>
    <w:p>
      <w:pPr>
        <w:pStyle w:val="Heading2"/>
        <w:numPr>
          <w:ilvl w:val="1"/>
          <w:numId w:val="14"/>
        </w:numPr>
        <w:ind w:hanging="0" w:start="0"/>
        <w:rPr/>
      </w:pPr>
      <w:r>
        <w:rPr/>
        <w:t>The Service Provider’s responsibilities include, but are not limited to:</w:t>
      </w:r>
    </w:p>
    <w:p>
      <w:pPr>
        <w:pStyle w:val="Heading2"/>
        <w:numPr>
          <w:ilvl w:val="1"/>
          <w:numId w:val="14"/>
        </w:numPr>
        <w:ind w:hanging="0" w:start="0"/>
        <w:rPr/>
      </w:pPr>
      <w:r>
        <w:rPr/>
        <w:t>To implement continuous services cost, quality, and process improvement opportunities and ensure that the cost, quality, and process benefits flow to GlobalPharma, as agreed in Exhibit 4.</w:t>
      </w:r>
      <w:r>
        <w:rPr>
          <w:szCs w:val="22"/>
          <w:lang w:val="en-GB"/>
        </w:rPr>
      </w:r>
      <w:r>
        <w:rPr/>
      </w:r>
      <w:r>
        <w:rPr>
          <w:szCs w:val="22"/>
        </w:rPr>
      </w:r>
      <w:r>
        <w:rPr/>
      </w:r>
    </w:p>
    <w:p>
      <w:pPr>
        <w:pStyle w:val="Heading2"/>
        <w:numPr>
          <w:ilvl w:val="1"/>
          <w:numId w:val="14"/>
        </w:numPr>
        <w:ind w:hanging="0" w:start="0"/>
        <w:rPr/>
      </w:pPr>
      <w:r>
        <w:rPr/>
        <w:t>To develop and execute communication plans for informing employees of GlobalPharma and its vendors of policy, practice, and tools and system changes on an as-needed basis with regard to the services of the Service Provider.</w:t>
      </w:r>
    </w:p>
    <w:p>
      <w:pPr>
        <w:pStyle w:val="Heading2"/>
        <w:numPr>
          <w:ilvl w:val="1"/>
          <w:numId w:val="14"/>
        </w:numPr>
        <w:ind w:hanging="0" w:start="0"/>
        <w:rPr/>
      </w:pPr>
      <w:r>
        <w:rPr/>
        <w:t>To utilize the agreed change control procedures and governance for approving and implementing any changes to the services.</w:t>
      </w:r>
    </w:p>
    <w:p>
      <w:pPr>
        <w:pStyle w:val="Heading2"/>
        <w:numPr>
          <w:ilvl w:val="1"/>
          <w:numId w:val="14"/>
        </w:numPr>
        <w:ind w:hanging="0" w:start="0"/>
        <w:rPr/>
      </w:pPr>
      <w:r>
        <w:rPr/>
        <w:t>To document, maintain and update all processes, policies and procedures, making same available to GlobalPharma via an electronic repository.</w:t>
      </w:r>
    </w:p>
    <w:p>
      <w:pPr>
        <w:pStyle w:val="Formatvorlage1"/>
        <w:numPr>
          <w:ilvl w:val="0"/>
          <w:numId w:val="14"/>
        </w:numPr>
        <w:rPr/>
      </w:pPr>
      <w:bookmarkStart w:id="5" w:name="__RefHeading___Toc157772294"/>
      <w:bookmarkEnd w:id="5"/>
      <w:r>
        <w:rPr/>
        <w:t>Compliance</w:t>
      </w:r>
    </w:p>
    <w:p>
      <w:pPr>
        <w:pStyle w:val="Heading2"/>
        <w:numPr>
          <w:ilvl w:val="1"/>
          <w:numId w:val="14"/>
        </w:numPr>
        <w:ind w:hanging="0" w:start="0"/>
        <w:rPr/>
      </w:pPr>
      <w:r>
        <w:rPr/>
        <w:t>The Service Provider’s responsibilities include, but are not limited to:</w:t>
      </w:r>
    </w:p>
    <w:p>
      <w:pPr>
        <w:pStyle w:val="Heading2"/>
        <w:numPr>
          <w:ilvl w:val="1"/>
          <w:numId w:val="14"/>
        </w:numPr>
        <w:ind w:hanging="0" w:start="0"/>
        <w:rPr/>
      </w:pPr>
      <w:r>
        <w:rPr/>
        <w:t>Work within approved Governance frameworks for its vendor relationships as agreed in Exhibit 6.</w:t>
      </w:r>
    </w:p>
    <w:p>
      <w:pPr>
        <w:pStyle w:val="Heading2"/>
        <w:numPr>
          <w:ilvl w:val="1"/>
          <w:numId w:val="14"/>
        </w:numPr>
        <w:ind w:hanging="0" w:start="0"/>
        <w:rPr/>
      </w:pPr>
      <w:r>
        <w:rPr/>
        <w:t>Support that GlobalPharma is in compliance with Generally Accepted Accounting Principles (GAAP) and equivalent principles in non-US countries for each country implemented and attest performance in conformity with agreed standard operating procedures.</w:t>
      </w:r>
    </w:p>
    <w:p>
      <w:pPr>
        <w:pStyle w:val="Heading2"/>
        <w:numPr>
          <w:ilvl w:val="1"/>
          <w:numId w:val="14"/>
        </w:numPr>
        <w:ind w:hanging="0" w:start="0"/>
        <w:rPr/>
      </w:pPr>
      <w:r>
        <w:rPr/>
        <w:t>Support GlobalPharma internal audit and third party auditors to ensure compliance with existing GlobalPharma rules and requirements including US GAAP and equivalent principles in non-US countries.</w:t>
      </w:r>
    </w:p>
    <w:p>
      <w:pPr>
        <w:pStyle w:val="Formatvorlage1"/>
        <w:numPr>
          <w:ilvl w:val="0"/>
          <w:numId w:val="14"/>
        </w:numPr>
        <w:rPr/>
      </w:pPr>
      <w:bookmarkStart w:id="6" w:name="__RefHeading___Toc157772295"/>
      <w:bookmarkEnd w:id="6"/>
      <w:r>
        <w:rPr/>
        <w:t>Language and Hours of Operation</w:t>
      </w:r>
    </w:p>
    <w:p>
      <w:pPr>
        <w:pStyle w:val="Heading2"/>
        <w:numPr>
          <w:ilvl w:val="1"/>
          <w:numId w:val="14"/>
        </w:numPr>
        <w:ind w:hanging="0" w:start="0"/>
        <w:rPr/>
      </w:pPr>
      <w:r>
        <w:rPr/>
        <w:t>The responsibilities of the Service Provider include:</w:t>
      </w:r>
    </w:p>
    <w:p>
      <w:pPr>
        <w:pStyle w:val="Heading2"/>
        <w:numPr>
          <w:ilvl w:val="1"/>
          <w:numId w:val="14"/>
        </w:numPr>
        <w:ind w:hanging="0" w:start="0"/>
        <w:rPr>
          <w:rFonts w:ascii="Arial" w:hAnsi="Arial" w:cs="Arial"/>
          <w:szCs w:val="22"/>
        </w:rPr>
      </w:pPr>
      <w:r>
        <w:rPr/>
        <w:t xml:space="preserve">Provide support processing capabilities in the following languages: </w:t>
      </w:r>
      <w:r>
        <w:rPr>
          <w:lang w:val="en-GB"/>
        </w:rPr>
        <w:t>English, French, German, Spanish, and Italian for all in-scope processes.</w:t>
      </w:r>
      <w:r>
        <w:rPr>
          <w:rFonts w:cs="Arial" w:ascii="Arial" w:hAnsi="Arial"/>
          <w:szCs w:val="22"/>
        </w:rPr>
        <w:t xml:space="preserve"> </w:t>
      </w:r>
    </w:p>
    <w:p>
      <w:pPr>
        <w:pStyle w:val="Heading2"/>
        <w:numPr>
          <w:ilvl w:val="1"/>
          <w:numId w:val="14"/>
        </w:numPr>
        <w:ind w:hanging="0" w:start="0"/>
        <w:rPr/>
      </w:pPr>
      <w:r>
        <w:rPr/>
        <w:t>Provide support processing capabilities for the following hours of operations:</w:t>
      </w:r>
    </w:p>
    <w:p>
      <w:pPr>
        <w:pStyle w:val="Heading2"/>
        <w:numPr>
          <w:ilvl w:val="1"/>
          <w:numId w:val="4"/>
        </w:numPr>
        <w:spacing w:before="120" w:after="120"/>
        <w:ind w:hanging="357" w:start="1259" w:end="0"/>
        <w:rPr/>
      </w:pPr>
      <w:r>
        <w:rPr/>
        <w:t>US: 8:30 am – 5:00 pm EST</w:t>
      </w:r>
    </w:p>
    <w:p>
      <w:pPr>
        <w:pStyle w:val="Heading2"/>
        <w:numPr>
          <w:ilvl w:val="1"/>
          <w:numId w:val="4"/>
        </w:numPr>
        <w:spacing w:before="120" w:after="120"/>
        <w:ind w:hanging="357" w:start="1259" w:end="0"/>
        <w:rPr/>
      </w:pPr>
      <w:r>
        <w:rPr/>
        <w:t>UK: 8:00 am – 5:00 pm GMT</w:t>
      </w:r>
    </w:p>
    <w:p>
      <w:pPr>
        <w:pStyle w:val="Heading2"/>
        <w:numPr>
          <w:ilvl w:val="1"/>
          <w:numId w:val="4"/>
        </w:numPr>
        <w:spacing w:before="120" w:after="120"/>
        <w:ind w:hanging="357" w:start="1259" w:end="0"/>
        <w:rPr/>
      </w:pPr>
      <w:r>
        <w:rPr/>
        <w:t>Zurich, France, Italy: 8:00 am – 5:00 pm GMT+1</w:t>
      </w:r>
    </w:p>
    <w:p>
      <w:pPr>
        <w:pStyle w:val="Heading2"/>
        <w:numPr>
          <w:ilvl w:val="1"/>
          <w:numId w:val="4"/>
        </w:numPr>
        <w:spacing w:before="120" w:after="120"/>
        <w:ind w:hanging="357" w:start="1259" w:end="0"/>
        <w:rPr/>
      </w:pPr>
      <w:r>
        <w:rPr/>
        <w:t>Germany: 8:00 – 6:00 pm GMT+1</w:t>
      </w:r>
    </w:p>
    <w:p>
      <w:pPr>
        <w:pStyle w:val="Heading2"/>
        <w:numPr>
          <w:ilvl w:val="1"/>
          <w:numId w:val="4"/>
        </w:numPr>
        <w:spacing w:before="120" w:after="120"/>
        <w:ind w:hanging="357" w:start="1259" w:end="0"/>
        <w:rPr/>
      </w:pPr>
      <w:r>
        <w:rPr/>
        <w:t>Spain: 09:00 am – 8:00 pm GMT+1</w:t>
      </w:r>
    </w:p>
    <w:p>
      <w:pPr>
        <w:pStyle w:val="Heading2"/>
        <w:numPr>
          <w:ilvl w:val="1"/>
          <w:numId w:val="14"/>
        </w:numPr>
        <w:ind w:hanging="0" w:start="0"/>
        <w:rPr/>
      </w:pPr>
      <w:r>
        <w:rPr/>
        <w:t>During Solution Identification (Transition) GlobalPharma will finalize with Service Provider how to deploy staff to cover the required hours of operations based on current set up. Provide flexible working time patterns to meet GlobalPharma hours of operation.</w:t>
      </w:r>
    </w:p>
    <w:p>
      <w:pPr>
        <w:pStyle w:val="Heading2"/>
        <w:numPr>
          <w:ilvl w:val="1"/>
          <w:numId w:val="14"/>
        </w:numPr>
        <w:ind w:hanging="0" w:start="0"/>
        <w:rPr/>
      </w:pPr>
      <w:r>
        <w:rPr/>
        <w:t>Provide fully available support process capabilities in accordance with the monthly, quarterly and annual closing schedule until the closing is complete.</w:t>
      </w:r>
    </w:p>
    <w:p>
      <w:pPr>
        <w:pStyle w:val="Heading2"/>
        <w:numPr>
          <w:ilvl w:val="1"/>
          <w:numId w:val="14"/>
        </w:numPr>
        <w:ind w:hanging="0" w:start="0"/>
        <w:rPr/>
      </w:pPr>
      <w:r>
        <w:rPr/>
        <w:t>Support ad-hoc one time requests outside the defined hours of operations in English language through leveraging other global delivery centers which work with multiple shifts, e.g. service delivery on ad-hoc requests of European GlobalPharma from India. Any repetitive requests with significant volumes (except month end close) are to be handled as a service extension through change control.</w:t>
      </w:r>
    </w:p>
    <w:p>
      <w:pPr>
        <w:pStyle w:val="Formatvorlage1"/>
        <w:numPr>
          <w:ilvl w:val="0"/>
          <w:numId w:val="14"/>
        </w:numPr>
        <w:rPr/>
      </w:pPr>
      <w:bookmarkStart w:id="7" w:name="__RefHeading___Toc157772296"/>
      <w:bookmarkEnd w:id="7"/>
      <w:r>
        <w:rPr/>
        <w:t>Project management and support</w:t>
      </w:r>
    </w:p>
    <w:p>
      <w:pPr>
        <w:pStyle w:val="Heading2"/>
        <w:numPr>
          <w:ilvl w:val="1"/>
          <w:numId w:val="14"/>
        </w:numPr>
        <w:ind w:hanging="0" w:start="0"/>
        <w:rPr/>
      </w:pPr>
      <w:r>
        <w:rPr/>
        <w:t>Project Planning</w:t>
      </w:r>
    </w:p>
    <w:p>
      <w:pPr>
        <w:pStyle w:val="Heading3"/>
        <w:numPr>
          <w:ilvl w:val="2"/>
          <w:numId w:val="14"/>
        </w:numPr>
        <w:rPr/>
      </w:pPr>
      <w:r>
        <w:rPr/>
        <w:t>The Service Provider’s responsibilities include, but are not limited to:</w:t>
      </w:r>
    </w:p>
    <w:p>
      <w:pPr>
        <w:pStyle w:val="Heading3"/>
        <w:numPr>
          <w:ilvl w:val="2"/>
          <w:numId w:val="14"/>
        </w:numPr>
        <w:rPr>
          <w:rFonts w:ascii="Arial" w:hAnsi="Arial" w:cs="Arial"/>
          <w:szCs w:val="22"/>
        </w:rPr>
      </w:pPr>
      <w:r>
        <w:rPr/>
        <w:t>Upon request, participate in GlobalPharma’s business planning meetings to review operations and business plans; and recommend appropriate F&amp;A services and projects to support plan execution.</w:t>
      </w:r>
    </w:p>
    <w:p>
      <w:pPr>
        <w:pStyle w:val="Heading3"/>
        <w:numPr>
          <w:ilvl w:val="2"/>
          <w:numId w:val="14"/>
        </w:numPr>
        <w:rPr/>
      </w:pPr>
      <w:r>
        <w:rPr/>
        <w:t>Prepare proposals and plans for projects as requested by GlobalPharma, or as appropriate based on providing the Services.</w:t>
      </w:r>
    </w:p>
    <w:p>
      <w:pPr>
        <w:pStyle w:val="Heading2"/>
        <w:numPr>
          <w:ilvl w:val="1"/>
          <w:numId w:val="14"/>
        </w:numPr>
        <w:ind w:hanging="0" w:start="0"/>
        <w:rPr/>
      </w:pPr>
      <w:r>
        <w:rPr/>
        <w:t>Project Implementation</w:t>
      </w:r>
    </w:p>
    <w:p>
      <w:pPr>
        <w:pStyle w:val="Heading3"/>
        <w:numPr>
          <w:ilvl w:val="2"/>
          <w:numId w:val="14"/>
        </w:numPr>
        <w:rPr/>
      </w:pPr>
      <w:r>
        <w:rPr/>
        <w:t>The Service Provider’s responsibilities include, but are not limited to:</w:t>
      </w:r>
    </w:p>
    <w:p>
      <w:pPr>
        <w:pStyle w:val="Heading3"/>
        <w:numPr>
          <w:ilvl w:val="2"/>
          <w:numId w:val="14"/>
        </w:numPr>
        <w:rPr/>
      </w:pPr>
      <w:r>
        <w:rPr/>
        <w:t>Manage all Service Provider tasks and resources associated with the project, and coordinating activities with GlobalPharma, affected authorized users, and possible affected third party vendors of both GlobalPharma and Service Provider.</w:t>
      </w:r>
    </w:p>
    <w:p>
      <w:pPr>
        <w:pStyle w:val="Heading3"/>
        <w:numPr>
          <w:ilvl w:val="2"/>
          <w:numId w:val="14"/>
        </w:numPr>
        <w:rPr/>
      </w:pPr>
      <w:r>
        <w:rPr/>
        <w:t>Make changes associated with the project in compliance with GlobalPharma-approved change management procedures.</w:t>
      </w:r>
    </w:p>
    <w:p>
      <w:pPr>
        <w:pStyle w:val="Heading3"/>
        <w:numPr>
          <w:ilvl w:val="2"/>
          <w:numId w:val="14"/>
        </w:numPr>
        <w:rPr/>
      </w:pPr>
      <w:r>
        <w:rPr/>
        <w:t>Use project management tools and methodologies, and employ a regular reporting mechanism to identify project tasks, present current status reports and next steps, and identify potential bottlenecks and problems.</w:t>
      </w:r>
    </w:p>
    <w:p>
      <w:pPr>
        <w:pStyle w:val="Heading2"/>
        <w:numPr>
          <w:ilvl w:val="1"/>
          <w:numId w:val="14"/>
        </w:numPr>
        <w:ind w:hanging="0" w:start="0"/>
        <w:rPr/>
      </w:pPr>
      <w:r>
        <w:rPr/>
        <w:t>Current and Ongoing Projects</w:t>
      </w:r>
    </w:p>
    <w:p>
      <w:pPr>
        <w:pStyle w:val="Heading3"/>
        <w:numPr>
          <w:ilvl w:val="2"/>
          <w:numId w:val="14"/>
        </w:numPr>
        <w:rPr/>
      </w:pPr>
      <w:r>
        <w:rPr/>
        <w:t>The Service Provider’s responsibilities include, but are not limited to:</w:t>
      </w:r>
    </w:p>
    <w:p>
      <w:pPr>
        <w:pStyle w:val="Heading3"/>
        <w:numPr>
          <w:ilvl w:val="2"/>
          <w:numId w:val="14"/>
        </w:numPr>
        <w:rPr/>
      </w:pPr>
      <w:r>
        <w:rPr/>
        <w:t>If requested by GlobalPharma, complete ongoing projects listed in Exhibit 9 in accordance with GlobalPharma’s project management practices. It is GlobalPharma’s intention to complete all projects in Exhibit 9 themselves. The commercial aspects of this request would fall under change control.</w:t>
      </w:r>
      <w:r>
        <w:rPr>
          <w:b/>
        </w:rPr>
      </w:r>
      <w:r>
        <w:rPr/>
      </w:r>
      <w:r>
        <w:rPr>
          <w:b/>
        </w:rPr>
      </w:r>
      <w:r>
        <w:rPr/>
      </w:r>
    </w:p>
    <w:p>
      <w:pPr>
        <w:pStyle w:val="Heading3"/>
        <w:numPr>
          <w:ilvl w:val="2"/>
          <w:numId w:val="14"/>
        </w:numPr>
        <w:rPr>
          <w:rFonts w:ascii="Arial" w:hAnsi="Arial" w:cs="Arial"/>
          <w:szCs w:val="22"/>
        </w:rPr>
      </w:pPr>
      <w:r>
        <w:rPr/>
        <w:t xml:space="preserve">Expend all commercially reasonable efforts to complete the ongoing Projects by the completion date or end date with respect to each such project, as listed in </w:t>
      </w:r>
      <w:r>
        <w:rPr>
          <w:b/>
        </w:rPr>
        <w:t>Exhibit 9</w:t>
      </w:r>
      <w:r>
        <w:rPr/>
        <w:t>, if no completion date or end date is provided therein for a project, as early as practicable.</w:t>
      </w:r>
    </w:p>
    <w:p>
      <w:pPr>
        <w:pStyle w:val="Heading3"/>
        <w:numPr>
          <w:ilvl w:val="2"/>
          <w:numId w:val="14"/>
        </w:numPr>
        <w:rPr>
          <w:szCs w:val="22"/>
        </w:rPr>
      </w:pPr>
      <w:r>
        <w:rPr/>
        <w:t>Use the Change Control Procedures to address any changes in scope, requirements, or schedules in respect to the ongoing Projects.</w:t>
      </w:r>
    </w:p>
    <w:p>
      <w:pPr>
        <w:pStyle w:val="Formatvorlage1"/>
        <w:numPr>
          <w:ilvl w:val="0"/>
          <w:numId w:val="14"/>
        </w:numPr>
        <w:rPr/>
      </w:pPr>
      <w:r>
        <w:rPr>
          <w:rFonts w:eastAsia="Times New Roman Bold;Times New Roman" w:cs="Times New Roman Bold;Times New Roman"/>
        </w:rPr>
        <w:t xml:space="preserve">  </w:t>
      </w:r>
      <w:bookmarkStart w:id="8" w:name="__RefHeading___Toc157772297"/>
      <w:r>
        <w:rPr/>
        <w:t>quality assurance</w:t>
      </w:r>
      <w:bookmarkEnd w:id="8"/>
    </w:p>
    <w:p>
      <w:pPr>
        <w:pStyle w:val="Heading2"/>
        <w:numPr>
          <w:ilvl w:val="1"/>
          <w:numId w:val="14"/>
        </w:numPr>
        <w:ind w:hanging="0" w:start="0"/>
        <w:rPr/>
      </w:pPr>
      <w:r>
        <w:rPr/>
        <w:t>The Service Provider’s responsibilities include, but are not limited to:</w:t>
      </w:r>
    </w:p>
    <w:p>
      <w:pPr>
        <w:pStyle w:val="Heading2"/>
        <w:numPr>
          <w:ilvl w:val="1"/>
          <w:numId w:val="14"/>
        </w:numPr>
        <w:ind w:hanging="0" w:start="0"/>
        <w:rPr/>
      </w:pPr>
      <w:r>
        <w:rPr/>
        <w:t>Train all new associates to Service Provider in Six Sigma and Lean within a few months of joining.</w:t>
      </w:r>
    </w:p>
    <w:p>
      <w:pPr>
        <w:pStyle w:val="Heading2"/>
        <w:numPr>
          <w:ilvl w:val="1"/>
          <w:numId w:val="14"/>
        </w:numPr>
        <w:ind w:hanging="0" w:start="0"/>
        <w:rPr/>
      </w:pPr>
      <w:r>
        <w:rPr/>
        <w:t>Capture customer feedback at the end of each transition and afterwards once every six month across all service processes based on customer satisfaction survey tools which are developed and provided by the Service Provider and agreed to by GlobalPharma. Feed customer satisfaction survey results back to operations.</w:t>
      </w:r>
    </w:p>
    <w:p>
      <w:pPr>
        <w:pStyle w:val="Heading2"/>
        <w:numPr>
          <w:ilvl w:val="1"/>
          <w:numId w:val="14"/>
        </w:numPr>
        <w:ind w:hanging="0" w:start="0"/>
        <w:rPr/>
      </w:pPr>
      <w:r>
        <w:rPr/>
        <w:t>Develop and employ a quality assurance program, subject to GlobalPharma approval, designed to promote performance of the Services at a high level of quality, control and effectiveness, focused on measuring and improving reliability, speed, cost effectiveness, and customer satisfaction.</w:t>
      </w:r>
    </w:p>
    <w:p>
      <w:pPr>
        <w:pStyle w:val="Heading2"/>
        <w:numPr>
          <w:ilvl w:val="1"/>
          <w:numId w:val="14"/>
        </w:numPr>
        <w:ind w:hanging="0" w:start="0"/>
        <w:rPr/>
      </w:pPr>
      <w:r>
        <w:rPr/>
        <w:t>Write and maintain procedures, measurements and reporting on all quality assurance activities associated with the Services.</w:t>
      </w:r>
    </w:p>
    <w:p>
      <w:pPr>
        <w:pStyle w:val="Heading2"/>
        <w:numPr>
          <w:ilvl w:val="1"/>
          <w:numId w:val="14"/>
        </w:numPr>
        <w:ind w:hanging="0" w:start="0"/>
        <w:rPr/>
      </w:pPr>
      <w:r>
        <w:rPr/>
        <w:t>Ensure that the quality metrics and procedures employed are consistent with similar standards in GlobalPharma’s peer group and/or in the provision of similar professional services.</w:t>
      </w:r>
    </w:p>
    <w:p>
      <w:pPr>
        <w:pStyle w:val="Heading2"/>
        <w:numPr>
          <w:ilvl w:val="1"/>
          <w:numId w:val="14"/>
        </w:numPr>
        <w:ind w:hanging="0" w:start="0"/>
        <w:rPr/>
      </w:pPr>
      <w:r>
        <w:rPr/>
        <w:t>Ensure compliance with a published quality assurance program, with adequate internal controls and verification activities, including regular, periodic reporting of compliance status and exceptions, if any.</w:t>
      </w:r>
    </w:p>
    <w:p>
      <w:pPr>
        <w:pStyle w:val="Heading2"/>
        <w:numPr>
          <w:ilvl w:val="1"/>
          <w:numId w:val="14"/>
        </w:numPr>
        <w:ind w:hanging="0" w:start="0"/>
        <w:rPr/>
      </w:pPr>
      <w:r>
        <w:rPr/>
        <w:t>Allow GlobalPharma to perform audits that will focus on the Service Provider’s adherence to its quality assurance procedures and standards; on the metrics gathered to support quality assurance activities; and on the Service Provider’s efforts to improve overall quality. The Service Provider will cooperate fully and assist GlobalPharma with any such audits.</w:t>
      </w:r>
    </w:p>
    <w:p>
      <w:pPr>
        <w:pStyle w:val="Formatvorlage1"/>
        <w:numPr>
          <w:ilvl w:val="0"/>
          <w:numId w:val="14"/>
        </w:numPr>
        <w:rPr/>
      </w:pPr>
      <w:bookmarkStart w:id="9" w:name="__RefHeading___Toc157772298"/>
      <w:bookmarkEnd w:id="9"/>
      <w:r>
        <w:rPr/>
        <w:t>operations documentation</w:t>
      </w:r>
    </w:p>
    <w:p>
      <w:pPr>
        <w:pStyle w:val="Heading2"/>
        <w:numPr>
          <w:ilvl w:val="1"/>
          <w:numId w:val="14"/>
        </w:numPr>
        <w:ind w:hanging="0" w:start="0"/>
        <w:rPr/>
      </w:pPr>
      <w:r>
        <w:rPr/>
        <w:t>The Service Provider’s responsibilities include, but are not limited to:</w:t>
      </w:r>
    </w:p>
    <w:p>
      <w:pPr>
        <w:pStyle w:val="Heading3"/>
        <w:numPr>
          <w:ilvl w:val="2"/>
          <w:numId w:val="14"/>
        </w:numPr>
        <w:rPr/>
      </w:pPr>
      <w:r>
        <w:rPr/>
        <w:t>Develop and maintain documentation in accordance with the requirements in Exhibit 6 (Governance Model) and Attachment 6-B (Policies and Procedures Manual Content) subject to approval by GlobalPharma.</w:t>
      </w:r>
      <w:r>
        <w:rPr>
          <w:b/>
        </w:rPr>
      </w:r>
      <w:r>
        <w:rPr/>
      </w:r>
      <w:r>
        <w:rPr>
          <w:b/>
        </w:rPr>
      </w:r>
      <w:r>
        <w:rPr/>
      </w:r>
    </w:p>
    <w:p>
      <w:pPr>
        <w:pStyle w:val="Heading3"/>
        <w:numPr>
          <w:ilvl w:val="2"/>
          <w:numId w:val="14"/>
        </w:numPr>
        <w:rPr/>
      </w:pPr>
      <w:r>
        <w:rPr/>
        <w:t>Document requirements that affect operations along with procedural information and contact information for each requirement.</w:t>
      </w:r>
    </w:p>
    <w:p>
      <w:pPr>
        <w:pStyle w:val="Heading3"/>
        <w:numPr>
          <w:ilvl w:val="2"/>
          <w:numId w:val="14"/>
        </w:numPr>
        <w:rPr/>
      </w:pPr>
      <w:r>
        <w:rPr/>
        <w:t>Create and maintain solution identification as described in Exhibit 21, and related plans, Transition Plans &amp; documents, relationship management procedures with third parties, Business Continuity and Disaster Recovery Plans, Issue Escalations &amp; mitigation plans as defined in Exhibit 6 and project plans. Update and review on a regular basis as necessary and request sign-offs from GlobalPharma.</w:t>
      </w:r>
    </w:p>
    <w:p>
      <w:pPr>
        <w:pStyle w:val="Heading3"/>
        <w:numPr>
          <w:ilvl w:val="2"/>
          <w:numId w:val="14"/>
        </w:numPr>
        <w:rPr/>
      </w:pPr>
      <w:r>
        <w:rPr/>
        <w:t>Create and maintain GlobalPharma policies and procedures with write-ups on business knowledge, key contacts, control plans by process etc. as required by GlobalPharma. Update and review at an agreed frequency and request sign-offs from GlobalPharma</w:t>
      </w:r>
    </w:p>
    <w:p>
      <w:pPr>
        <w:pStyle w:val="Heading3"/>
        <w:numPr>
          <w:ilvl w:val="2"/>
          <w:numId w:val="14"/>
        </w:numPr>
        <w:rPr/>
      </w:pPr>
      <w:r>
        <w:rPr/>
        <w:t>Provide documentation in paper copies, electronically, and, wherever possible, web-enabled for access by Authorized Users and GlobalPharma.</w:t>
      </w:r>
    </w:p>
    <w:p>
      <w:pPr>
        <w:pStyle w:val="Heading3"/>
        <w:numPr>
          <w:ilvl w:val="2"/>
          <w:numId w:val="14"/>
        </w:numPr>
        <w:rPr>
          <w:szCs w:val="28"/>
        </w:rPr>
      </w:pPr>
      <w:r>
        <w:rPr/>
        <w:t>Audit documentation regularly for completeness and accuracy, and verify that documentation is present, organized, readable, and updated.</w:t>
      </w:r>
    </w:p>
    <w:p>
      <w:pPr>
        <w:pStyle w:val="Heading3"/>
        <w:numPr>
          <w:ilvl w:val="2"/>
          <w:numId w:val="14"/>
        </w:numPr>
        <w:rPr>
          <w:rFonts w:ascii="Arial" w:hAnsi="Arial" w:cs="Arial"/>
          <w:szCs w:val="22"/>
        </w:rPr>
      </w:pPr>
      <w:r>
        <w:rPr/>
        <w:t>Report resultant audit findings to GlobalPharma on a regular basis, and where it is determined that documentation is inaccurate (e.g. erroneous or out of date); correct and replace such documentation.</w:t>
      </w:r>
    </w:p>
    <w:p>
      <w:pPr>
        <w:pStyle w:val="Formatvorlage1"/>
        <w:numPr>
          <w:ilvl w:val="0"/>
          <w:numId w:val="14"/>
        </w:numPr>
        <w:rPr/>
      </w:pPr>
      <w:bookmarkStart w:id="10" w:name="__RefHeading___Toc157772299"/>
      <w:bookmarkEnd w:id="10"/>
      <w:r>
        <w:rPr/>
        <w:t>Problem management</w:t>
      </w:r>
    </w:p>
    <w:p>
      <w:pPr>
        <w:pStyle w:val="Heading2"/>
        <w:numPr>
          <w:ilvl w:val="1"/>
          <w:numId w:val="14"/>
        </w:numPr>
        <w:ind w:hanging="0" w:start="0"/>
        <w:rPr/>
      </w:pPr>
      <w:r>
        <w:rPr/>
        <w:t>The Service Providers responsibilities include, but are not limited to:</w:t>
      </w:r>
    </w:p>
    <w:p>
      <w:pPr>
        <w:pStyle w:val="Heading2"/>
        <w:numPr>
          <w:ilvl w:val="1"/>
          <w:numId w:val="14"/>
        </w:numPr>
        <w:ind w:hanging="0" w:start="0"/>
        <w:rPr/>
      </w:pPr>
      <w:r>
        <w:rPr/>
        <w:t>Implement a customer web portal with links to “Knowledge central” (documentation of e.g. SOP, etc.), “Cognos” (Reporting of Critical Service Levels, Key Measurements and other performance reports), “Clarify” (workflow tool to handle queries, requests and issue handling and tracking)</w:t>
      </w:r>
    </w:p>
    <w:p>
      <w:pPr>
        <w:pStyle w:val="Heading2"/>
        <w:numPr>
          <w:ilvl w:val="1"/>
          <w:numId w:val="14"/>
        </w:numPr>
        <w:ind w:hanging="0" w:start="0"/>
        <w:rPr/>
      </w:pPr>
      <w:r>
        <w:rPr/>
        <w:t>Define and implement procedures to monitor, log, and track, escalate, review, and report problems related to the Services.</w:t>
      </w:r>
    </w:p>
    <w:p>
      <w:pPr>
        <w:pStyle w:val="Heading2"/>
        <w:numPr>
          <w:ilvl w:val="1"/>
          <w:numId w:val="14"/>
        </w:numPr>
        <w:ind w:hanging="0" w:start="0"/>
        <w:rPr/>
      </w:pPr>
      <w:r>
        <w:rPr/>
        <w:t>Monitor, control, and manage each problem related to the Services until resolution as confirmed by GlobalPharma.</w:t>
      </w:r>
    </w:p>
    <w:p>
      <w:pPr>
        <w:pStyle w:val="Heading2"/>
        <w:numPr>
          <w:ilvl w:val="1"/>
          <w:numId w:val="14"/>
        </w:numPr>
        <w:ind w:hanging="0" w:start="0"/>
        <w:rPr/>
      </w:pPr>
      <w:r>
        <w:rPr/>
        <w:t>Implement a process that establishes end-to-end responsibility and ownership of each problem by a single Service Provider support person.</w:t>
      </w:r>
    </w:p>
    <w:p>
      <w:pPr>
        <w:pStyle w:val="Heading2"/>
        <w:numPr>
          <w:ilvl w:val="1"/>
          <w:numId w:val="14"/>
        </w:numPr>
        <w:ind w:hanging="0" w:start="0"/>
        <w:rPr/>
      </w:pPr>
      <w:r>
        <w:rPr/>
        <w:t>Perform a root cause analysis as requested by GlobalPharma, and identify and implement preventative measures as approved by GlobalPharma.</w:t>
      </w:r>
    </w:p>
    <w:p>
      <w:pPr>
        <w:pStyle w:val="Heading2"/>
        <w:numPr>
          <w:ilvl w:val="1"/>
          <w:numId w:val="14"/>
        </w:numPr>
        <w:ind w:hanging="0" w:start="0"/>
        <w:rPr/>
      </w:pPr>
      <w:r>
        <w:rPr/>
        <w:t>Categorize and document the relative importance of each problem according to the Severity Levels described in Attachment 3-F (Severity Levels) to Exhibit 3 (Service Levels).</w:t>
      </w:r>
    </w:p>
    <w:p>
      <w:pPr>
        <w:pStyle w:val="Heading2"/>
        <w:numPr>
          <w:ilvl w:val="1"/>
          <w:numId w:val="14"/>
        </w:numPr>
        <w:ind w:hanging="0" w:start="0"/>
        <w:rPr/>
      </w:pPr>
      <w:r>
        <w:rPr/>
        <w:t>To the extent a problem does not arise from or relate to the Services, refer such a problem to the appropriate entity for resolution and track the status until an Authorized User confirms the problem is resolved.</w:t>
      </w:r>
    </w:p>
    <w:p>
      <w:pPr>
        <w:pStyle w:val="Heading2"/>
        <w:numPr>
          <w:ilvl w:val="1"/>
          <w:numId w:val="14"/>
        </w:numPr>
        <w:ind w:hanging="0" w:start="0"/>
        <w:rPr/>
      </w:pPr>
      <w:r>
        <w:rPr/>
        <w:t xml:space="preserve">Escalate problems in accordance with the issue escalation procedure according to contractual governance agreements. </w:t>
      </w:r>
    </w:p>
    <w:p>
      <w:pPr>
        <w:pStyle w:val="Heading2"/>
        <w:numPr>
          <w:ilvl w:val="1"/>
          <w:numId w:val="14"/>
        </w:numPr>
        <w:ind w:hanging="0" w:start="0"/>
        <w:rPr/>
      </w:pPr>
      <w:r>
        <w:rPr/>
        <w:t>For any recurring problems, meet with GlobalPharma to communicate the corrective action plan.</w:t>
      </w:r>
    </w:p>
    <w:p>
      <w:pPr>
        <w:pStyle w:val="Heading2"/>
        <w:numPr>
          <w:ilvl w:val="1"/>
          <w:numId w:val="14"/>
        </w:numPr>
        <w:ind w:hanging="0" w:start="0"/>
        <w:rPr/>
      </w:pPr>
      <w:r>
        <w:rPr/>
        <w:t>Engage and manage Third Party Vendors as necessary to localize and resolve problems associated with the Services.</w:t>
      </w:r>
    </w:p>
    <w:p>
      <w:pPr>
        <w:pStyle w:val="Heading2"/>
        <w:numPr>
          <w:ilvl w:val="1"/>
          <w:numId w:val="14"/>
        </w:numPr>
        <w:ind w:hanging="0" w:start="0"/>
        <w:rPr/>
      </w:pPr>
      <w:r>
        <w:rPr/>
        <w:t>Continuously perform trend analyses on the volume and nature of problems in order to identify areas for improvement.</w:t>
      </w:r>
    </w:p>
    <w:p>
      <w:pPr>
        <w:pStyle w:val="Heading2"/>
        <w:numPr>
          <w:ilvl w:val="1"/>
          <w:numId w:val="14"/>
        </w:numPr>
        <w:ind w:hanging="0" w:start="0"/>
        <w:rPr/>
      </w:pPr>
      <w:r>
        <w:rPr/>
        <w:t>Provide reports on the problem trend analysis and recommend process improvements for GlobalPharma’s approval.</w:t>
      </w:r>
    </w:p>
    <w:p>
      <w:pPr>
        <w:pStyle w:val="Heading2"/>
        <w:numPr>
          <w:ilvl w:val="1"/>
          <w:numId w:val="14"/>
        </w:numPr>
        <w:ind w:hanging="0" w:start="0"/>
        <w:rPr/>
      </w:pPr>
      <w:r>
        <w:rPr/>
        <w:t>Implement measures to avoid unnecessary reoccurrence of problems.</w:t>
      </w:r>
    </w:p>
    <w:p>
      <w:pPr>
        <w:pStyle w:val="Heading2"/>
        <w:numPr>
          <w:ilvl w:val="1"/>
          <w:numId w:val="14"/>
        </w:numPr>
        <w:ind w:hanging="0" w:start="0"/>
        <w:rPr/>
      </w:pPr>
      <w:r>
        <w:rPr/>
        <w:t>Track and report unresolved problems, including specifically identifying the backlog, if any.</w:t>
      </w:r>
    </w:p>
    <w:p>
      <w:pPr>
        <w:pStyle w:val="Formatvorlage1"/>
        <w:numPr>
          <w:ilvl w:val="0"/>
          <w:numId w:val="14"/>
        </w:numPr>
        <w:rPr/>
      </w:pPr>
      <w:bookmarkStart w:id="11" w:name="__RefHeading___Toc157772300"/>
      <w:bookmarkEnd w:id="11"/>
      <w:r>
        <w:rPr/>
        <w:t>Change management</w:t>
      </w:r>
    </w:p>
    <w:p>
      <w:pPr>
        <w:pStyle w:val="Heading2"/>
        <w:numPr>
          <w:ilvl w:val="1"/>
          <w:numId w:val="14"/>
        </w:numPr>
        <w:ind w:hanging="0" w:start="0"/>
        <w:rPr/>
      </w:pPr>
      <w:r>
        <w:rPr/>
        <w:t>The Service Providers responsibilities include, but are not limited to:</w:t>
      </w:r>
    </w:p>
    <w:p>
      <w:pPr>
        <w:pStyle w:val="Heading2"/>
        <w:numPr>
          <w:ilvl w:val="1"/>
          <w:numId w:val="14"/>
        </w:numPr>
        <w:ind w:hanging="0" w:start="0"/>
        <w:rPr/>
      </w:pPr>
      <w:r>
        <w:rPr/>
        <w:t>Document the Change Management process and procedures in accordance with the requirements in Attachment 6-B (Policies and Procedures Manual Content) to Exhibit 6 (Governance) subject to approval by GlobalPharma.</w:t>
      </w:r>
    </w:p>
    <w:p>
      <w:pPr>
        <w:pStyle w:val="Heading2"/>
        <w:numPr>
          <w:ilvl w:val="1"/>
          <w:numId w:val="14"/>
        </w:numPr>
        <w:ind w:hanging="0" w:start="0"/>
        <w:rPr>
          <w:szCs w:val="22"/>
        </w:rPr>
      </w:pPr>
      <w:r>
        <w:rPr/>
        <w:t>Respond to change requests from Authorized Users and make changes based on approved procedures.</w:t>
      </w:r>
    </w:p>
    <w:p>
      <w:pPr>
        <w:pStyle w:val="Heading2"/>
        <w:numPr>
          <w:ilvl w:val="1"/>
          <w:numId w:val="14"/>
        </w:numPr>
        <w:ind w:hanging="0" w:start="0"/>
        <w:rPr/>
      </w:pPr>
      <w:r>
        <w:rPr/>
        <w:t>Provide change management capabilities to develop, manage and monitor change management activities with regard to changes in service delivery of the Service Provider and coordinate with related change management activities of GlobalPharma and other Third Party Vendors providing services to GlobalPharma.</w:t>
      </w:r>
    </w:p>
    <w:p>
      <w:pPr>
        <w:pStyle w:val="Heading2"/>
        <w:numPr>
          <w:ilvl w:val="1"/>
          <w:numId w:val="14"/>
        </w:numPr>
        <w:ind w:hanging="0" w:start="0"/>
        <w:rPr/>
      </w:pPr>
      <w:r>
        <w:rPr/>
        <w:t>Follow the Change Management process of the Service Provider in case any changes that are made on the infrastructure or the applications of the Service Provider have no or little impact on GlobalPharma operations of the Service Provider or do not necessitate any material action from GlobalPharma.</w:t>
      </w:r>
    </w:p>
    <w:p>
      <w:pPr>
        <w:pStyle w:val="Heading2"/>
        <w:numPr>
          <w:ilvl w:val="1"/>
          <w:numId w:val="14"/>
        </w:numPr>
        <w:ind w:hanging="0" w:start="0"/>
        <w:rPr/>
      </w:pPr>
      <w:r>
        <w:rPr/>
        <w:t>Follow the change management process of the Service Provider and GlobalPharma in case any changes that are made on the infrastructure or the applications of the Service Provider have impact on the GlobalPharma operations of the Service Provider.</w:t>
      </w:r>
    </w:p>
    <w:p>
      <w:pPr>
        <w:pStyle w:val="Heading2"/>
        <w:numPr>
          <w:ilvl w:val="1"/>
          <w:numId w:val="14"/>
        </w:numPr>
        <w:ind w:hanging="0" w:start="0"/>
        <w:rPr/>
      </w:pPr>
      <w:r>
        <w:rPr/>
        <w:t>Follow the GlobalPharma change control process in case any changes are required on the infrastructure or applications owned by GlobalPharma. Make a request as an initiator and a stakeholder.</w:t>
      </w:r>
    </w:p>
    <w:p>
      <w:pPr>
        <w:pStyle w:val="Heading2"/>
        <w:numPr>
          <w:ilvl w:val="1"/>
          <w:numId w:val="14"/>
        </w:numPr>
        <w:ind w:hanging="0" w:start="0"/>
        <w:rPr/>
      </w:pPr>
      <w:r>
        <w:rPr/>
        <w:t>Follow procedures as laid down in the Agreement in respect of Change Control in case of changing, reducing, or adding to the Statements of Work (SOWs), including making any related changes to the Agreement or relevant Exhibits and Attachments, or authorizing projects to be financed by GlobalPharma.</w:t>
      </w:r>
    </w:p>
    <w:p>
      <w:pPr>
        <w:pStyle w:val="Heading2"/>
        <w:numPr>
          <w:ilvl w:val="1"/>
          <w:numId w:val="14"/>
        </w:numPr>
        <w:ind w:hanging="0" w:start="0"/>
        <w:rPr/>
      </w:pPr>
      <w:r>
        <w:rPr/>
        <w:t>Implement changes in accordance with the change management process.</w:t>
      </w:r>
    </w:p>
    <w:p>
      <w:pPr>
        <w:pStyle w:val="Heading2"/>
        <w:numPr>
          <w:ilvl w:val="1"/>
          <w:numId w:val="14"/>
        </w:numPr>
        <w:ind w:hanging="0" w:start="0"/>
        <w:rPr/>
      </w:pPr>
      <w:r>
        <w:rPr/>
        <w:t>In an emergency, implement, document, and provide report to GlobalPharma of temporary changes if the Service Provider has been unable to obtain approval from GlobalPharma.</w:t>
      </w:r>
    </w:p>
    <w:p>
      <w:pPr>
        <w:pStyle w:val="Heading2"/>
        <w:numPr>
          <w:ilvl w:val="1"/>
          <w:numId w:val="14"/>
        </w:numPr>
        <w:ind w:hanging="0" w:start="0"/>
        <w:rPr/>
      </w:pPr>
      <w:r>
        <w:rPr/>
        <w:t>Notify GlobalPharma of outages on Critical Systems used to provide the Services.</w:t>
      </w:r>
    </w:p>
    <w:p>
      <w:pPr>
        <w:pStyle w:val="Heading2"/>
        <w:numPr>
          <w:ilvl w:val="1"/>
          <w:numId w:val="14"/>
        </w:numPr>
        <w:ind w:hanging="0" w:start="0"/>
        <w:rPr>
          <w:szCs w:val="22"/>
        </w:rPr>
      </w:pPr>
      <w:r>
        <w:rPr/>
        <w:t>Report the status of scheduled changes including maintaining a comprehensive list of projects and dates.</w:t>
      </w:r>
    </w:p>
    <w:p>
      <w:pPr>
        <w:pStyle w:val="Heading2"/>
        <w:numPr>
          <w:ilvl w:val="1"/>
          <w:numId w:val="14"/>
        </w:numPr>
        <w:ind w:hanging="0" w:start="0"/>
        <w:rPr/>
      </w:pPr>
      <w:r>
        <w:rPr/>
        <w:t>Adhere to advance notices and any other requirements as set forth in this schedule.</w:t>
      </w:r>
    </w:p>
    <w:p>
      <w:pPr>
        <w:pStyle w:val="Heading2"/>
        <w:numPr>
          <w:ilvl w:val="1"/>
          <w:numId w:val="14"/>
        </w:numPr>
        <w:ind w:hanging="0" w:start="0"/>
        <w:rPr/>
      </w:pPr>
      <w:r>
        <w:rPr/>
        <w:t>Provide thirty (30) days notice to GlobalPharma of maintenance to be performed on Critical Systems used to provide the Services.</w:t>
      </w:r>
    </w:p>
    <w:p>
      <w:pPr>
        <w:pStyle w:val="Heading2"/>
        <w:numPr>
          <w:ilvl w:val="1"/>
          <w:numId w:val="14"/>
        </w:numPr>
        <w:ind w:hanging="0" w:start="0"/>
        <w:rPr/>
      </w:pPr>
      <w:r>
        <w:rPr/>
        <w:t>Provide sixty (60) days notices to GlobalPharma when scheduled maintenance windows for Critical Systems used to provide the Services are changed.</w:t>
      </w:r>
    </w:p>
    <w:p>
      <w:pPr>
        <w:pStyle w:val="Formatvorlage1"/>
        <w:numPr>
          <w:ilvl w:val="0"/>
          <w:numId w:val="14"/>
        </w:numPr>
        <w:rPr/>
      </w:pPr>
      <w:bookmarkStart w:id="12" w:name="__RefHeading___Toc157772301"/>
      <w:bookmarkEnd w:id="12"/>
      <w:r>
        <w:rPr/>
        <w:t>ongoing business divestitures and acquisitions</w:t>
      </w:r>
    </w:p>
    <w:p>
      <w:pPr>
        <w:pStyle w:val="Heading2"/>
        <w:numPr>
          <w:ilvl w:val="1"/>
          <w:numId w:val="14"/>
        </w:numPr>
        <w:ind w:hanging="0" w:start="0"/>
        <w:rPr/>
      </w:pPr>
      <w:r>
        <w:rPr/>
        <w:t>The Service Provider’s responsibilities include, but are not limited to:</w:t>
      </w:r>
    </w:p>
    <w:p>
      <w:pPr>
        <w:pStyle w:val="Heading2"/>
        <w:numPr>
          <w:ilvl w:val="1"/>
          <w:numId w:val="14"/>
        </w:numPr>
        <w:ind w:hanging="0" w:start="0"/>
        <w:rPr/>
      </w:pPr>
      <w:r>
        <w:rPr/>
        <w:t>Provide the Services associated with divestitures and acquisitions as described in the Term Sheet.</w:t>
      </w:r>
    </w:p>
    <w:p>
      <w:pPr>
        <w:pStyle w:val="Heading2"/>
        <w:numPr>
          <w:ilvl w:val="1"/>
          <w:numId w:val="14"/>
        </w:numPr>
        <w:ind w:hanging="0" w:start="0"/>
        <w:rPr>
          <w:szCs w:val="22"/>
        </w:rPr>
      </w:pPr>
      <w:r>
        <w:rPr/>
        <w:t>Assist GlobalPharma in planning, preparing, and implementing any transition or changes related to the Services as a result of divestitures or acquisitions as described in the Term Sheet.</w:t>
      </w:r>
    </w:p>
    <w:p>
      <w:pPr>
        <w:pStyle w:val="Heading2"/>
        <w:numPr>
          <w:ilvl w:val="1"/>
          <w:numId w:val="14"/>
        </w:numPr>
        <w:ind w:hanging="0" w:start="0"/>
        <w:rPr>
          <w:szCs w:val="22"/>
        </w:rPr>
      </w:pPr>
      <w:r>
        <w:rPr/>
        <w:t>The Service Provider will describe how it will meet the ongoing business divestitures and acquisitions requirements contained in this Exhibit.</w:t>
      </w:r>
    </w:p>
    <w:p>
      <w:pPr>
        <w:pStyle w:val="Heading2"/>
        <w:numPr>
          <w:ilvl w:val="1"/>
          <w:numId w:val="14"/>
        </w:numPr>
        <w:ind w:hanging="0" w:start="0"/>
        <w:rPr/>
      </w:pPr>
      <w:r>
        <w:rPr/>
        <w:t>Ramp up / down of operations, sites and processes in case of business divestitures and acquisitions impacting the services in scope.</w:t>
      </w:r>
    </w:p>
    <w:p>
      <w:pPr>
        <w:pStyle w:val="Heading2"/>
        <w:numPr>
          <w:ilvl w:val="1"/>
          <w:numId w:val="14"/>
        </w:numPr>
        <w:ind w:hanging="0" w:start="0"/>
        <w:rPr/>
      </w:pPr>
      <w:r>
        <w:rPr/>
        <w:t>Support relating to due diligence, regulatory disclosures, knowledge transfer etc.</w:t>
      </w:r>
    </w:p>
    <w:p>
      <w:pPr>
        <w:pStyle w:val="Heading2"/>
        <w:numPr>
          <w:ilvl w:val="1"/>
          <w:numId w:val="14"/>
        </w:numPr>
        <w:ind w:hanging="0" w:start="0"/>
        <w:rPr/>
      </w:pPr>
      <w:r>
        <w:rPr/>
        <w:t>Assist GlobalPharma in planning, preparing and implementing any transition or changes related to services.</w:t>
      </w:r>
    </w:p>
    <w:p>
      <w:pPr>
        <w:pStyle w:val="Heading2"/>
        <w:numPr>
          <w:ilvl w:val="1"/>
          <w:numId w:val="14"/>
        </w:numPr>
        <w:ind w:hanging="0" w:start="0"/>
        <w:rPr/>
      </w:pPr>
      <w:r>
        <w:rPr/>
        <w:t>Provide support from a process and documentation perspective with regard to the integration of a new business.</w:t>
      </w:r>
    </w:p>
    <w:p>
      <w:pPr>
        <w:pStyle w:val="Formatvorlage1"/>
        <w:numPr>
          <w:ilvl w:val="0"/>
          <w:numId w:val="14"/>
        </w:numPr>
        <w:rPr/>
      </w:pPr>
      <w:bookmarkStart w:id="13" w:name="__RefHeading___Toc157772302"/>
      <w:bookmarkEnd w:id="13"/>
      <w:r>
        <w:rPr/>
        <w:t>consolidation and relocation services</w:t>
      </w:r>
    </w:p>
    <w:p>
      <w:pPr>
        <w:pStyle w:val="Heading2"/>
        <w:numPr>
          <w:ilvl w:val="1"/>
          <w:numId w:val="14"/>
        </w:numPr>
        <w:ind w:hanging="0" w:start="0"/>
        <w:rPr/>
      </w:pPr>
      <w:r>
        <w:rPr/>
        <w:t>The Service Provider’s responsibilities include, but are not limited to:</w:t>
      </w:r>
    </w:p>
    <w:p>
      <w:pPr>
        <w:pStyle w:val="Heading2"/>
        <w:numPr>
          <w:ilvl w:val="1"/>
          <w:numId w:val="14"/>
        </w:numPr>
        <w:ind w:hanging="0" w:start="0"/>
        <w:rPr/>
      </w:pPr>
      <w:r>
        <w:rPr/>
        <w:t>Perform Services in support of consolidation and relocation activities.</w:t>
      </w:r>
    </w:p>
    <w:p>
      <w:pPr>
        <w:pStyle w:val="Heading2"/>
        <w:numPr>
          <w:ilvl w:val="1"/>
          <w:numId w:val="14"/>
        </w:numPr>
        <w:ind w:hanging="0" w:start="0"/>
        <w:rPr/>
      </w:pPr>
      <w:r>
        <w:rPr/>
        <w:t>Support GlobalPharma in transition planning for consolidation/relocation.</w:t>
      </w:r>
    </w:p>
    <w:p>
      <w:pPr>
        <w:pStyle w:val="Heading2"/>
        <w:numPr>
          <w:ilvl w:val="1"/>
          <w:numId w:val="14"/>
        </w:numPr>
        <w:ind w:hanging="0" w:start="0"/>
        <w:rPr>
          <w:szCs w:val="22"/>
        </w:rPr>
      </w:pPr>
      <w:r>
        <w:rPr/>
        <w:t>Support process changes due to consolidation/relocation.</w:t>
      </w:r>
    </w:p>
    <w:p>
      <w:pPr>
        <w:pStyle w:val="Heading2"/>
        <w:numPr>
          <w:ilvl w:val="1"/>
          <w:numId w:val="14"/>
        </w:numPr>
        <w:ind w:hanging="0" w:start="0"/>
        <w:rPr>
          <w:szCs w:val="22"/>
        </w:rPr>
      </w:pPr>
      <w:r>
        <w:rPr/>
        <w:t>Assist GlobalPharma in the integration of new locations and/or processes into existing controlled processes to enable a stable control environment.</w:t>
      </w:r>
    </w:p>
    <w:p>
      <w:pPr>
        <w:pStyle w:val="Heading2"/>
        <w:numPr>
          <w:ilvl w:val="1"/>
          <w:numId w:val="14"/>
        </w:numPr>
        <w:ind w:hanging="0" w:start="0"/>
        <w:rPr/>
      </w:pPr>
      <w:r>
        <w:rPr/>
        <w:t>Utilize GlobalPharma’s standard change management process and toolset to manage these changes. (e.g. addition of new processes or locations).</w:t>
      </w:r>
    </w:p>
    <w:p>
      <w:pPr>
        <w:pStyle w:val="Formatvorlage1"/>
        <w:numPr>
          <w:ilvl w:val="0"/>
          <w:numId w:val="14"/>
        </w:numPr>
        <w:rPr/>
      </w:pPr>
      <w:bookmarkStart w:id="14" w:name="__RefHeading___Toc157772303"/>
      <w:bookmarkEnd w:id="14"/>
      <w:r>
        <w:rPr/>
        <w:t>Reporting and records Retention</w:t>
      </w:r>
    </w:p>
    <w:p>
      <w:pPr>
        <w:pStyle w:val="Heading2"/>
        <w:numPr>
          <w:ilvl w:val="1"/>
          <w:numId w:val="14"/>
        </w:numPr>
        <w:ind w:hanging="0" w:start="0"/>
        <w:rPr/>
      </w:pPr>
      <w:r>
        <w:rPr/>
        <w:t>Internal/External Reporting</w:t>
      </w:r>
    </w:p>
    <w:p>
      <w:pPr>
        <w:pStyle w:val="Heading3"/>
        <w:numPr>
          <w:ilvl w:val="2"/>
          <w:numId w:val="14"/>
        </w:numPr>
        <w:rPr/>
      </w:pPr>
      <w:r>
        <w:rPr/>
        <w:t>The Service Providers responsibilities include, but are not limited to:</w:t>
      </w:r>
    </w:p>
    <w:p>
      <w:pPr>
        <w:pStyle w:val="Heading3"/>
        <w:numPr>
          <w:ilvl w:val="2"/>
          <w:numId w:val="14"/>
        </w:numPr>
        <w:rPr>
          <w:rFonts w:ascii="Arial" w:hAnsi="Arial" w:cs="Arial"/>
        </w:rPr>
      </w:pPr>
      <w:r>
        <w:rPr/>
        <w:t xml:space="preserve">To track and perform standard reporting requirements (number and type of report applicable as indicated in </w:t>
      </w:r>
      <w:r>
        <w:rPr>
          <w:b/>
        </w:rPr>
        <w:t>Attachment 13-A</w:t>
      </w:r>
      <w:r>
        <w:rPr/>
        <w:t xml:space="preserve"> to the extent provided by the in scope FTEs).</w:t>
      </w:r>
    </w:p>
    <w:p>
      <w:pPr>
        <w:pStyle w:val="Heading3"/>
        <w:numPr>
          <w:ilvl w:val="2"/>
          <w:numId w:val="14"/>
        </w:numPr>
        <w:rPr>
          <w:szCs w:val="22"/>
        </w:rPr>
      </w:pPr>
      <w:r>
        <w:rPr/>
        <w:t>Adhere to all HIPAA (Health Insurance Portability and Accountability Act) reporting requirements where relevant.</w:t>
      </w:r>
    </w:p>
    <w:p>
      <w:pPr>
        <w:pStyle w:val="Heading3"/>
        <w:numPr>
          <w:ilvl w:val="2"/>
          <w:numId w:val="14"/>
        </w:numPr>
        <w:rPr>
          <w:szCs w:val="22"/>
        </w:rPr>
      </w:pPr>
      <w:r>
        <w:rPr/>
        <w:t>To prepare other standard and reasonable ad hoc reporting information as may be required by GlobalPharma management. Reasonable means that the delivery times for those ad hoc reports are mutually agreed between GlobalPharma and the Service Provider.</w:t>
      </w:r>
      <w:r>
        <w:rPr>
          <w:szCs w:val="22"/>
        </w:rPr>
      </w:r>
      <w:r>
        <w:rPr/>
      </w:r>
    </w:p>
    <w:p>
      <w:pPr>
        <w:pStyle w:val="Heading3"/>
        <w:numPr>
          <w:ilvl w:val="2"/>
          <w:numId w:val="14"/>
        </w:numPr>
        <w:rPr>
          <w:rFonts w:ascii="Arial" w:hAnsi="Arial" w:cs="Arial"/>
          <w:sz w:val="28"/>
          <w:szCs w:val="28"/>
        </w:rPr>
      </w:pPr>
      <w:r>
        <w:rPr/>
        <w:t>To provide information and reports required to support audits and other legal and regulatory requirements.</w:t>
      </w:r>
    </w:p>
    <w:p>
      <w:pPr>
        <w:pStyle w:val="Heading3"/>
        <w:numPr>
          <w:ilvl w:val="2"/>
          <w:numId w:val="14"/>
        </w:numPr>
        <w:rPr>
          <w:rFonts w:ascii="Arial" w:hAnsi="Arial" w:cs="Arial"/>
          <w:sz w:val="28"/>
          <w:szCs w:val="28"/>
        </w:rPr>
      </w:pPr>
      <w:r>
        <w:rPr/>
        <w:t xml:space="preserve">To make recommendations to improve and review, on an agreed-to basis, the GlobalPharma standard reporting on a country, regional and global level to highlight and resolve issues and optimize the process. </w:t>
      </w:r>
    </w:p>
    <w:p>
      <w:pPr>
        <w:pStyle w:val="Heading3"/>
        <w:numPr>
          <w:ilvl w:val="2"/>
          <w:numId w:val="14"/>
        </w:numPr>
        <w:rPr>
          <w:sz w:val="28"/>
          <w:szCs w:val="28"/>
        </w:rPr>
      </w:pPr>
      <w:r>
        <w:rPr/>
        <w:t>Coordinate and facilitate across procurement category managers as agreed to between the Service Provider and GlobalPharma and interact with SAP B/W (Spend Analysis solution) with regard to sourcing metrics reporting as defined in Exhibit 3 and Attachment 3-A and indicated in Exhibit 13 and Attachment 13-A..</w:t>
      </w:r>
    </w:p>
    <w:p>
      <w:pPr>
        <w:pStyle w:val="Heading2"/>
        <w:numPr>
          <w:ilvl w:val="1"/>
          <w:numId w:val="14"/>
        </w:numPr>
        <w:ind w:hanging="0" w:start="0"/>
        <w:rPr/>
      </w:pPr>
      <w:r>
        <w:rPr/>
        <w:t>Records Retention</w:t>
      </w:r>
    </w:p>
    <w:p>
      <w:pPr>
        <w:pStyle w:val="Heading3"/>
        <w:numPr>
          <w:ilvl w:val="2"/>
          <w:numId w:val="14"/>
        </w:numPr>
        <w:rPr/>
      </w:pPr>
      <w:r>
        <w:rPr/>
        <w:t>The Service Providers responsibilities include, but are not limited to:</w:t>
      </w:r>
    </w:p>
    <w:p>
      <w:pPr>
        <w:pStyle w:val="Heading3"/>
        <w:numPr>
          <w:ilvl w:val="2"/>
          <w:numId w:val="14"/>
        </w:numPr>
        <w:rPr/>
      </w:pPr>
      <w:r>
        <w:rPr/>
        <w:t>Frame policies on record retention, retrieval and disposal, in order to ensure both compliance with GlobalPharma procedures and requirements and any best in class practices, and seek agreement with GlobalPharma.</w:t>
      </w:r>
    </w:p>
    <w:p>
      <w:pPr>
        <w:pStyle w:val="Heading3"/>
        <w:numPr>
          <w:ilvl w:val="2"/>
          <w:numId w:val="14"/>
        </w:numPr>
        <w:rPr>
          <w:rFonts w:ascii="Arial" w:hAnsi="Arial" w:cs="Arial"/>
          <w:szCs w:val="22"/>
        </w:rPr>
      </w:pPr>
      <w:r>
        <w:rPr/>
        <w:t>Retain source documentation and reports: Hard copies, CD ROM, fiche, film, imaging or promptly return original documents to countries as required by CPOs in accordance with agreed policies and procedures.</w:t>
      </w:r>
    </w:p>
    <w:p>
      <w:pPr>
        <w:pStyle w:val="Heading3"/>
        <w:numPr>
          <w:ilvl w:val="2"/>
          <w:numId w:val="14"/>
        </w:numPr>
        <w:rPr/>
      </w:pPr>
      <w:r>
        <w:rPr/>
        <w:t>Provide scanned document images for source documentation through an electronic imaging system.</w:t>
      </w:r>
    </w:p>
    <w:p>
      <w:pPr>
        <w:pStyle w:val="Heading3"/>
        <w:numPr>
          <w:ilvl w:val="2"/>
          <w:numId w:val="14"/>
        </w:numPr>
        <w:rPr/>
      </w:pPr>
      <w:r>
        <w:rPr/>
        <w:t>Retrieve archived reports and documentation as requested by GlobalPharma.</w:t>
      </w:r>
    </w:p>
    <w:p>
      <w:pPr>
        <w:pStyle w:val="Heading3"/>
        <w:numPr>
          <w:ilvl w:val="2"/>
          <w:numId w:val="14"/>
        </w:numPr>
        <w:rPr>
          <w:szCs w:val="22"/>
        </w:rPr>
      </w:pPr>
      <w:r>
        <w:rPr/>
        <w:t>Maintain documentation in accordance with GlobalPharma policies and procedures.</w:t>
      </w:r>
    </w:p>
    <w:p>
      <w:pPr>
        <w:pStyle w:val="Heading3"/>
        <w:numPr>
          <w:ilvl w:val="2"/>
          <w:numId w:val="14"/>
        </w:numPr>
        <w:rPr>
          <w:szCs w:val="22"/>
        </w:rPr>
      </w:pPr>
      <w:r>
        <w:rPr/>
        <w:t>Dispose of documentation in accordance with GlobalPharma policies and procedures.</w:t>
      </w:r>
    </w:p>
    <w:p>
      <w:pPr>
        <w:pStyle w:val="Formatvorlage1"/>
        <w:numPr>
          <w:ilvl w:val="0"/>
          <w:numId w:val="14"/>
        </w:numPr>
        <w:rPr/>
      </w:pPr>
      <w:bookmarkStart w:id="15" w:name="__RefHeading___Toc157772304"/>
      <w:bookmarkEnd w:id="15"/>
      <w:r>
        <w:rPr/>
        <w:t>Performance Measurement and effectiveness</w:t>
      </w:r>
    </w:p>
    <w:p>
      <w:pPr>
        <w:pStyle w:val="Heading2"/>
        <w:numPr>
          <w:ilvl w:val="1"/>
          <w:numId w:val="14"/>
        </w:numPr>
        <w:ind w:hanging="0" w:start="0"/>
        <w:rPr>
          <w:rFonts w:ascii="Arial" w:hAnsi="Arial" w:cs="Arial"/>
          <w:szCs w:val="22"/>
        </w:rPr>
      </w:pPr>
      <w:r>
        <w:rPr/>
        <w:t>The Service Providers responsibilities include, but are not limited to:</w:t>
      </w:r>
    </w:p>
    <w:p>
      <w:pPr>
        <w:pStyle w:val="Heading2"/>
        <w:numPr>
          <w:ilvl w:val="1"/>
          <w:numId w:val="14"/>
        </w:numPr>
        <w:ind w:hanging="0" w:start="0"/>
        <w:rPr/>
      </w:pPr>
      <w:r>
        <w:rPr/>
        <w:t>Provide consistent metrics and process performance information as defined in this document including reports identified in Attachment 13-A.</w:t>
      </w:r>
    </w:p>
    <w:p>
      <w:pPr>
        <w:pStyle w:val="Heading2"/>
        <w:numPr>
          <w:ilvl w:val="1"/>
          <w:numId w:val="14"/>
        </w:numPr>
        <w:ind w:hanging="0" w:start="0"/>
        <w:rPr>
          <w:szCs w:val="22"/>
        </w:rPr>
      </w:pPr>
      <w:r>
        <w:rPr/>
        <w:t>Provide explanations relative to performance levels, root cause analyses, corrective measures planned, etc. as requested by GlobalPharma.</w:t>
      </w:r>
    </w:p>
    <w:p>
      <w:pPr>
        <w:pStyle w:val="Heading2"/>
        <w:numPr>
          <w:ilvl w:val="1"/>
          <w:numId w:val="14"/>
        </w:numPr>
        <w:ind w:hanging="0" w:start="0"/>
        <w:rPr/>
      </w:pPr>
      <w:r>
        <w:rPr/>
        <w:t>Monitor and report performance and service levels, using agreed upon measurement processes, tools, and methodologies.</w:t>
      </w:r>
    </w:p>
    <w:p>
      <w:pPr>
        <w:pStyle w:val="Heading2"/>
        <w:numPr>
          <w:ilvl w:val="1"/>
          <w:numId w:val="14"/>
        </w:numPr>
        <w:ind w:hanging="0" w:start="0"/>
        <w:rPr/>
      </w:pPr>
      <w:r>
        <w:rPr/>
        <w:t>Build a Cognos tool to retrieve required data from existing systems and build and present reports.</w:t>
      </w:r>
    </w:p>
    <w:p>
      <w:pPr>
        <w:pStyle w:val="Heading2"/>
        <w:numPr>
          <w:ilvl w:val="1"/>
          <w:numId w:val="14"/>
        </w:numPr>
        <w:ind w:hanging="0" w:start="0"/>
        <w:rPr/>
      </w:pPr>
      <w:r>
        <w:rPr/>
        <w:t>Review existing processes to evaluate process performance and work with GlobalPharma management to develop action plans to improve upon current performance levels.</w:t>
      </w:r>
    </w:p>
    <w:p>
      <w:pPr>
        <w:pStyle w:val="Heading2"/>
        <w:numPr>
          <w:ilvl w:val="1"/>
          <w:numId w:val="14"/>
        </w:numPr>
        <w:ind w:hanging="0" w:start="0"/>
        <w:rPr/>
      </w:pPr>
      <w:r>
        <w:rPr/>
        <w:t>Perform customer satisfaction survey “Voice of Customer (eVoC)” including the parameters operational performance, IT support, HR support, and overall satisfaction on a quarterly basis using a web-based survey technique</w:t>
      </w:r>
    </w:p>
    <w:p>
      <w:pPr>
        <w:pStyle w:val="Heading2"/>
        <w:numPr>
          <w:ilvl w:val="1"/>
          <w:numId w:val="14"/>
        </w:numPr>
        <w:ind w:hanging="0" w:start="0"/>
        <w:rPr/>
      </w:pPr>
      <w:r>
        <w:rPr/>
        <w:t>Ensures to get regular feedback from all stakeholders.</w:t>
      </w:r>
    </w:p>
    <w:p>
      <w:pPr>
        <w:pStyle w:val="Heading2"/>
        <w:numPr>
          <w:ilvl w:val="1"/>
          <w:numId w:val="14"/>
        </w:numPr>
        <w:ind w:hanging="0" w:start="0"/>
        <w:rPr/>
      </w:pPr>
      <w:r>
        <w:rPr/>
        <w:t xml:space="preserve">Feed back evaluation into Operations for further action, root cause analysis and corrective actions that may be needed. </w:t>
      </w:r>
    </w:p>
    <w:p>
      <w:pPr>
        <w:pStyle w:val="Heading2"/>
        <w:numPr>
          <w:ilvl w:val="1"/>
          <w:numId w:val="14"/>
        </w:numPr>
        <w:ind w:hanging="0" w:start="0"/>
        <w:rPr/>
      </w:pPr>
      <w:r>
        <w:rPr/>
        <w:t>Maintain and monitor agreed Service Levels in accordance with Exhibit 3.</w:t>
      </w:r>
    </w:p>
    <w:p>
      <w:pPr>
        <w:pStyle w:val="Heading2"/>
        <w:numPr>
          <w:ilvl w:val="1"/>
          <w:numId w:val="14"/>
        </w:numPr>
        <w:ind w:hanging="0" w:start="0"/>
        <w:rPr/>
      </w:pPr>
      <w:r>
        <w:rPr/>
        <w:t>Apply tools and rigor use of performance measurement tools to monitor the health of a process. Implement customer portal in order to give GlobalPharma access to the online reporting tool Cognos in order to report on the Service-Levels as defined in Attachment 3-A comprising the tracking of agreed CSLs and Key Measurements, a detailed analysis of defects, e.g. a comparison of volumes or an associate-wise performance summary. Use Cognos to track performance across all parameters and publish on an agreed frequency depending on the process and metric requirements as defined in Attachments 3-A and 3-B.</w:t>
      </w:r>
    </w:p>
    <w:p>
      <w:pPr>
        <w:pStyle w:val="Formatvorlage1"/>
        <w:numPr>
          <w:ilvl w:val="0"/>
          <w:numId w:val="14"/>
        </w:numPr>
        <w:rPr/>
      </w:pPr>
      <w:bookmarkStart w:id="16" w:name="__RefHeading___Toc157772305"/>
      <w:bookmarkEnd w:id="16"/>
      <w:r>
        <w:rPr/>
        <w:t>MONITOR AND COMMUNICATE SERVICE COMPLIANCE</w:t>
      </w:r>
    </w:p>
    <w:p>
      <w:pPr>
        <w:pStyle w:val="Heading2"/>
        <w:numPr>
          <w:ilvl w:val="1"/>
          <w:numId w:val="14"/>
        </w:numPr>
        <w:ind w:hanging="0" w:start="0"/>
        <w:rPr>
          <w:rFonts w:ascii="Arial" w:hAnsi="Arial" w:cs="Arial"/>
          <w:szCs w:val="22"/>
        </w:rPr>
      </w:pPr>
      <w:r>
        <w:rPr/>
        <w:t>The Service Providers responsibilities include, but are not limited to:</w:t>
      </w:r>
    </w:p>
    <w:p>
      <w:pPr>
        <w:pStyle w:val="Heading3"/>
        <w:numPr>
          <w:ilvl w:val="2"/>
          <w:numId w:val="14"/>
        </w:numPr>
        <w:rPr>
          <w:i/>
          <w:i/>
          <w:szCs w:val="22"/>
        </w:rPr>
      </w:pPr>
      <w:r>
        <w:rPr/>
        <w:t>Continuously audit the adherence to GlobalPharma accounting rules and requirements.</w:t>
      </w:r>
    </w:p>
    <w:p>
      <w:pPr>
        <w:pStyle w:val="Heading3"/>
        <w:numPr>
          <w:ilvl w:val="2"/>
          <w:numId w:val="14"/>
        </w:numPr>
        <w:rPr>
          <w:rFonts w:ascii="Arial" w:hAnsi="Arial" w:cs="Arial"/>
          <w:i/>
          <w:i/>
          <w:szCs w:val="22"/>
        </w:rPr>
      </w:pPr>
      <w:r>
        <w:rPr/>
        <w:t>Facilitate GlobalPharma’s audit of processes including compliance with defined rules and requirements.</w:t>
      </w:r>
    </w:p>
    <w:p>
      <w:pPr>
        <w:pStyle w:val="Heading3"/>
        <w:numPr>
          <w:ilvl w:val="2"/>
          <w:numId w:val="14"/>
        </w:numPr>
        <w:rPr/>
      </w:pPr>
      <w:r>
        <w:rPr/>
        <w:t>Create internal monitoring mechanisms, checks and balances, controls for critical requirements and develop dashboards to depict health of processes and to communicate all issues arising from operations promptly to GlobalPharma.</w:t>
      </w:r>
    </w:p>
    <w:p>
      <w:pPr>
        <w:pStyle w:val="Formatvorlage1"/>
        <w:numPr>
          <w:ilvl w:val="0"/>
          <w:numId w:val="14"/>
        </w:numPr>
        <w:rPr/>
      </w:pPr>
      <w:bookmarkStart w:id="17" w:name="__RefHeading___Toc157772306"/>
      <w:bookmarkEnd w:id="17"/>
      <w:r>
        <w:rPr/>
        <w:t>Third Party Material</w:t>
      </w:r>
    </w:p>
    <w:p>
      <w:pPr>
        <w:pStyle w:val="Heading2"/>
        <w:numPr>
          <w:ilvl w:val="1"/>
          <w:numId w:val="14"/>
        </w:numPr>
        <w:ind w:hanging="0" w:start="0"/>
        <w:rPr/>
      </w:pPr>
      <w:r>
        <w:rPr/>
        <w:t>The Service Provider’s responsibilities include, but are not limited to</w:t>
      </w:r>
    </w:p>
    <w:p>
      <w:pPr>
        <w:pStyle w:val="Heading2"/>
        <w:numPr>
          <w:ilvl w:val="1"/>
          <w:numId w:val="14"/>
        </w:numPr>
        <w:ind w:hanging="0" w:start="0"/>
        <w:rPr/>
      </w:pPr>
      <w:r>
        <w:rPr/>
        <w:t>Update with the assistance and the approval of GlobalPharma at least at every 6th (sixth) month of the Term of the Agreement the list of third party material in Exhibit 24.</w:t>
      </w:r>
      <w:r>
        <w:rPr>
          <w:vertAlign w:val="superscript"/>
        </w:rPr>
      </w:r>
      <w:r>
        <w:rPr/>
      </w:r>
    </w:p>
    <w:p>
      <w:pPr>
        <w:pStyle w:val="Formatvorlage1"/>
        <w:numPr>
          <w:ilvl w:val="0"/>
          <w:numId w:val="14"/>
        </w:numPr>
        <w:rPr/>
      </w:pPr>
      <w:bookmarkStart w:id="18" w:name="__RefHeading___Toc157772307"/>
      <w:bookmarkEnd w:id="18"/>
      <w:r>
        <w:rPr/>
        <w:t>IP Rights Listing</w:t>
      </w:r>
    </w:p>
    <w:p>
      <w:pPr>
        <w:pStyle w:val="Normal"/>
        <w:rPr/>
      </w:pPr>
      <w:r>
        <w:rPr>
          <w:lang w:val="en-GB"/>
        </w:rPr>
        <w:t xml:space="preserve">The Parties will list below, as updated periodically </w:t>
      </w:r>
      <w:r>
        <w:rPr/>
        <w:t>at least at every 6</w:t>
      </w:r>
      <w:r>
        <w:rPr>
          <w:vertAlign w:val="superscript"/>
        </w:rPr>
        <w:t>th</w:t>
      </w:r>
      <w:r>
        <w:rPr/>
        <w:t xml:space="preserve"> (sixth) month </w:t>
      </w:r>
      <w:r>
        <w:rPr>
          <w:lang w:val="en-GB"/>
        </w:rPr>
        <w:t>of the Term of The Agreement, Materials developed under The Agreement as described in clause 7.3.1 of the MSA:</w:t>
      </w:r>
    </w:p>
    <w:p>
      <w:pPr>
        <w:pStyle w:val="Heading2"/>
        <w:keepNext w:val="true"/>
        <w:keepLines/>
        <w:numPr>
          <w:ilvl w:val="1"/>
          <w:numId w:val="14"/>
        </w:numPr>
        <w:tabs>
          <w:tab w:val="left" w:pos="504" w:leader="none"/>
          <w:tab w:val="left" w:pos="851" w:leader="none"/>
        </w:tabs>
        <w:spacing w:before="480" w:after="240"/>
        <w:ind w:hanging="504" w:start="504" w:end="0"/>
        <w:rPr/>
      </w:pPr>
      <w:r>
        <w:rPr>
          <w:lang w:val="en-GB"/>
        </w:rPr>
        <w:t xml:space="preserve">Type I </w:t>
      </w:r>
      <w:r>
        <w:rPr/>
        <w:t>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keepNext w:val="true"/>
        <w:keepLines/>
        <w:numPr>
          <w:ilvl w:val="1"/>
          <w:numId w:val="14"/>
        </w:numPr>
        <w:tabs>
          <w:tab w:val="left" w:pos="504" w:leader="none"/>
          <w:tab w:val="left" w:pos="851" w:leader="none"/>
        </w:tabs>
        <w:spacing w:before="480" w:after="240"/>
        <w:ind w:hanging="504" w:start="504" w:end="0"/>
        <w:rPr/>
      </w:pPr>
      <w:r>
        <w:rPr>
          <w:lang w:val="en-GB"/>
        </w:rPr>
        <w:t>Type 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keepNext w:val="true"/>
        <w:keepLines/>
        <w:numPr>
          <w:ilvl w:val="1"/>
          <w:numId w:val="14"/>
        </w:numPr>
        <w:tabs>
          <w:tab w:val="left" w:pos="504" w:leader="none"/>
          <w:tab w:val="left" w:pos="851" w:leader="none"/>
        </w:tabs>
        <w:spacing w:before="480" w:after="240"/>
        <w:ind w:hanging="504" w:start="504" w:end="0"/>
        <w:rPr/>
      </w:pPr>
      <w:r>
        <w:rPr>
          <w:lang w:val="en-GB"/>
        </w:rPr>
        <w:t>Type III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keepNext w:val="true"/>
        <w:keepLines/>
        <w:numPr>
          <w:ilvl w:val="1"/>
          <w:numId w:val="14"/>
        </w:numPr>
        <w:tabs>
          <w:tab w:val="left" w:pos="504" w:leader="none"/>
          <w:tab w:val="left" w:pos="851" w:leader="none"/>
        </w:tabs>
        <w:spacing w:before="480" w:after="240"/>
        <w:ind w:hanging="504" w:start="504" w:end="0"/>
        <w:rPr/>
      </w:pPr>
      <w:r>
        <w:rPr>
          <w:lang w:val="en-GB"/>
        </w:rPr>
        <w:t>Type IV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Normal"/>
        <w:rPr/>
      </w:pPr>
      <w:r>
        <w:rPr/>
      </w:r>
    </w:p>
    <w:p>
      <w:pPr>
        <w:pStyle w:val="Normal"/>
        <w:spacing w:before="120" w:after="120"/>
        <w:rPr/>
      </w:pPr>
      <w:r>
        <w:rPr/>
      </w:r>
    </w:p>
    <w:sectPr>
      <w:headerReference w:type="default" r:id="rId2"/>
      <w:footerReference w:type="default" r:id="rId3"/>
      <w:type w:val="nextPage"/>
      <w:pgSz w:w="11906" w:h="16838"/>
      <w:pgMar w:left="1418" w:right="1418" w:gutter="0" w:header="181" w:top="720" w:footer="256" w:bottom="85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Wingdings">
    <w:charset w:val="02"/>
    <w:family w:val="auto"/>
    <w:pitch w:val="variable"/>
  </w:font>
  <w:font w:name="Courier New">
    <w:charset w:val="00" w:characterSet="windows-1252"/>
    <w:family w:val="modern"/>
    <w:pitch w:val="default"/>
  </w:font>
  <w:font w:name="Arial Unicode MS">
    <w:charset w:val="80"/>
    <w:family w:val="swiss"/>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6" w:color="000000"/>
      </w:pBdr>
      <w:tabs>
        <w:tab w:val="clear" w:pos="4320"/>
        <w:tab w:val="clear" w:pos="8640"/>
        <w:tab w:val="center" w:pos="4680" w:leader="none"/>
        <w:tab w:val="center" w:pos="7200" w:leader="none"/>
        <w:tab w:val="right" w:pos="14400" w:leader="none"/>
      </w:tabs>
      <w:spacing w:before="120" w:after="120"/>
      <w:jc w:val="center"/>
      <w:rPr>
        <w:rFonts w:ascii="Arial" w:hAnsi="Arial" w:cs="Arial"/>
        <w:i/>
        <w:i/>
        <w:sz w:val="20"/>
        <w:szCs w:val="22"/>
      </w:rPr>
    </w:pPr>
    <w:r>
      <w:rPr>
        <w:rFonts w:cs="Arial" w:ascii="Arial" w:hAnsi="Arial"/>
        <w:i/>
        <w:sz w:val="20"/>
        <w:szCs w:val="22"/>
      </w:rPr>
      <w:t>GlobalPharma and ServicePro Confidential</w:t>
    </w:r>
  </w:p>
  <w:p>
    <w:pPr>
      <w:pStyle w:val="Footer"/>
      <w:tabs>
        <w:tab w:val="clear" w:pos="4320"/>
        <w:tab w:val="clear" w:pos="8640"/>
        <w:tab w:val="center" w:pos="4680" w:leader="none"/>
        <w:tab w:val="center" w:pos="7200" w:leader="none"/>
        <w:tab w:val="right" w:pos="14400" w:leader="none"/>
      </w:tabs>
      <w:spacing w:before="120" w:after="120"/>
      <w:jc w:val="center"/>
      <w:rPr>
        <w:rFonts w:ascii="Arial" w:hAnsi="Arial" w:cs="Arial"/>
        <w:i/>
        <w:i/>
        <w:sz w:val="20"/>
        <w:szCs w:val="22"/>
      </w:rPr>
    </w:pPr>
    <w:r>
      <w:rPr>
        <w:rFonts w:cs="Arial" w:ascii="Arial" w:hAnsi="Arial"/>
        <w:i/>
        <w:sz w:val="20"/>
        <w:szCs w:val="22"/>
      </w:rPr>
      <w:fldChar w:fldCharType="begin"/>
    </w:r>
    <w:r>
      <w:rPr>
        <w:sz w:val="20"/>
        <w:i/>
        <w:szCs w:val="22"/>
        <w:rFonts w:cs="Arial" w:ascii="Arial" w:hAnsi="Arial"/>
      </w:rPr>
      <w:instrText xml:space="preserve"> PAGE </w:instrText>
    </w:r>
    <w:r>
      <w:rPr>
        <w:sz w:val="20"/>
        <w:i/>
        <w:szCs w:val="22"/>
        <w:rFonts w:cs="Arial" w:ascii="Arial" w:hAnsi="Arial"/>
      </w:rPr>
      <w:fldChar w:fldCharType="separate"/>
    </w:r>
    <w:r>
      <w:rPr>
        <w:sz w:val="20"/>
        <w:i/>
        <w:szCs w:val="22"/>
        <w:rFonts w:cs="Arial" w:ascii="Arial" w:hAnsi="Arial"/>
      </w:rPr>
      <w:t>15</w:t>
    </w:r>
    <w:r>
      <w:rPr>
        <w:sz w:val="20"/>
        <w:i/>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right" w:pos="14400" w:leader="none"/>
      </w:tabs>
      <w:spacing w:before="120" w:after="120"/>
      <w:rPr/>
    </w:pPr>
    <w:r>
      <w:rPr/>
      <w:drawing>
        <wp:anchor behindDoc="1" distT="0" distB="0" distL="114935" distR="114935" simplePos="0" locked="0" layoutInCell="1" allowOverlap="1" relativeHeight="31">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46">
          <wp:simplePos x="0" y="0"/>
          <wp:positionH relativeFrom="column">
            <wp:posOffset>4752340</wp:posOffset>
          </wp:positionH>
          <wp:positionV relativeFrom="paragraph">
            <wp:posOffset>-25400</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494155" cy="345440"/>
                  </a:xfrm>
                  <a:prstGeom prst="rect">
                    <a:avLst/>
                  </a:prstGeom>
                  <a:noFill/>
                </pic:spPr>
              </pic:pic>
            </a:graphicData>
          </a:graphic>
        </wp:inline>
      </w:drawing>
    </w:r>
  </w:p>
  <w:p>
    <w:pPr>
      <w:pStyle w:val="Header"/>
      <w:pBdr>
        <w:bottom w:val="single" w:sz="4" w:space="1" w:color="000000"/>
      </w:pBdr>
      <w:tabs>
        <w:tab w:val="clear" w:pos="4320"/>
        <w:tab w:val="clear" w:pos="8640"/>
        <w:tab w:val="right" w:pos="14400" w:leader="none"/>
      </w:tabs>
      <w:spacing w:before="120" w:after="120"/>
      <w:rPr/>
    </w:pPr>
    <w:r>
      <w:rPr/>
      <w:tab/>
      <w:tab/>
      <w:tab/>
      <w:tab/>
      <w:tab/>
      <w:t>Exhibit 2.1 FINAL (clean) 15 January 07.doc</w:t>
    </w:r>
    <w:r>
      <w:rPr/>
    </w:r>
    <w:r>
      <w:rPr/>
    </w:r>
    <w:r>
      <w:rPr/>
    </w:r>
    <w:r>
      <w:rPr/>
    </w: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decimal"/>
      <w:lvlText w:val="%1"/>
      <w:lvlJc w:val="start"/>
      <w:pPr>
        <w:tabs>
          <w:tab w:val="num" w:pos="432"/>
        </w:tabs>
        <w:ind w:start="432" w:hanging="432"/>
      </w:pPr>
      <w:rPr>
        <w:sz w:val="28"/>
        <w:i w:val="false"/>
        <w:b/>
      </w:rPr>
    </w:lvl>
    <w:lvl w:ilvl="1">
      <w:start w:val="1"/>
      <w:numFmt w:val="decimal"/>
      <w:lvlText w:val="%1.%2"/>
      <w:lvlJc w:val="start"/>
      <w:pPr>
        <w:tabs>
          <w:tab w:val="num" w:pos="576"/>
        </w:tabs>
        <w:ind w:start="576" w:hanging="576"/>
      </w:pPr>
      <w:rPr>
        <w:smallCaps w:val="false"/>
        <w:caps w:val="false"/>
        <w:outline w:val="false"/>
        <w:dstrike w:val="false"/>
        <w:strike w:val="false"/>
        <w:vertAlign w:val="baseline"/>
        <w:position w:val="0"/>
        <w:sz w:val="24"/>
        <w:spacing w:val="0"/>
        <w:i w:val="false"/>
        <w:shadow w:val="false"/>
        <w:u w:val="none"/>
        <w:kern w:val="0"/>
        <w:iCs w:val="false"/>
        <w:bCs w:val="false"/>
        <w:em w:val="none"/>
        <w:vanish w:val="false"/>
      </w:rPr>
    </w:lvl>
    <w:lvl w:ilvl="2">
      <w:start w:val="1"/>
      <w:numFmt w:val="decimal"/>
      <w:lvlText w:val="%1.%2.%3"/>
      <w:lvlJc w:val="start"/>
      <w:pPr>
        <w:tabs>
          <w:tab w:val="num" w:pos="720"/>
        </w:tabs>
        <w:ind w:start="720" w:hanging="720"/>
      </w:pPr>
      <w:rPr>
        <w:sz w:val="24"/>
        <w:i w:val="false"/>
        <w:b/>
      </w:rPr>
    </w:lvl>
    <w:lvl w:ilvl="3">
      <w:start w:val="1"/>
      <w:numFmt w:val="decimal"/>
      <w:lvlText w:val="%1.%2.%3.%4"/>
      <w:lvlJc w:val="start"/>
      <w:pPr>
        <w:tabs>
          <w:tab w:val="num" w:pos="864"/>
        </w:tabs>
        <w:ind w:start="864" w:hanging="864"/>
      </w:pPr>
      <w:rPr>
        <w:sz w:val="24"/>
        <w:i w:val="false"/>
        <w:b/>
      </w:rPr>
    </w:lvl>
    <w:lvl w:ilvl="4">
      <w:start w:val="1"/>
      <w:numFmt w:val="decimal"/>
      <w:lvlText w:val="%1.%2.%3.%4.%5"/>
      <w:lvlJc w:val="start"/>
      <w:pPr>
        <w:tabs>
          <w:tab w:val="num" w:pos="1008"/>
        </w:tabs>
        <w:ind w:start="1008" w:hanging="1008"/>
      </w:pPr>
      <w:rPr>
        <w:sz w:val="22"/>
        <w:i w:val="false"/>
        <w:b w:val="false"/>
      </w:rPr>
    </w:lvl>
    <w:lvl w:ilvl="5">
      <w:start w:val="1"/>
      <w:numFmt w:val="decimal"/>
      <w:lvlText w:val="%1.%2.%3.%4.%5.%6"/>
      <w:lvlJc w:val="start"/>
      <w:pPr>
        <w:tabs>
          <w:tab w:val="num" w:pos="1152"/>
        </w:tabs>
        <w:ind w:start="1152" w:hanging="1152"/>
      </w:pPr>
      <w:rPr>
        <w:sz w:val="22"/>
        <w:i w:val="false"/>
        <w:b w:val="false"/>
      </w:rPr>
    </w:lvl>
    <w:lvl w:ilvl="6">
      <w:start w:val="1"/>
      <w:numFmt w:val="decimal"/>
      <w:lvlText w:val="%1.%2.%3.%4.%5.%6.%7"/>
      <w:lvlJc w:val="start"/>
      <w:pPr>
        <w:tabs>
          <w:tab w:val="num" w:pos="1296"/>
        </w:tabs>
        <w:ind w:start="1296" w:hanging="1296"/>
      </w:pPr>
      <w:rPr>
        <w:sz w:val="22"/>
        <w:i w:val="false"/>
        <w:b w:val="false"/>
      </w:rPr>
    </w:lvl>
    <w:lvl w:ilvl="7">
      <w:start w:val="1"/>
      <w:numFmt w:val="decimal"/>
      <w:lvlText w:val="%1.%2.%3.%4.%5.%6.%7.%8"/>
      <w:lvlJc w:val="start"/>
      <w:pPr>
        <w:tabs>
          <w:tab w:val="num" w:pos="1440"/>
        </w:tabs>
        <w:ind w:start="1440" w:hanging="1440"/>
      </w:pPr>
      <w:rPr>
        <w:sz w:val="22"/>
        <w:i w:val="false"/>
        <w:b w:val="false"/>
      </w:rPr>
    </w:lvl>
    <w:lvl w:ilvl="8">
      <w:start w:val="1"/>
      <w:numFmt w:val="decimal"/>
      <w:lvlText w:val="%1.%2.%3.%4.%5.%6.%7.%8.%9"/>
      <w:lvlJc w:val="start"/>
      <w:pPr>
        <w:tabs>
          <w:tab w:val="num" w:pos="1584"/>
        </w:tabs>
        <w:ind w:start="1584" w:hanging="1584"/>
      </w:pPr>
      <w:rPr/>
    </w:lvl>
  </w:abstractNum>
  <w:abstractNum w:abstractNumId="4">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lang w:val="en-GB"/>
      </w:rPr>
    </w:lvl>
    <w:lvl w:ilvl="1">
      <w:start w:val="1"/>
      <w:numFmt w:val="bullet"/>
      <w:lvlText w:val=""/>
      <w:lvlJc w:val="start"/>
      <w:pPr>
        <w:tabs>
          <w:tab w:val="num" w:pos="360"/>
        </w:tabs>
        <w:ind w:start="360" w:hanging="360"/>
      </w:pPr>
      <w:rPr>
        <w:rFonts w:ascii="Wingdings" w:hAnsi="Wingdings" w:cs="Wingdings" w:hint="default"/>
        <w:sz w:val="24"/>
        <w:i w:val="false"/>
        <w:b/>
        <w:color w:val="000000"/>
        <w:lang w:val="en-GB"/>
      </w:rPr>
    </w:lvl>
    <w:lvl w:ilvl="2">
      <w:start w:val="1"/>
      <w:numFmt w:val="decimal"/>
      <w:lvlText w:val="%1.%2.%3."/>
      <w:lvlJc w:val="start"/>
      <w:pPr>
        <w:tabs>
          <w:tab w:val="num" w:pos="1080"/>
        </w:tabs>
        <w:ind w:start="1080" w:hanging="1080"/>
      </w:pPr>
      <w:rPr>
        <w:sz w:val="22"/>
        <w:i w:val="false"/>
        <w:b w:val="false"/>
        <w:rFonts w:ascii="Times New Roman" w:hAnsi="Times New Roman" w:cs="Times New Roman"/>
      </w:rPr>
    </w:lvl>
    <w:lvl w:ilvl="3">
      <w:start w:val="1"/>
      <w:numFmt w:val="decimal"/>
      <w:lvlText w:val="%1.%2.%3.%4."/>
      <w:lvlJc w:val="start"/>
      <w:pPr>
        <w:tabs>
          <w:tab w:val="num" w:pos="1080"/>
        </w:tabs>
        <w:ind w:start="1080" w:hanging="1080"/>
      </w:pPr>
      <w:rPr>
        <w:sz w:val="22"/>
        <w:i w:val="false"/>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5">
    <w:lvl w:ilvl="0">
      <w:start w:val="1"/>
      <w:numFmt w:val="bullet"/>
      <w:lvlText w:val=""/>
      <w:lvlJc w:val="start"/>
      <w:pPr>
        <w:tabs>
          <w:tab w:val="num" w:pos="1800"/>
        </w:tabs>
        <w:ind w:start="180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0"/>
      <w:lvlJc w:val="start"/>
      <w:pPr>
        <w:tabs>
          <w:tab w:val="num" w:pos="972"/>
        </w:tabs>
        <w:ind w:start="684" w:hanging="72"/>
      </w:pPr>
      <w:rPr/>
    </w:lvl>
    <w:lvl w:ilvl="1">
      <w:start w:val="1"/>
      <w:numFmt w:val="decimal"/>
      <w:lvlText w:val="%1.%2"/>
      <w:lvlJc w:val="start"/>
      <w:pPr>
        <w:tabs>
          <w:tab w:val="num" w:pos="1304"/>
        </w:tabs>
        <w:ind w:start="944" w:hanging="720"/>
      </w:pPr>
    </w:lvl>
    <w:lvl w:ilvl="2">
      <w:start w:val="1"/>
      <w:numFmt w:val="decimal"/>
      <w:lvlText w:val="%3."/>
      <w:lvlJc w:val="start"/>
      <w:pPr>
        <w:tabs>
          <w:tab w:val="num" w:pos="2024"/>
        </w:tabs>
        <w:ind w:start="1664" w:hanging="0"/>
      </w:pPr>
      <w:rPr/>
    </w:lvl>
    <w:lvl w:ilvl="3">
      <w:start w:val="1"/>
      <w:numFmt w:val="lowerLetter"/>
      <w:lvlText w:val="%4)"/>
      <w:lvlJc w:val="start"/>
      <w:pPr>
        <w:tabs>
          <w:tab w:val="num" w:pos="2744"/>
        </w:tabs>
        <w:ind w:start="2384" w:hanging="0"/>
      </w:pPr>
      <w:rPr/>
    </w:lvl>
    <w:lvl w:ilvl="4">
      <w:start w:val="1"/>
      <w:numFmt w:val="decimal"/>
      <w:lvlText w:val="(%5)"/>
      <w:lvlJc w:val="start"/>
      <w:pPr>
        <w:tabs>
          <w:tab w:val="num" w:pos="3464"/>
        </w:tabs>
        <w:ind w:start="3104" w:hanging="0"/>
      </w:pPr>
      <w:rPr/>
    </w:lvl>
    <w:lvl w:ilvl="5">
      <w:start w:val="1"/>
      <w:numFmt w:val="lowerLetter"/>
      <w:lvlText w:val="(%6)"/>
      <w:lvlJc w:val="start"/>
      <w:pPr>
        <w:tabs>
          <w:tab w:val="num" w:pos="4184"/>
        </w:tabs>
        <w:ind w:start="3824" w:hanging="0"/>
      </w:pPr>
      <w:rPr/>
    </w:lvl>
    <w:lvl w:ilvl="6">
      <w:start w:val="1"/>
      <w:numFmt w:val="lowerRoman"/>
      <w:lvlText w:val="(%7)"/>
      <w:lvlJc w:val="start"/>
      <w:pPr>
        <w:tabs>
          <w:tab w:val="num" w:pos="4904"/>
        </w:tabs>
        <w:ind w:start="4544" w:hanging="0"/>
      </w:pPr>
      <w:rPr/>
    </w:lvl>
    <w:lvl w:ilvl="7">
      <w:start w:val="1"/>
      <w:numFmt w:val="lowerLetter"/>
      <w:lvlText w:val="(%8)"/>
      <w:lvlJc w:val="start"/>
      <w:pPr>
        <w:tabs>
          <w:tab w:val="num" w:pos="5624"/>
        </w:tabs>
        <w:ind w:start="5264" w:hanging="0"/>
      </w:pPr>
      <w:rPr/>
    </w:lvl>
    <w:lvl w:ilvl="8">
      <w:start w:val="1"/>
      <w:numFmt w:val="lowerRoman"/>
      <w:lvlText w:val="(%9)"/>
      <w:lvlJc w:val="start"/>
      <w:pPr>
        <w:tabs>
          <w:tab w:val="num" w:pos="6344"/>
        </w:tabs>
        <w:ind w:start="5984" w:hanging="0"/>
      </w:pPr>
      <w:rPr/>
    </w:lvl>
  </w:abstractNum>
  <w:abstractNum w:abstractNumId="8">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9">
    <w:lvl w:ilvl="0">
      <w:start w:val="1"/>
      <w:numFmt w:val="bullet"/>
      <w:lvlText w:val=""/>
      <w:lvlJc w:val="start"/>
      <w:pPr>
        <w:tabs>
          <w:tab w:val="num" w:pos="1627"/>
        </w:tabs>
        <w:ind w:start="1627" w:hanging="547"/>
      </w:pPr>
      <w:rPr>
        <w:rFonts w:ascii="Symbol" w:hAnsi="Symbol" w:cs="Symbol" w:hint="default"/>
      </w:rPr>
    </w:lvl>
  </w:abstractNum>
  <w:abstractNum w:abstractNumId="10">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11">
    <w:lvl w:ilvl="0">
      <w:start w:val="1"/>
      <w:numFmt w:val="bullet"/>
      <w:lvlText w:val=""/>
      <w:lvlJc w:val="start"/>
      <w:pPr>
        <w:tabs>
          <w:tab w:val="num" w:pos="2160"/>
        </w:tabs>
        <w:ind w:start="2160" w:hanging="533"/>
      </w:pPr>
      <w:rPr>
        <w:rFonts w:ascii="Symbol" w:hAnsi="Symbol" w:cs="Symbol" w:hint="default"/>
      </w:rPr>
    </w:lvl>
  </w:abstractNum>
  <w:abstractNum w:abstractNumId="12">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3">
    <w:lvl w:ilvl="0">
      <w:start w:val="1"/>
      <w:numFmt w:val="bullet"/>
      <w:lvlText w:val=""/>
      <w:lvlJc w:val="start"/>
      <w:pPr>
        <w:tabs>
          <w:tab w:val="num" w:pos="360"/>
        </w:tabs>
        <w:ind w:start="360" w:hanging="360"/>
      </w:pPr>
      <w:rPr>
        <w:rFonts w:ascii="Symbol" w:hAnsi="Symbol" w:cs="Symbol" w:hint="default"/>
      </w:rPr>
    </w:lvl>
  </w:abstractNum>
  <w:abstractNum w:abstractNumId="14">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lang w:val="en-US"/>
      </w:rPr>
    </w:lvl>
    <w:lvl w:ilvl="1">
      <w:start w:val="1"/>
      <w:numFmt w:val="decimal"/>
      <w:lvlText w:val="%1.%2."/>
      <w:lvlJc w:val="start"/>
      <w:pPr>
        <w:tabs>
          <w:tab w:val="num" w:pos="684"/>
        </w:tabs>
        <w:ind w:start="684" w:hanging="504"/>
      </w:pPr>
      <w:rPr>
        <w:sz w:val="24"/>
        <w:i w:val="false"/>
        <w:b/>
        <w:rFonts w:ascii="Times New Roman Bold;Times New Roman" w:hAnsi="Times New Roman Bold;Times New Roman" w:cs="Times New Roman"/>
        <w:lang w:val="en-US"/>
      </w:rPr>
    </w:lvl>
    <w:lvl w:ilvl="2">
      <w:start w:val="1"/>
      <w:numFmt w:val="decimal"/>
      <w:lvlText w:val="%1.%2.%3."/>
      <w:lvlJc w:val="start"/>
      <w:pPr>
        <w:tabs>
          <w:tab w:val="num" w:pos="1080"/>
        </w:tabs>
        <w:ind w:start="1080" w:hanging="1080"/>
      </w:pPr>
      <w:rPr>
        <w:sz w:val="22"/>
        <w:i w:val="false"/>
        <w:b w:val="false"/>
        <w:rFonts w:ascii="Times New Roman" w:hAnsi="Times New Roman" w:cs="Times New Roman"/>
      </w:rPr>
    </w:lvl>
    <w:lvl w:ilvl="3">
      <w:start w:val="1"/>
      <w:numFmt w:val="decimal"/>
      <w:lvlText w:val="%1.%2.%3.%4."/>
      <w:lvlJc w:val="start"/>
      <w:pPr>
        <w:tabs>
          <w:tab w:val="num" w:pos="1080"/>
        </w:tabs>
        <w:ind w:start="1080" w:hanging="1080"/>
      </w:pPr>
      <w:rPr>
        <w:sz w:val="22"/>
        <w:i w:val="false"/>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4"/>
      </w:numPr>
      <w:tabs>
        <w:tab w:val="clear" w:pos="720"/>
        <w:tab w:val="left" w:pos="851" w:leader="none"/>
      </w:tabs>
      <w:spacing w:before="720" w:after="240"/>
      <w:outlineLvl w:val="0"/>
    </w:pPr>
    <w:rPr>
      <w:rFonts w:ascii="Times New Roman Bold;Times New Roman" w:hAnsi="Times New Roman Bold;Times New Roman" w:cs="Arial"/>
      <w:b/>
      <w:bCs/>
      <w:caps/>
      <w:kern w:val="2"/>
      <w:sz w:val="24"/>
      <w:szCs w:val="32"/>
    </w:rPr>
  </w:style>
  <w:style w:type="paragraph" w:styleId="Heading2">
    <w:name w:val="heading 2"/>
    <w:basedOn w:val="Heading1"/>
    <w:next w:val="Normal"/>
    <w:qFormat/>
    <w:pPr>
      <w:numPr>
        <w:ilvl w:val="0"/>
        <w:numId w:val="14"/>
      </w:numPr>
      <w:spacing w:before="240" w:after="0"/>
      <w:outlineLvl w:val="1"/>
    </w:pPr>
    <w:rPr>
      <w:rFonts w:ascii="Times New Roman" w:hAnsi="Times New Roman" w:cs="Times New Roman"/>
      <w:bCs w:val="false"/>
      <w:iCs/>
      <w:caps w:val="false"/>
      <w:smallCaps w:val="false"/>
      <w:szCs w:val="28"/>
    </w:rPr>
  </w:style>
  <w:style w:type="paragraph" w:styleId="Heading3">
    <w:name w:val="heading 3"/>
    <w:basedOn w:val="Heading2"/>
    <w:next w:val="Normal"/>
    <w:qFormat/>
    <w:pPr>
      <w:numPr>
        <w:ilvl w:val="0"/>
        <w:numId w:val="14"/>
      </w:numPr>
      <w:ind w:hanging="851" w:start="851" w:end="0"/>
      <w:outlineLvl w:val="2"/>
    </w:pPr>
    <w:rPr>
      <w:b w:val="false"/>
      <w:bCs/>
      <w:szCs w:val="26"/>
      <w:lang w:val="en-GB"/>
    </w:rPr>
  </w:style>
  <w:style w:type="paragraph" w:styleId="Heading4">
    <w:name w:val="heading 4"/>
    <w:basedOn w:val="Heading3"/>
    <w:next w:val="Normal"/>
    <w:qFormat/>
    <w:pPr>
      <w:numPr>
        <w:ilvl w:val="0"/>
        <w:numId w:val="14"/>
      </w:numPr>
      <w:outlineLvl w:val="3"/>
    </w:pPr>
    <w:rPr>
      <w:bCs w:val="false"/>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2z0">
    <w:name w:val="WW8Num2z0"/>
    <w:qFormat/>
    <w:rPr>
      <w:rFonts w:ascii="Wingdings" w:hAnsi="Wingdings" w:cs="Wingdings"/>
      <w:spacing w:val="0"/>
    </w:rPr>
  </w:style>
  <w:style w:type="character" w:styleId="WW8Num2z1">
    <w:name w:val="WW8Num2z1"/>
    <w:qFormat/>
    <w:rPr>
      <w:rFonts w:ascii="Courier New" w:hAnsi="Courier New" w:cs="Courier New"/>
      <w:spacing w:val="0"/>
    </w:rPr>
  </w:style>
  <w:style w:type="character" w:styleId="WW8Num2z3">
    <w:name w:val="WW8Num2z3"/>
    <w:qFormat/>
    <w:rPr>
      <w:rFonts w:ascii="Symbol" w:hAnsi="Symbol" w:cs="Symbol"/>
      <w:spacing w:val="0"/>
    </w:rPr>
  </w:style>
  <w:style w:type="character" w:styleId="WW8Num3z0">
    <w:name w:val="WW8Num3z0"/>
    <w:qFormat/>
    <w:rPr>
      <w:b/>
      <w:i w:val="false"/>
      <w:sz w:val="28"/>
    </w:rPr>
  </w:style>
  <w:style w:type="character" w:styleId="WW8Num3z1">
    <w:name w:val="WW8Num3z1"/>
    <w:qFormat/>
    <w:rPr>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3z2">
    <w:name w:val="WW8Num3z2"/>
    <w:qFormat/>
    <w:rPr>
      <w:b/>
      <w:i w:val="false"/>
      <w:sz w:val="24"/>
    </w:rPr>
  </w:style>
  <w:style w:type="character" w:styleId="WW8Num3z4">
    <w:name w:val="WW8Num3z4"/>
    <w:qFormat/>
    <w:rPr>
      <w:b w:val="false"/>
      <w:i w:val="false"/>
      <w:sz w:val="22"/>
    </w:rPr>
  </w:style>
  <w:style w:type="character" w:styleId="WW8Num3z8">
    <w:name w:val="WW8Num3z8"/>
    <w:qFormat/>
    <w:rPr/>
  </w:style>
  <w:style w:type="character" w:styleId="WW8Num4z0">
    <w:name w:val="WW8Num4z0"/>
    <w:qFormat/>
    <w:rPr>
      <w:rFonts w:ascii="Times New Roman Bold;Times New Roman" w:hAnsi="Times New Roman Bold;Times New Roman" w:cs="Times New Roman"/>
      <w:b/>
      <w:i w:val="false"/>
      <w:color w:val="000000"/>
      <w:sz w:val="24"/>
      <w:lang w:val="en-GB"/>
    </w:rPr>
  </w:style>
  <w:style w:type="character" w:styleId="WW8Num4z1">
    <w:name w:val="WW8Num4z1"/>
    <w:qFormat/>
    <w:rPr>
      <w:rFonts w:ascii="Wingdings" w:hAnsi="Wingdings" w:cs="Wingdings"/>
      <w:b/>
      <w:i w:val="false"/>
      <w:color w:val="000000"/>
      <w:sz w:val="24"/>
      <w:lang w:val="en-GB"/>
    </w:rPr>
  </w:style>
  <w:style w:type="character" w:styleId="WW8Num4z2">
    <w:name w:val="WW8Num4z2"/>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Times New Roman Bold;Times New Roman" w:hAnsi="Times New Roman Bold;Times New Roman" w:cs="Times New Roman Bold;Times New Roman"/>
      <w:b/>
      <w:i w:val="false"/>
      <w:sz w:val="28"/>
    </w:rPr>
  </w:style>
  <w:style w:type="character" w:styleId="WW8Num8z2">
    <w:name w:val="WW8Num8z2"/>
    <w:qFormat/>
    <w:rPr>
      <w:rFonts w:ascii="Times New Roman" w:hAnsi="Times New Roman" w:cs="Times New Roman"/>
      <w:b/>
      <w:i w:val="false"/>
      <w:sz w:val="24"/>
    </w:rPr>
  </w:style>
  <w:style w:type="character" w:styleId="WW8Num8z4">
    <w:name w:val="WW8Num8z4"/>
    <w:qFormat/>
    <w:rPr>
      <w:rFonts w:ascii="Times New Roman" w:hAnsi="Times New Roman" w:cs="Times New Roman"/>
      <w:b w:val="false"/>
      <w:i w:val="false"/>
      <w:sz w:val="22"/>
    </w:rPr>
  </w:style>
  <w:style w:type="character" w:styleId="WW8Num8z8">
    <w:name w:val="WW8Num8z8"/>
    <w:qFormat/>
    <w:rPr/>
  </w:style>
  <w:style w:type="character" w:styleId="WW8Num9z0">
    <w:name w:val="WW8Num9z0"/>
    <w:qFormat/>
    <w:rPr>
      <w:rFonts w:ascii="Times New Roman Bold;Times New Roman" w:hAnsi="Times New Roman Bold;Times New Roman" w:cs="Times New Roman"/>
      <w:b/>
      <w:i w:val="false"/>
      <w:color w:val="000000"/>
      <w:sz w:val="24"/>
      <w:lang w:val="en-US"/>
    </w:rPr>
  </w:style>
  <w:style w:type="character" w:styleId="WW8Num9z1">
    <w:name w:val="WW8Num9z1"/>
    <w:qFormat/>
    <w:rPr>
      <w:rFonts w:ascii="Wingdings" w:hAnsi="Wingdings" w:cs="Wingdings"/>
      <w:b/>
      <w:i w:val="false"/>
      <w:color w:val="000000"/>
      <w:sz w:val="24"/>
      <w:lang w:val="en-US"/>
    </w:rPr>
  </w:style>
  <w:style w:type="character" w:styleId="WW8Num9z2">
    <w:name w:val="WW8Num9z2"/>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Times New Roman" w:hAnsi="Times New Roman" w:cs="Times New Roman"/>
      <w:b w:val="false"/>
      <w:i w:val="false"/>
      <w:color w:val="000000"/>
      <w:sz w:val="22"/>
    </w:rPr>
  </w:style>
  <w:style w:type="character" w:styleId="WW8Num11z1">
    <w:name w:val="WW8Num11z1"/>
    <w:qFormat/>
    <w:rPr>
      <w:rFonts w:ascii="Times New Roman" w:hAnsi="Times New Roman" w:cs="Times New Roman"/>
      <w:b w:val="false"/>
      <w:i w:val="false"/>
      <w:sz w:val="22"/>
    </w:rPr>
  </w:style>
  <w:style w:type="character" w:styleId="WW8Num11z4">
    <w:name w:val="WW8Num11z4"/>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w:hAnsi="Times New Roman" w:cs="Times New Roman"/>
      <w:b w:val="false"/>
      <w:i w:val="false"/>
      <w:color w:val="000000"/>
      <w:sz w:val="22"/>
    </w:rPr>
  </w:style>
  <w:style w:type="character" w:styleId="WW8Num13z1">
    <w:name w:val="WW8Num13z1"/>
    <w:qFormat/>
    <w:rPr>
      <w:rFonts w:ascii="Times New Roman" w:hAnsi="Times New Roman" w:cs="Times New Roman"/>
      <w:b w:val="false"/>
      <w:i w:val="false"/>
      <w:sz w:val="22"/>
    </w:rPr>
  </w:style>
  <w:style w:type="character" w:styleId="WW8Num13z4">
    <w:name w:val="WW8Num13z4"/>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Times New Roman Bold;Times New Roman" w:hAnsi="Times New Roman Bold;Times New Roman" w:cs="Times New Roman"/>
      <w:b/>
      <w:i w:val="false"/>
      <w:color w:val="000000"/>
      <w:sz w:val="24"/>
      <w:lang w:val="en-US"/>
    </w:rPr>
  </w:style>
  <w:style w:type="character" w:styleId="WW8Num15z1">
    <w:name w:val="WW8Num15z1"/>
    <w:qFormat/>
    <w:rPr>
      <w:rFonts w:ascii="Times New Roman Bold;Times New Roman" w:hAnsi="Times New Roman Bold;Times New Roman" w:cs="Times New Roman"/>
      <w:b/>
      <w:i w:val="false"/>
      <w:sz w:val="24"/>
      <w:lang w:val="en-US"/>
    </w:rPr>
  </w:style>
  <w:style w:type="character" w:styleId="WW8Num15z2">
    <w:name w:val="WW8Num15z2"/>
    <w:qFormat/>
    <w:rPr>
      <w:rFonts w:ascii="Times New Roman" w:hAnsi="Times New Roman" w:cs="Times New Roman"/>
      <w:b w:val="false"/>
      <w:i w:val="false"/>
      <w:sz w:val="22"/>
    </w:rPr>
  </w:style>
  <w:style w:type="character" w:styleId="WW8Num15z4">
    <w:name w:val="WW8Num15z4"/>
    <w:qFormat/>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Char">
    <w:name w:val=" Char"/>
    <w:basedOn w:val="Absatz-Standardschriftart"/>
    <w:qFormat/>
    <w:rPr>
      <w:rFonts w:ascii="Arial Unicode MS" w:hAnsi="Arial Unicode MS" w:eastAsia="Arial Unicode MS" w:cs="Arial Unicode MS"/>
      <w:sz w:val="24"/>
      <w:szCs w:val="24"/>
      <w:lang w:val="en-US" w:bidi="ar-SA"/>
    </w:rPr>
  </w:style>
  <w:style w:type="character" w:styleId="NormalBlueChar">
    <w:name w:val="Normal + Blue Char"/>
    <w:basedOn w:val="Absatz-Standardschriftart"/>
    <w:qFormat/>
    <w:rPr>
      <w:color w:val="0000FF"/>
      <w:sz w:val="22"/>
      <w:szCs w:val="24"/>
      <w:lang w:val="en-US" w:bidi="ar-SA"/>
    </w:rPr>
  </w:style>
  <w:style w:type="character" w:styleId="BlueindentChar">
    <w:name w:val="Blue indent Char"/>
    <w:basedOn w:val="NormalBlueChar"/>
    <w:qFormat/>
    <w:rPr>
      <w:sz w:val="24"/>
    </w:rPr>
  </w:style>
  <w:style w:type="character" w:styleId="StyleBlueindentBoldChar">
    <w:name w:val="Style Blue indent + Bold Char"/>
    <w:basedOn w:val="BlueindentChar"/>
    <w:qFormat/>
    <w:rPr>
      <w:b/>
      <w:bCs/>
    </w:rPr>
  </w:style>
  <w:style w:type="character" w:styleId="DeltaViewInsertion">
    <w:name w:val="DeltaView Insertion"/>
    <w:qFormat/>
    <w:rPr>
      <w:b/>
      <w:bCs/>
      <w:color w:val="0000FF"/>
      <w:spacing w:val="0"/>
      <w:u w:val="double"/>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5"/>
      </w:numPr>
      <w:spacing w:before="240" w:after="240"/>
    </w:pPr>
    <w:rPr/>
  </w:style>
  <w:style w:type="paragraph" w:styleId="TableLevel1Numbered">
    <w:name w:val="Table Level 1 Numbered"/>
    <w:basedOn w:val="Normal"/>
    <w:qFormat/>
    <w:pPr>
      <w:numPr>
        <w:ilvl w:val="0"/>
        <w:numId w:val="12"/>
      </w:numPr>
    </w:pPr>
    <w:rPr>
      <w:bCs/>
    </w:rPr>
  </w:style>
  <w:style w:type="paragraph" w:styleId="Bullet1Table">
    <w:name w:val="Bullet 1 Table"/>
    <w:basedOn w:val="Normal"/>
    <w:qFormat/>
    <w:pPr>
      <w:numPr>
        <w:ilvl w:val="0"/>
        <w:numId w:val="13"/>
      </w:numPr>
    </w:pPr>
    <w:rPr/>
  </w:style>
  <w:style w:type="paragraph" w:styleId="Heading1Numbered">
    <w:name w:val="Heading 1 Numbered"/>
    <w:basedOn w:val="Normal"/>
    <w:qFormat/>
    <w:pPr>
      <w:numPr>
        <w:ilvl w:val="0"/>
        <w:numId w:val="7"/>
      </w:numPr>
      <w:tabs>
        <w:tab w:val="clear" w:pos="720"/>
        <w:tab w:val="left" w:pos="612" w:leader="none"/>
      </w:tabs>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7"/>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3"/>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12"/>
      </w:numPr>
    </w:pPr>
    <w:rPr>
      <w:bCs/>
    </w:rPr>
  </w:style>
  <w:style w:type="paragraph" w:styleId="TableLevel3Numbered">
    <w:name w:val="Table Level 3 Numbered"/>
    <w:basedOn w:val="Normal"/>
    <w:qFormat/>
    <w:pPr>
      <w:numPr>
        <w:ilvl w:val="0"/>
        <w:numId w:val="12"/>
      </w:numPr>
    </w:pPr>
    <w:rPr/>
  </w:style>
  <w:style w:type="paragraph" w:styleId="TableLevel4Numbered">
    <w:name w:val="Table Level 4 Numbered"/>
    <w:basedOn w:val="Normal"/>
    <w:qFormat/>
    <w:pPr>
      <w:numPr>
        <w:ilvl w:val="0"/>
        <w:numId w:val="12"/>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240" w:after="240"/>
    </w:pPr>
    <w:rPr/>
  </w:style>
  <w:style w:type="paragraph" w:styleId="BodyLevel2Numbered">
    <w:name w:val="Body Level 2 Numbered"/>
    <w:basedOn w:val="Normal"/>
    <w:qFormat/>
    <w:pPr>
      <w:numPr>
        <w:ilvl w:val="0"/>
        <w:numId w:val="10"/>
      </w:numPr>
      <w:spacing w:before="240" w:after="240"/>
    </w:pPr>
    <w:rPr/>
  </w:style>
  <w:style w:type="paragraph" w:styleId="BodyLevel3Numbered">
    <w:name w:val="Body Level 3 Numbered"/>
    <w:basedOn w:val="Normal"/>
    <w:qFormat/>
    <w:pPr>
      <w:numPr>
        <w:ilvl w:val="0"/>
        <w:numId w:val="10"/>
      </w:numPr>
      <w:spacing w:before="240" w:after="240"/>
    </w:pPr>
    <w:rPr/>
  </w:style>
  <w:style w:type="paragraph" w:styleId="BodyLevel4Numbered">
    <w:name w:val="Body Level 4 Numbered"/>
    <w:basedOn w:val="Normal"/>
    <w:qFormat/>
    <w:pPr>
      <w:numPr>
        <w:ilvl w:val="0"/>
        <w:numId w:val="10"/>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numPr>
        <w:ilvl w:val="0"/>
        <w:numId w:val="6"/>
      </w:numPr>
    </w:pPr>
    <w:rPr/>
  </w:style>
  <w:style w:type="paragraph" w:styleId="Level1Numbered">
    <w:name w:val="Level 1 Numbered"/>
    <w:basedOn w:val="Normal"/>
    <w:qFormat/>
    <w:pPr>
      <w:numPr>
        <w:ilvl w:val="0"/>
        <w:numId w:val="12"/>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BodyTextBulletL1">
    <w:name w:val="Body Text Bullet L1"/>
    <w:basedOn w:val="Normal"/>
    <w:qFormat/>
    <w:pPr>
      <w:numPr>
        <w:ilvl w:val="0"/>
        <w:numId w:val="11"/>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BodyTextBullet">
    <w:name w:val="Body Text Bullet"/>
    <w:basedOn w:val="Normal"/>
    <w:qFormat/>
    <w:pPr>
      <w:numPr>
        <w:ilvl w:val="0"/>
        <w:numId w:val="9"/>
      </w:numPr>
      <w:tabs>
        <w:tab w:val="clear" w:pos="720"/>
        <w:tab w:val="left" w:pos="1440" w:leader="none"/>
      </w:tabs>
      <w:ind w:hanging="360" w:start="1440" w:end="0"/>
    </w:pPr>
    <w:rPr/>
  </w:style>
  <w:style w:type="paragraph" w:styleId="FootnoteText">
    <w:name w:val="footnote text"/>
    <w:basedOn w:val="Normal"/>
    <w:pPr>
      <w:keepLines/>
      <w:spacing w:before="0" w:after="240"/>
      <w:jc w:val="both"/>
    </w:pPr>
    <w:rPr>
      <w:sz w:val="20"/>
      <w:szCs w:val="20"/>
    </w:rPr>
  </w:style>
  <w:style w:type="paragraph" w:styleId="StyleTableTextCentered">
    <w:name w:val="Style Table Text + Centered"/>
    <w:basedOn w:val="TableText"/>
    <w:qFormat/>
    <w:pPr>
      <w:jc w:val="center"/>
    </w:pPr>
    <w:rPr>
      <w:szCs w:val="20"/>
    </w:rPr>
  </w:style>
  <w:style w:type="paragraph" w:styleId="TableLevel5Numbered">
    <w:name w:val="Table Level 5 Numbered"/>
    <w:basedOn w:val="Normal"/>
    <w:qFormat/>
    <w:pPr>
      <w:tabs>
        <w:tab w:val="clear" w:pos="720"/>
        <w:tab w:val="left" w:pos="1296" w:leader="none"/>
      </w:tabs>
      <w:ind w:hanging="576" w:start="1296" w:end="0"/>
    </w:pPr>
    <w:rPr/>
  </w:style>
  <w:style w:type="paragraph" w:styleId="TableLevel6Numbered">
    <w:name w:val="Table Level 6 Numbered"/>
    <w:basedOn w:val="Normal"/>
    <w:qFormat/>
    <w:pPr>
      <w:tabs>
        <w:tab w:val="clear" w:pos="720"/>
        <w:tab w:val="left" w:pos="1296" w:leader="none"/>
      </w:tabs>
      <w:ind w:hanging="576" w:start="1296" w:end="0"/>
    </w:pPr>
    <w:rPr/>
  </w:style>
  <w:style w:type="paragraph" w:styleId="TableLevel7Numbered">
    <w:name w:val="Table Level 7 Numbered"/>
    <w:basedOn w:val="Normal"/>
    <w:qFormat/>
    <w:pPr>
      <w:tabs>
        <w:tab w:val="clear" w:pos="720"/>
        <w:tab w:val="left" w:pos="1728" w:leader="none"/>
      </w:tabs>
      <w:ind w:hanging="432" w:start="1728" w:end="0"/>
    </w:pPr>
    <w:rPr/>
  </w:style>
  <w:style w:type="paragraph" w:styleId="TableLevel8Numbered">
    <w:name w:val="Table Level 8 Numbered"/>
    <w:basedOn w:val="Normal"/>
    <w:qFormat/>
    <w:pPr>
      <w:tabs>
        <w:tab w:val="clear" w:pos="720"/>
        <w:tab w:val="left" w:pos="1728" w:leader="none"/>
      </w:tabs>
      <w:ind w:hanging="432" w:start="1728" w:end="0"/>
    </w:pPr>
    <w:rPr/>
  </w:style>
  <w:style w:type="paragraph" w:styleId="Textkrper2">
    <w:name w:val="Textkörper 2"/>
    <w:basedOn w:val="Normal"/>
    <w:qFormat/>
    <w:pPr>
      <w:spacing w:lineRule="auto" w:line="480"/>
    </w:pPr>
    <w:rPr/>
  </w:style>
  <w:style w:type="paragraph" w:styleId="RPF-BodyText">
    <w:name w:val="RPF-BodyText"/>
    <w:qFormat/>
    <w:pPr>
      <w:widowControl/>
      <w:bidi w:val="0"/>
      <w:spacing w:before="120" w:after="120"/>
      <w:ind w:hanging="0" w:start="720" w:end="0"/>
      <w:jc w:val="both"/>
    </w:pPr>
    <w:rPr>
      <w:rFonts w:ascii="Arial" w:hAnsi="Arial" w:eastAsia="SimSun;宋体" w:cs="Arial"/>
      <w:bCs/>
      <w:color w:val="auto"/>
      <w:sz w:val="22"/>
      <w:szCs w:val="20"/>
      <w:lang w:val="en-US" w:bidi="he-IL" w:eastAsia="zh-CN"/>
    </w:rPr>
  </w:style>
  <w:style w:type="paragraph" w:styleId="StandardWeb">
    <w:name w:val="Standard (Web)"/>
    <w:basedOn w:val="Normal"/>
    <w:qFormat/>
    <w:pPr>
      <w:spacing w:before="280" w:after="280"/>
    </w:pPr>
    <w:rPr>
      <w:rFonts w:ascii="Arial Unicode MS" w:hAnsi="Arial Unicode MS" w:eastAsia="Arial Unicode MS" w:cs="Arial Unicode MS"/>
      <w:sz w:val="24"/>
    </w:rPr>
  </w:style>
  <w:style w:type="paragraph" w:styleId="RPF-BulletList">
    <w:name w:val="RPF-BulletList"/>
    <w:qFormat/>
    <w:pPr>
      <w:widowControl/>
      <w:bidi w:val="0"/>
      <w:spacing w:before="60" w:after="60"/>
      <w:ind w:hanging="504" w:start="720" w:end="0"/>
      <w:jc w:val="both"/>
    </w:pPr>
    <w:rPr>
      <w:rFonts w:ascii="Arial" w:hAnsi="Arial" w:eastAsia="SimSun;宋体" w:cs="Arial"/>
      <w:color w:val="auto"/>
      <w:sz w:val="22"/>
      <w:szCs w:val="22"/>
      <w:lang w:val="en-US" w:bidi="he-IL" w:eastAsia="zh-CN"/>
    </w:rPr>
  </w:style>
  <w:style w:type="paragraph" w:styleId="NormalBlue">
    <w:name w:val="Normal + Blue"/>
    <w:basedOn w:val="Normal"/>
    <w:qFormat/>
    <w:pPr>
      <w:spacing w:before="0" w:after="0"/>
      <w:ind w:hanging="0" w:start="540" w:end="0"/>
      <w:jc w:val="both"/>
    </w:pPr>
    <w:rPr>
      <w:color w:val="0000FF"/>
    </w:rPr>
  </w:style>
  <w:style w:type="paragraph" w:styleId="Blueindent">
    <w:name w:val="Blue indent"/>
    <w:basedOn w:val="NormalBlue"/>
    <w:qFormat/>
    <w:pPr>
      <w:ind w:hanging="0" w:start="851" w:end="0"/>
      <w:jc w:val="start"/>
    </w:pPr>
    <w:rPr>
      <w:sz w:val="24"/>
    </w:rPr>
  </w:style>
  <w:style w:type="paragraph" w:styleId="StyleBlueindentBold">
    <w:name w:val="Style Blue indent + Bold"/>
    <w:basedOn w:val="Blueindent"/>
    <w:qFormat/>
    <w:pPr/>
    <w:rPr>
      <w:b/>
      <w:bCs/>
    </w:rPr>
  </w:style>
  <w:style w:type="paragraph" w:styleId="Blueindent3">
    <w:name w:val="Blue indent 3"/>
    <w:basedOn w:val="Heading3"/>
    <w:qFormat/>
    <w:pPr>
      <w:numPr>
        <w:ilvl w:val="0"/>
        <w:numId w:val="0"/>
      </w:numPr>
      <w:ind w:hanging="0" w:start="851" w:end="0"/>
    </w:pPr>
    <w:rPr>
      <w:b/>
      <w:color w:val="FF0000"/>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Listennummer2">
    <w:name w:val="Listennummer 2"/>
    <w:basedOn w:val="Normal"/>
    <w:qFormat/>
    <w:pPr>
      <w:numPr>
        <w:ilvl w:val="0"/>
        <w:numId w:val="2"/>
      </w:numPr>
    </w:pPr>
    <w:rPr/>
  </w:style>
  <w:style w:type="paragraph" w:styleId="StyleHeading1Black">
    <w:name w:val="Style Heading 1 + Black"/>
    <w:basedOn w:val="Heading1"/>
    <w:qFormat/>
    <w:pPr>
      <w:keepNext w:val="true"/>
      <w:numPr>
        <w:ilvl w:val="0"/>
        <w:numId w:val="14"/>
      </w:numPr>
      <w:tabs>
        <w:tab w:val="clear" w:pos="851"/>
        <w:tab w:val="left" w:pos="0" w:leader="none"/>
      </w:tabs>
      <w:autoSpaceDE w:val="false"/>
      <w:spacing w:before="240" w:after="60"/>
      <w:ind w:hanging="567" w:start="567" w:end="0"/>
    </w:pPr>
    <w:rPr>
      <w:rFonts w:ascii="Arial" w:hAnsi="Arial" w:cs="Arial"/>
      <w:caps w:val="false"/>
      <w:smallCaps w:val="false"/>
      <w:color w:val="000000"/>
      <w:sz w:val="28"/>
      <w:szCs w:val="28"/>
      <w:lang w:val="en-GB"/>
    </w:rPr>
  </w:style>
  <w:style w:type="paragraph" w:styleId="Heading5Numbered">
    <w:name w:val="Heading 5 Numbered"/>
    <w:basedOn w:val="Normal"/>
    <w:qFormat/>
    <w:pPr>
      <w:tabs>
        <w:tab w:val="left" w:pos="720" w:leader="none"/>
      </w:tabs>
      <w:ind w:hanging="720" w:start="720" w:end="0"/>
    </w:pPr>
    <w:rPr>
      <w:b/>
    </w:rPr>
  </w:style>
  <w:style w:type="paragraph" w:styleId="Head1-NoTOC">
    <w:name w:val="Head 1 # - No TOC"/>
    <w:basedOn w:val="Heading1Numbered"/>
    <w:next w:val="BodyText"/>
    <w:qFormat/>
    <w:pPr>
      <w:keepNext w:val="true"/>
      <w:keepLines/>
      <w:numPr>
        <w:ilvl w:val="0"/>
        <w:numId w:val="8"/>
      </w:numPr>
      <w:tabs>
        <w:tab w:val="clear" w:pos="612"/>
      </w:tabs>
      <w:spacing w:before="480" w:after="240"/>
    </w:pPr>
    <w:rPr/>
  </w:style>
  <w:style w:type="paragraph" w:styleId="Head2-NoTOC">
    <w:name w:val="Head 2 # - No TOC"/>
    <w:basedOn w:val="Heading2Numbered"/>
    <w:next w:val="BodyText"/>
    <w:qFormat/>
    <w:pPr>
      <w:keepNext w:val="true"/>
      <w:keepLines/>
      <w:numPr>
        <w:ilvl w:val="0"/>
        <w:numId w:val="8"/>
      </w:numPr>
    </w:pPr>
    <w:rPr>
      <w:sz w:val="24"/>
    </w:rPr>
  </w:style>
  <w:style w:type="paragraph" w:styleId="Head3-NoTOC">
    <w:name w:val="Head 3 # - No TOC"/>
    <w:basedOn w:val="Heading3Numbered"/>
    <w:next w:val="BodyText"/>
    <w:qFormat/>
    <w:pPr>
      <w:keepNext w:val="true"/>
      <w:keepLines/>
      <w:numPr>
        <w:ilvl w:val="0"/>
        <w:numId w:val="8"/>
      </w:numPr>
    </w:pPr>
    <w:rPr/>
  </w:style>
  <w:style w:type="paragraph" w:styleId="Head4-NoTOC">
    <w:name w:val="Head 4 # - No TOC"/>
    <w:basedOn w:val="Heading4Numbered"/>
    <w:next w:val="BodyText"/>
    <w:qFormat/>
    <w:pPr>
      <w:keepNext w:val="true"/>
      <w:keepLines/>
      <w:numPr>
        <w:ilvl w:val="0"/>
        <w:numId w:val="8"/>
      </w:numPr>
    </w:pPr>
    <w:rPr/>
  </w:style>
  <w:style w:type="paragraph" w:styleId="Char1CharCharCharCharChar">
    <w:name w:val="Char1 Char Char Char Char Char"/>
    <w:basedOn w:val="Normal"/>
    <w:qFormat/>
    <w:pPr>
      <w:spacing w:lineRule="exact" w:line="240" w:before="0" w:after="160"/>
      <w:jc w:val="both"/>
    </w:pPr>
    <w:rPr>
      <w:rFonts w:ascii="Arial" w:hAnsi="Arial" w:cs="Arial"/>
      <w:sz w:val="20"/>
      <w:szCs w:val="20"/>
    </w:rPr>
  </w:style>
  <w:style w:type="paragraph" w:styleId="Formatvorlage1">
    <w:name w:val="Formatvorlage1"/>
    <w:basedOn w:val="Heading1"/>
    <w:next w:val="Char1CharCharCharCharChar"/>
    <w:qFormat/>
    <w:pPr>
      <w:numPr>
        <w:ilvl w:val="0"/>
        <w:numId w:val="14"/>
      </w:numPr>
      <w:tabs>
        <w:tab w:val="left" w:pos="567" w:leader="none"/>
        <w:tab w:val="left" w:pos="851" w:leader="none"/>
      </w:tabs>
      <w:ind w:hanging="567" w:start="567"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1.wmf"/><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2007-01-29T20:05:00Z</dcterms:created>
  <dc:creator>Victoria A. Rittinger</dc:creator>
  <dc:description/>
  <cp:keywords>F&amp;A CF</cp:keywords>
  <dc:language>en-US</dc:language>
  <cp:lastModifiedBy>Wenger Plattner</cp:lastModifiedBy>
  <cp:lastPrinted>2005-10-21T08:43:00Z</cp:lastPrinted>
  <dcterms:modified xsi:type="dcterms:W3CDTF">2007-01-29T20:05:00Z</dcterms:modified>
  <cp:revision>2</cp:revision>
  <dc:subject>E2.4 - F&amp;A Cross Functional</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15800.0000000000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11.1</vt:lpwstr>
  </property>
</Properties>
</file>