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el"/>
        <w:spacing w:before="240" w:after="240"/>
        <w:rPr>
          <w:rFonts w:ascii="Arial" w:hAnsi="Arial" w:cs="Arial"/>
        </w:rPr>
      </w:pPr>
      <w:r>
        <w:rPr>
          <w:rFonts w:cs="Arial" w:ascii="Arial" w:hAnsi="Arial"/>
        </w:rPr>
        <w:t>GlobalPharma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t>Exhibit 2.2</w:t>
      </w:r>
    </w:p>
    <w:p>
      <w:pPr>
        <w:pStyle w:val="Titel"/>
        <w:rPr>
          <w:rFonts w:ascii="Arial" w:hAnsi="Arial" w:cs="Arial"/>
        </w:rPr>
      </w:pPr>
      <w:r>
        <w:rPr>
          <w:rFonts w:cs="Arial" w:ascii="Arial" w:hAnsi="Arial"/>
        </w:rPr>
        <w:t>Statement of work</w:t>
      </w:r>
    </w:p>
    <w:p>
      <w:pPr>
        <w:pStyle w:val="Titel"/>
        <w:rPr>
          <w:rFonts w:ascii="Arial" w:hAnsi="Arial" w:cs="Arial"/>
        </w:rPr>
      </w:pPr>
      <w:r>
        <w:rPr>
          <w:rFonts w:cs="Arial" w:ascii="Arial" w:hAnsi="Arial"/>
        </w:rPr>
        <w:t>General Accounting (GA)</w:t>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Norma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p>
      <w:pPr>
        <w:pStyle w:val="Titel"/>
        <w:rPr>
          <w:rFonts w:ascii="Arial" w:hAnsi="Arial" w:cs="Arial"/>
        </w:rPr>
      </w:pPr>
      <w:r>
        <w:rPr>
          <w:rFonts w:cs="Arial" w:ascii="Arial" w:hAnsi="Arial"/>
        </w:rPr>
      </w:r>
    </w:p>
    <w:tbl>
      <w:tblPr>
        <w:tblW w:w="10260" w:type="dxa"/>
        <w:jc w:val="start"/>
        <w:tblInd w:w="288" w:type="dxa"/>
        <w:tblLayout w:type="fixed"/>
        <w:tblCellMar>
          <w:top w:w="0" w:type="dxa"/>
          <w:start w:w="108" w:type="dxa"/>
          <w:bottom w:w="0" w:type="dxa"/>
          <w:end w:w="108" w:type="dxa"/>
        </w:tblCellMar>
      </w:tblPr>
      <w:tblGrid>
        <w:gridCol w:w="10260"/>
      </w:tblGrid>
      <w:tr>
        <w:trPr/>
        <w:tc>
          <w:tcPr>
            <w:tcW w:w="1026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spacing w:before="120" w:after="120"/>
              <w:ind w:start="72" w:end="0"/>
              <w:jc w:val="both"/>
              <w:rPr/>
            </w:pPr>
            <w:r>
              <w:rPr/>
            </w:r>
          </w:p>
          <w:p>
            <w:pPr>
              <w:pStyle w:val="Normal"/>
              <w:ind w:start="72" w:end="0"/>
              <w:jc w:val="both"/>
              <w:rPr/>
            </w:pPr>
            <w:r>
              <w:rPr>
                <w:rFonts w:cs="Arial" w:ascii="Arial" w:hAnsi="Arial"/>
                <w:sz w:val="24"/>
              </w:rPr>
              <w:t>This document contains confidential and proprietary information of GlobalPharma AG. It is furnished for the performance of The Agreements only. Except with the express prior written permission of GlobalPharma AG, this document and the information contained herein may not be published, disclosed, or used for any other purpose.</w:t>
            </w:r>
          </w:p>
          <w:p>
            <w:pPr>
              <w:pStyle w:val="Normal"/>
              <w:spacing w:before="120" w:after="120"/>
              <w:jc w:val="both"/>
              <w:rPr>
                <w:rFonts w:ascii="Arial" w:hAnsi="Arial" w:cs="Arial"/>
                <w:sz w:val="24"/>
              </w:rPr>
            </w:pPr>
            <w:r>
              <w:rPr>
                <w:rFonts w:cs="Arial" w:ascii="Arial" w:hAnsi="Arial"/>
                <w:sz w:val="24"/>
              </w:rPr>
            </w:r>
          </w:p>
        </w:tc>
      </w:tr>
    </w:tbl>
    <w:p>
      <w:pPr>
        <w:pStyle w:val="Normal"/>
        <w:jc w:val="both"/>
        <w:rPr>
          <w:lang w:val="en-GB"/>
        </w:rPr>
      </w:pPr>
      <w:r>
        <w:rPr>
          <w:lang w:val="en-GB"/>
        </w:rPr>
      </w:r>
    </w:p>
    <w:p>
      <w:pPr>
        <w:pStyle w:val="Titel"/>
        <w:rPr>
          <w:sz w:val="22"/>
          <w:szCs w:val="20"/>
        </w:rPr>
      </w:pPr>
      <w:r>
        <w:rPr>
          <w:sz w:val="22"/>
          <w:szCs w:val="20"/>
        </w:rPr>
        <w:t>Table of Contents</w:t>
      </w:r>
    </w:p>
    <w:sdt>
      <w:sdtPr>
        <w:docPartObj>
          <w:docPartGallery w:val="Table of Contents"/>
          <w:docPartUnique w:val="true"/>
        </w:docPartObj>
      </w:sdtPr>
      <w:sdtContent>
        <w:p>
          <w:pPr>
            <w:pStyle w:val="TOC1"/>
            <w:tabs>
              <w:tab w:val="clear" w:pos="720"/>
              <w:tab w:val="left" w:pos="440" w:leader="none"/>
              <w:tab w:val="right" w:pos="10506" w:leader="dot"/>
            </w:tabs>
            <w:rPr>
              <w:b w:val="false"/>
              <w:bCs w:val="false"/>
              <w:caps w:val="false"/>
              <w:smallCaps w:val="false"/>
              <w:sz w:val="24"/>
              <w:szCs w:val="24"/>
              <w:lang w:val="de-CH" w:eastAsia="en-US"/>
            </w:rPr>
          </w:pPr>
          <w:r>
            <w:fldChar w:fldCharType="begin"/>
          </w:r>
          <w:r>
            <w:rPr>
              <w:rStyle w:val="IndexLink"/>
              <w:smallCaps/>
              <w:lang w:val="en-US" w:eastAsia="en-US"/>
            </w:rPr>
            <w:instrText xml:space="preserve"> TOC \h \z \t "Formatvorlage1;1" </w:instrText>
          </w:r>
          <w:r>
            <w:rPr>
              <w:rStyle w:val="IndexLink"/>
              <w:smallCaps/>
              <w:lang w:val="en-US" w:eastAsia="en-US"/>
            </w:rPr>
            <w:fldChar w:fldCharType="separate"/>
          </w:r>
          <w:hyperlink w:anchor="__RefHeading___Toc157771273">
            <w:r>
              <w:rPr>
                <w:rStyle w:val="IndexLink"/>
                <w:smallCaps/>
                <w:lang w:val="en-US" w:eastAsia="en-US"/>
              </w:rPr>
              <w:t>1.</w:t>
            </w:r>
            <w:r>
              <w:rPr>
                <w:rStyle w:val="IndexLink"/>
                <w:b w:val="false"/>
                <w:bCs w:val="false"/>
                <w:caps w:val="false"/>
                <w:smallCaps w:val="false"/>
                <w:sz w:val="24"/>
                <w:szCs w:val="24"/>
                <w:lang w:val="de-CH" w:eastAsia="en-US"/>
              </w:rPr>
              <w:tab/>
            </w:r>
            <w:r>
              <w:rPr>
                <w:rStyle w:val="IndexLink"/>
                <w:smallCaps/>
                <w:lang w:val="en-US" w:eastAsia="en-US"/>
              </w:rPr>
              <w:t>Introduction</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274">
            <w:r>
              <w:rPr>
                <w:rStyle w:val="IndexLink"/>
                <w:lang w:val="en-US" w:eastAsia="en-US"/>
              </w:rPr>
              <w:t>2.</w:t>
            </w:r>
            <w:r>
              <w:rPr>
                <w:rStyle w:val="IndexLink"/>
                <w:b w:val="false"/>
                <w:bCs w:val="false"/>
                <w:caps w:val="false"/>
                <w:smallCaps w:val="false"/>
                <w:sz w:val="24"/>
                <w:szCs w:val="24"/>
                <w:lang w:val="de-CH" w:eastAsia="en-US"/>
              </w:rPr>
              <w:tab/>
            </w:r>
            <w:r>
              <w:rPr>
                <w:rStyle w:val="IndexLink"/>
                <w:lang w:val="en-US" w:eastAsia="en-US"/>
              </w:rPr>
              <w:t>MOnthly Processing</w:t>
              <w:tab/>
              <w:t>3</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275">
            <w:r>
              <w:rPr>
                <w:rStyle w:val="IndexLink"/>
                <w:lang w:val="en-US" w:eastAsia="en-US"/>
              </w:rPr>
              <w:t>3.</w:t>
            </w:r>
            <w:r>
              <w:rPr>
                <w:rStyle w:val="IndexLink"/>
                <w:b w:val="false"/>
                <w:bCs w:val="false"/>
                <w:caps w:val="false"/>
                <w:smallCaps w:val="false"/>
                <w:sz w:val="24"/>
                <w:szCs w:val="24"/>
                <w:lang w:val="de-CH" w:eastAsia="en-US"/>
              </w:rPr>
              <w:tab/>
            </w:r>
            <w:r>
              <w:rPr>
                <w:rStyle w:val="IndexLink"/>
                <w:lang w:val="en-US" w:eastAsia="en-US"/>
              </w:rPr>
              <w:t>Period Closing</w:t>
              <w:tab/>
              <w:t>7</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276">
            <w:r>
              <w:rPr>
                <w:rStyle w:val="IndexLink"/>
                <w:lang w:val="en-US" w:eastAsia="en-US"/>
              </w:rPr>
              <w:t>4.</w:t>
            </w:r>
            <w:r>
              <w:rPr>
                <w:rStyle w:val="IndexLink"/>
                <w:b w:val="false"/>
                <w:bCs w:val="false"/>
                <w:caps w:val="false"/>
                <w:smallCaps w:val="false"/>
                <w:sz w:val="24"/>
                <w:szCs w:val="24"/>
                <w:lang w:val="de-CH" w:eastAsia="en-US"/>
              </w:rPr>
              <w:tab/>
            </w:r>
            <w:r>
              <w:rPr>
                <w:rStyle w:val="IndexLink"/>
                <w:lang w:val="en-US" w:eastAsia="en-US"/>
              </w:rPr>
              <w:t>account Reconciliation</w:t>
              <w:tab/>
              <w:t>10</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277">
            <w:r>
              <w:rPr>
                <w:rStyle w:val="IndexLink"/>
                <w:lang w:val="en-US" w:eastAsia="en-US"/>
              </w:rPr>
              <w:t>5.</w:t>
            </w:r>
            <w:r>
              <w:rPr>
                <w:rStyle w:val="IndexLink"/>
                <w:b w:val="false"/>
                <w:bCs w:val="false"/>
                <w:caps w:val="false"/>
                <w:smallCaps w:val="false"/>
                <w:sz w:val="24"/>
                <w:szCs w:val="24"/>
                <w:lang w:val="de-CH" w:eastAsia="en-US"/>
              </w:rPr>
              <w:tab/>
            </w:r>
            <w:r>
              <w:rPr>
                <w:rStyle w:val="IndexLink"/>
                <w:lang w:val="en-US" w:eastAsia="en-US"/>
              </w:rPr>
              <w:t>Special Processes</w:t>
              <w:tab/>
              <w:t>12</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278">
            <w:r>
              <w:rPr>
                <w:rStyle w:val="IndexLink"/>
                <w:lang w:val="en-US" w:eastAsia="en-US"/>
              </w:rPr>
              <w:t>6.</w:t>
            </w:r>
            <w:r>
              <w:rPr>
                <w:rStyle w:val="IndexLink"/>
                <w:b w:val="false"/>
                <w:bCs w:val="false"/>
                <w:caps w:val="false"/>
                <w:smallCaps w:val="false"/>
                <w:sz w:val="24"/>
                <w:szCs w:val="24"/>
                <w:lang w:val="de-CH" w:eastAsia="en-US"/>
              </w:rPr>
              <w:tab/>
            </w:r>
            <w:r>
              <w:rPr>
                <w:rStyle w:val="IndexLink"/>
                <w:lang w:val="en-US" w:eastAsia="en-US"/>
              </w:rPr>
              <w:t>rEPORTING and RECORDS RETENTION</w:t>
              <w:tab/>
              <w:t>14</w:t>
            </w:r>
          </w:hyperlink>
        </w:p>
        <w:p>
          <w:pPr>
            <w:pStyle w:val="TOC1"/>
            <w:tabs>
              <w:tab w:val="clear" w:pos="720"/>
              <w:tab w:val="left" w:pos="440" w:leader="none"/>
              <w:tab w:val="right" w:pos="10506" w:leader="dot"/>
            </w:tabs>
            <w:rPr>
              <w:b w:val="false"/>
              <w:bCs w:val="false"/>
              <w:caps w:val="false"/>
              <w:smallCaps w:val="false"/>
              <w:sz w:val="24"/>
              <w:szCs w:val="24"/>
              <w:lang w:val="de-CH" w:eastAsia="en-US"/>
            </w:rPr>
          </w:pPr>
          <w:hyperlink w:anchor="__RefHeading___Toc157771279">
            <w:r>
              <w:rPr>
                <w:rStyle w:val="IndexLink"/>
                <w:lang w:val="en-US" w:eastAsia="en-US"/>
              </w:rPr>
              <w:t>7.</w:t>
            </w:r>
            <w:r>
              <w:rPr>
                <w:rStyle w:val="IndexLink"/>
                <w:b w:val="false"/>
                <w:bCs w:val="false"/>
                <w:caps w:val="false"/>
                <w:smallCaps w:val="false"/>
                <w:sz w:val="24"/>
                <w:szCs w:val="24"/>
                <w:lang w:val="de-CH" w:eastAsia="en-US"/>
              </w:rPr>
              <w:tab/>
            </w:r>
            <w:r>
              <w:rPr>
                <w:rStyle w:val="IndexLink"/>
                <w:lang w:val="en-US" w:eastAsia="en-US"/>
              </w:rPr>
              <w:t>Third Party Material</w:t>
              <w:tab/>
              <w:t>15</w:t>
            </w:r>
          </w:hyperlink>
        </w:p>
        <w:p>
          <w:pPr>
            <w:pStyle w:val="TOC1"/>
            <w:tabs>
              <w:tab w:val="clear" w:pos="720"/>
              <w:tab w:val="left" w:pos="440" w:leader="none"/>
              <w:tab w:val="right" w:pos="10506" w:leader="dot"/>
            </w:tabs>
            <w:rPr>
              <w:sz w:val="24"/>
              <w:szCs w:val="24"/>
              <w:lang w:val="de-CH" w:eastAsia="en-US"/>
            </w:rPr>
          </w:pPr>
          <w:hyperlink w:anchor="__RefHeading___Toc157771280">
            <w:r>
              <w:rPr>
                <w:rStyle w:val="IndexLink"/>
                <w:b w:val="false"/>
                <w:bCs w:val="false"/>
                <w:caps w:val="false"/>
                <w:smallCaps w:val="false"/>
                <w:lang w:val="en-US" w:eastAsia="en-US"/>
              </w:rPr>
              <w:t>8.</w:t>
            </w:r>
            <w:r>
              <w:rPr>
                <w:rStyle w:val="IndexLink"/>
                <w:b w:val="false"/>
                <w:bCs w:val="false"/>
                <w:caps w:val="false"/>
                <w:smallCaps w:val="false"/>
                <w:sz w:val="24"/>
                <w:szCs w:val="24"/>
                <w:lang w:val="de-CH" w:eastAsia="en-US"/>
              </w:rPr>
              <w:tab/>
            </w:r>
            <w:r>
              <w:rPr>
                <w:rStyle w:val="IndexLink"/>
                <w:b w:val="false"/>
                <w:bCs w:val="false"/>
                <w:caps w:val="false"/>
                <w:smallCaps w:val="false"/>
                <w:lang w:val="en-US" w:eastAsia="en-US"/>
              </w:rPr>
              <w:t>IP Rights Listing</w:t>
              <w:tab/>
              <w:t>15</w:t>
            </w:r>
          </w:hyperlink>
          <w:r>
            <w:rPr>
              <w:rStyle w:val="IndexLink"/>
              <w:smallCaps w:val="false"/>
              <w:caps w:val="false"/>
              <w:b w:val="false"/>
              <w:bCs w:val="false"/>
              <w:lang w:val="en-US" w:eastAsia="en-US"/>
            </w:rPr>
            <w:fldChar w:fldCharType="end"/>
          </w:r>
        </w:p>
      </w:sdtContent>
    </w:sdt>
    <w:p>
      <w:pPr>
        <w:pStyle w:val="Normal"/>
        <w:jc w:val="both"/>
        <w:rPr>
          <w:b/>
          <w:bCs/>
          <w:caps/>
          <w:sz w:val="20"/>
          <w:szCs w:val="20"/>
          <w:lang w:val="de-CH" w:eastAsia="en-US"/>
        </w:rPr>
      </w:pPr>
      <w:r>
        <w:rPr>
          <w:b/>
          <w:bCs/>
          <w:caps/>
          <w:sz w:val="20"/>
          <w:szCs w:val="20"/>
          <w:lang w:val="de-CH" w:eastAsia="en-US"/>
        </w:rPr>
      </w:r>
      <w:r>
        <w:br w:type="page"/>
      </w:r>
    </w:p>
    <w:p>
      <w:pPr>
        <w:pStyle w:val="Formatvorlage1"/>
        <w:numPr>
          <w:ilvl w:val="0"/>
          <w:numId w:val="17"/>
        </w:numPr>
        <w:rPr/>
      </w:pPr>
      <w:bookmarkStart w:id="0" w:name="__RefHeading___Toc157771273"/>
      <w:bookmarkEnd w:id="0"/>
      <w:r>
        <w:rPr/>
        <w:t>Introduction</w:t>
      </w:r>
    </w:p>
    <w:p>
      <w:pPr>
        <w:pStyle w:val="Heading2"/>
        <w:numPr>
          <w:ilvl w:val="1"/>
          <w:numId w:val="17"/>
        </w:numPr>
        <w:ind w:hanging="0" w:start="0"/>
        <w:rPr/>
      </w:pPr>
      <w:r>
        <w:rPr/>
        <w:t>The Service Provider’s responsibilities include:</w:t>
      </w:r>
    </w:p>
    <w:p>
      <w:pPr>
        <w:pStyle w:val="Heading2"/>
        <w:numPr>
          <w:ilvl w:val="1"/>
          <w:numId w:val="17"/>
        </w:numPr>
        <w:ind w:hanging="0" w:start="0"/>
        <w:rPr/>
      </w:pPr>
      <w:r>
        <w:rPr/>
        <w:t>Perform all services, tasks, obligations and responsibilities described in this Exhibit at or above applicable Service Levels and in accordance with the terms of the Agreement as of the Commencement Date unless otherwise specified.</w:t>
      </w:r>
    </w:p>
    <w:p>
      <w:pPr>
        <w:pStyle w:val="Heading2"/>
        <w:numPr>
          <w:ilvl w:val="1"/>
          <w:numId w:val="17"/>
        </w:numPr>
        <w:ind w:hanging="0" w:start="0"/>
        <w:rPr/>
      </w:pPr>
      <w:r>
        <w:rPr/>
        <w:t>As part of the Services and the Base Charges, and at no additional charge, fee, cost or expense to GlobalPharma, the Service Provider shall provide all of the services described in this Exhibit including all in-scope activities performed by Affected Employees.</w:t>
      </w:r>
    </w:p>
    <w:p>
      <w:pPr>
        <w:pStyle w:val="Formatvorlage1"/>
        <w:numPr>
          <w:ilvl w:val="0"/>
          <w:numId w:val="17"/>
        </w:numPr>
        <w:rPr/>
      </w:pPr>
      <w:bookmarkStart w:id="1" w:name="__RefHeading___Toc157771274"/>
      <w:bookmarkEnd w:id="1"/>
      <w:r>
        <w:rPr/>
        <w:t>MOnthly Processing</w:t>
      </w:r>
    </w:p>
    <w:p>
      <w:pPr>
        <w:pStyle w:val="Heading2"/>
        <w:numPr>
          <w:ilvl w:val="1"/>
          <w:numId w:val="17"/>
        </w:numPr>
        <w:ind w:hanging="0" w:start="0"/>
        <w:rPr/>
      </w:pPr>
      <w:r>
        <w:rPr/>
        <w:t xml:space="preserve">The Service Provider's responsibilities include but are not limited to:  </w:t>
      </w:r>
    </w:p>
    <w:p>
      <w:pPr>
        <w:pStyle w:val="Heading2"/>
        <w:numPr>
          <w:ilvl w:val="1"/>
          <w:numId w:val="17"/>
        </w:numPr>
        <w:ind w:hanging="0" w:start="0"/>
        <w:rPr/>
      </w:pPr>
      <w:r>
        <w:rPr/>
        <w:t>Standard and ad hoc Journal entries</w:t>
      </w:r>
    </w:p>
    <w:p>
      <w:pPr>
        <w:pStyle w:val="Heading3"/>
        <w:numPr>
          <w:ilvl w:val="2"/>
          <w:numId w:val="17"/>
        </w:numPr>
        <w:ind w:hanging="0" w:start="0"/>
        <w:rPr/>
      </w:pPr>
      <w:r>
        <w:rPr/>
        <w:t>Prepare any standard and ad hoc Journals</w:t>
      </w:r>
    </w:p>
    <w:p>
      <w:pPr>
        <w:pStyle w:val="Heading4"/>
        <w:numPr>
          <w:ilvl w:val="3"/>
          <w:numId w:val="17"/>
        </w:numPr>
        <w:ind w:hanging="0" w:start="0"/>
        <w:rPr/>
      </w:pPr>
      <w:r>
        <w:rPr/>
        <w:t>US: Out of scope.</w:t>
      </w:r>
    </w:p>
    <w:p>
      <w:pPr>
        <w:pStyle w:val="Heading3"/>
        <w:numPr>
          <w:ilvl w:val="2"/>
          <w:numId w:val="17"/>
        </w:numPr>
        <w:ind w:hanging="0" w:start="0"/>
        <w:rPr/>
      </w:pPr>
      <w:r>
        <w:rPr/>
        <w:t>Perform review of prepared journal entries by the ServicePro supervisory manager before the same is sent to GlobalPharma for approval in order to ensure the segregation of duties</w:t>
      </w:r>
    </w:p>
    <w:p>
      <w:pPr>
        <w:pStyle w:val="Heading4"/>
        <w:numPr>
          <w:ilvl w:val="3"/>
          <w:numId w:val="17"/>
        </w:numPr>
        <w:ind w:hanging="0" w:start="0"/>
        <w:rPr/>
      </w:pPr>
      <w:r>
        <w:rPr/>
        <w:t>US: Out of scope.</w:t>
      </w:r>
    </w:p>
    <w:p>
      <w:pPr>
        <w:pStyle w:val="TableText"/>
        <w:rPr/>
      </w:pPr>
      <w:r>
        <w:rPr/>
      </w:r>
    </w:p>
    <w:p>
      <w:pPr>
        <w:pStyle w:val="Heading3"/>
        <w:numPr>
          <w:ilvl w:val="2"/>
          <w:numId w:val="17"/>
        </w:numPr>
        <w:ind w:hanging="0" w:start="0"/>
        <w:rPr/>
      </w:pPr>
      <w:r>
        <w:rPr/>
        <w:t>Obtain approval of prepared and recorded Journal Entries (JE’s) not previously approved in accordance with GlobalPharma approval hierarchy and limit/exception policies.</w:t>
      </w:r>
    </w:p>
    <w:p>
      <w:pPr>
        <w:pStyle w:val="Heading4"/>
        <w:numPr>
          <w:ilvl w:val="3"/>
          <w:numId w:val="17"/>
        </w:numPr>
        <w:ind w:hanging="0" w:start="0"/>
        <w:rPr/>
      </w:pPr>
      <w:r>
        <w:rPr/>
        <w:t>US: Out of scope.</w:t>
      </w:r>
    </w:p>
    <w:p>
      <w:pPr>
        <w:pStyle w:val="Heading3"/>
        <w:numPr>
          <w:ilvl w:val="2"/>
          <w:numId w:val="17"/>
        </w:numPr>
        <w:ind w:hanging="0" w:start="0"/>
        <w:rPr/>
      </w:pPr>
      <w:r>
        <w:rPr/>
        <w:t>Receive allocation journal entry and perform data entry or upload electronic journal entry into system (includes re-postings of cost center, internal order and projects).</w:t>
      </w:r>
    </w:p>
    <w:p>
      <w:pPr>
        <w:pStyle w:val="Heading4"/>
        <w:numPr>
          <w:ilvl w:val="3"/>
          <w:numId w:val="17"/>
        </w:numPr>
        <w:ind w:hanging="0" w:start="0"/>
        <w:rPr/>
      </w:pPr>
      <w:r>
        <w:rPr/>
        <w:t>US: Out of scope.</w:t>
      </w:r>
    </w:p>
    <w:p>
      <w:pPr>
        <w:pStyle w:val="Heading3"/>
        <w:numPr>
          <w:ilvl w:val="2"/>
          <w:numId w:val="17"/>
        </w:numPr>
        <w:ind w:hanging="0" w:start="0"/>
        <w:rPr>
          <w:szCs w:val="22"/>
        </w:rPr>
      </w:pPr>
      <w:r>
        <w:rPr>
          <w:szCs w:val="22"/>
        </w:rPr>
        <w:t>Receive ad-hoc journals and support documentation from GlobalPharma initiator.</w:t>
      </w:r>
    </w:p>
    <w:p>
      <w:pPr>
        <w:pStyle w:val="Heading4"/>
        <w:numPr>
          <w:ilvl w:val="3"/>
          <w:numId w:val="17"/>
        </w:numPr>
        <w:ind w:hanging="0" w:start="0"/>
        <w:rPr/>
      </w:pPr>
      <w:r>
        <w:rPr/>
        <w:t>US: Out of scope.</w:t>
      </w:r>
    </w:p>
    <w:p>
      <w:pPr>
        <w:pStyle w:val="Heading3"/>
        <w:numPr>
          <w:ilvl w:val="2"/>
          <w:numId w:val="17"/>
        </w:numPr>
        <w:ind w:hanging="0" w:start="0"/>
        <w:rPr/>
      </w:pPr>
      <w:r>
        <w:rPr/>
        <w:t>Interact with GlobalPharma through email, secure fax or adapt existing GlobalPharma workflows to enable JE information exchange</w:t>
      </w:r>
    </w:p>
    <w:p>
      <w:pPr>
        <w:pStyle w:val="Heading4"/>
        <w:numPr>
          <w:ilvl w:val="3"/>
          <w:numId w:val="17"/>
        </w:numPr>
        <w:ind w:hanging="0" w:start="0"/>
        <w:rPr/>
      </w:pPr>
      <w:r>
        <w:rPr/>
        <w:t>US: Out of scope.</w:t>
      </w:r>
    </w:p>
    <w:p>
      <w:pPr>
        <w:pStyle w:val="Heading3"/>
        <w:numPr>
          <w:ilvl w:val="2"/>
          <w:numId w:val="17"/>
        </w:numPr>
        <w:ind w:hanging="0" w:start="0"/>
        <w:rPr/>
      </w:pPr>
      <w:r>
        <w:rPr/>
        <w:t>Enter prepared, documented and approved Journal Entries</w:t>
      </w:r>
    </w:p>
    <w:p>
      <w:pPr>
        <w:pStyle w:val="Heading4"/>
        <w:numPr>
          <w:ilvl w:val="3"/>
          <w:numId w:val="17"/>
        </w:numPr>
        <w:ind w:hanging="0" w:start="0"/>
        <w:rPr/>
      </w:pPr>
      <w:r>
        <w:rPr/>
        <w:t>US: Out of scope.</w:t>
      </w:r>
    </w:p>
    <w:p>
      <w:pPr>
        <w:pStyle w:val="Heading3"/>
        <w:numPr>
          <w:ilvl w:val="2"/>
          <w:numId w:val="17"/>
        </w:numPr>
        <w:ind w:hanging="0" w:start="0"/>
        <w:rPr/>
      </w:pPr>
      <w:r>
        <w:rPr/>
        <w:t>Record defined Journal Entries in accordance with GlobalPharma’s policy guidelines</w:t>
      </w:r>
    </w:p>
    <w:p>
      <w:pPr>
        <w:pStyle w:val="Heading4"/>
        <w:numPr>
          <w:ilvl w:val="3"/>
          <w:numId w:val="17"/>
        </w:numPr>
        <w:ind w:hanging="0" w:start="0"/>
        <w:rPr/>
      </w:pPr>
      <w:r>
        <w:rPr/>
        <w:t>US: Out of scope.</w:t>
      </w:r>
    </w:p>
    <w:p>
      <w:pPr>
        <w:pStyle w:val="Heading3"/>
        <w:numPr>
          <w:ilvl w:val="2"/>
          <w:numId w:val="17"/>
        </w:numPr>
        <w:ind w:hanging="0" w:start="0"/>
        <w:rPr/>
      </w:pPr>
      <w:r>
        <w:rPr/>
        <w:t>Balance, reconcile journal entries, as required, in the General Ledger and subsidiary sub-systems/ledgers as required. Check journal entries to ensure entries to statutory and financial reporting standards accounts are aligned as per the guidelines provided by GlobalPharma.</w:t>
      </w:r>
    </w:p>
    <w:p>
      <w:pPr>
        <w:pStyle w:val="Heading4"/>
        <w:numPr>
          <w:ilvl w:val="3"/>
          <w:numId w:val="17"/>
        </w:numPr>
        <w:ind w:hanging="0" w:start="0"/>
        <w:rPr>
          <w:szCs w:val="22"/>
        </w:rPr>
      </w:pPr>
      <w:r>
        <w:rPr/>
        <w:t>US: Out of scope.</w:t>
      </w:r>
    </w:p>
    <w:p>
      <w:pPr>
        <w:pStyle w:val="TableText"/>
        <w:rPr>
          <w:szCs w:val="22"/>
        </w:rPr>
      </w:pPr>
      <w:r>
        <w:rPr>
          <w:szCs w:val="22"/>
        </w:rPr>
      </w:r>
    </w:p>
    <w:p>
      <w:pPr>
        <w:pStyle w:val="Heading3"/>
        <w:numPr>
          <w:ilvl w:val="2"/>
          <w:numId w:val="17"/>
        </w:numPr>
        <w:ind w:hanging="0" w:start="0"/>
        <w:rPr/>
      </w:pPr>
      <w:r>
        <w:rPr/>
        <w:t>Reduce journal entries by six sigma projects or otherwise that will drive digitization, consolidation of similar journals and the creation of recurring Journal Entries in the system Propose opportunities to automate recurring Journal Entries to GlobalPharma wherever possible.</w:t>
      </w:r>
    </w:p>
    <w:p>
      <w:pPr>
        <w:pStyle w:val="Heading4"/>
        <w:numPr>
          <w:ilvl w:val="3"/>
          <w:numId w:val="17"/>
        </w:numPr>
        <w:ind w:hanging="0" w:start="0"/>
        <w:rPr/>
      </w:pPr>
      <w:r>
        <w:rPr/>
        <w:t>US: Out of scope.</w:t>
      </w:r>
    </w:p>
    <w:p>
      <w:pPr>
        <w:pStyle w:val="Heading3"/>
        <w:numPr>
          <w:ilvl w:val="2"/>
          <w:numId w:val="17"/>
        </w:numPr>
        <w:ind w:hanging="0" w:start="0"/>
        <w:rPr/>
      </w:pPr>
      <w:r>
        <w:rPr/>
        <w:t>Store all obtained and entered journals electronically or in paper archives along with supporting documentation</w:t>
      </w:r>
    </w:p>
    <w:p>
      <w:pPr>
        <w:pStyle w:val="Heading4"/>
        <w:numPr>
          <w:ilvl w:val="3"/>
          <w:numId w:val="17"/>
        </w:numPr>
        <w:ind w:hanging="0" w:start="0"/>
        <w:rPr/>
      </w:pPr>
      <w:r>
        <w:rPr/>
        <w:t>US: Out of scope.</w:t>
      </w:r>
    </w:p>
    <w:p>
      <w:pPr>
        <w:pStyle w:val="Heading3"/>
        <w:numPr>
          <w:ilvl w:val="2"/>
          <w:numId w:val="17"/>
        </w:numPr>
        <w:ind w:hanging="0" w:start="0"/>
        <w:rPr>
          <w:rFonts w:ascii="Arial" w:hAnsi="Arial" w:cs="Arial"/>
        </w:rPr>
      </w:pPr>
      <w:r>
        <w:rPr/>
        <w:t>Store supporting documentation of journal entries in electronic format on a shared drive with access for both ServicePro and GlobalPharma once transaction is completed in the ERP system. Provide coding of supporting documentation which ensures clear reference to ERP Journal Entry.</w:t>
      </w:r>
    </w:p>
    <w:p>
      <w:pPr>
        <w:pStyle w:val="Heading4"/>
        <w:numPr>
          <w:ilvl w:val="3"/>
          <w:numId w:val="17"/>
        </w:numPr>
        <w:ind w:hanging="0" w:start="0"/>
        <w:rPr/>
      </w:pPr>
      <w:r>
        <w:rPr/>
        <w:t>US: Out of scope.</w:t>
      </w:r>
    </w:p>
    <w:p>
      <w:pPr>
        <w:pStyle w:val="Heading2"/>
        <w:numPr>
          <w:ilvl w:val="1"/>
          <w:numId w:val="17"/>
        </w:numPr>
        <w:ind w:hanging="0" w:start="0"/>
        <w:rPr/>
      </w:pPr>
      <w:r>
        <w:rPr/>
        <w:t>Recurring Journal Entries</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Prepare recurring journal entries as agreed with GlobalPharma as well as receive recurring Journal Entries submitted by GlobalPharma from the businesses.</w:t>
      </w:r>
    </w:p>
    <w:p>
      <w:pPr>
        <w:pStyle w:val="Heading4"/>
        <w:numPr>
          <w:ilvl w:val="3"/>
          <w:numId w:val="17"/>
        </w:numPr>
        <w:ind w:hanging="0" w:start="0"/>
        <w:rPr/>
      </w:pPr>
      <w:r>
        <w:rPr/>
        <w:t>US: Out of scope.</w:t>
      </w:r>
    </w:p>
    <w:p>
      <w:pPr>
        <w:pStyle w:val="Heading3"/>
        <w:numPr>
          <w:ilvl w:val="2"/>
          <w:numId w:val="17"/>
        </w:numPr>
        <w:ind w:hanging="0" w:start="0"/>
        <w:rPr/>
      </w:pPr>
      <w:r>
        <w:rPr/>
        <w:t>Receive recurring allocation journal entry and perform data entry (JE’s) or upload electronic journal entry into system (includes repostings of cost center, internal order and projects).</w:t>
      </w:r>
    </w:p>
    <w:p>
      <w:pPr>
        <w:pStyle w:val="Heading4"/>
        <w:numPr>
          <w:ilvl w:val="3"/>
          <w:numId w:val="17"/>
        </w:numPr>
        <w:ind w:hanging="0" w:start="0"/>
        <w:rPr/>
      </w:pPr>
      <w:r>
        <w:rPr/>
        <w:t>US: Out of scope.</w:t>
      </w:r>
    </w:p>
    <w:p>
      <w:pPr>
        <w:pStyle w:val="Heading3"/>
        <w:numPr>
          <w:ilvl w:val="2"/>
          <w:numId w:val="17"/>
        </w:numPr>
        <w:ind w:hanging="0" w:start="0"/>
        <w:rPr/>
      </w:pPr>
      <w:r>
        <w:rPr/>
        <w:t>Obtain approval for recurring Journal Entries not previously approved in accordance with GlobalPharma’s approval hierarchy.</w:t>
      </w:r>
    </w:p>
    <w:p>
      <w:pPr>
        <w:pStyle w:val="Heading4"/>
        <w:numPr>
          <w:ilvl w:val="3"/>
          <w:numId w:val="17"/>
        </w:numPr>
        <w:ind w:hanging="0" w:start="0"/>
        <w:rPr/>
      </w:pPr>
      <w:r>
        <w:rPr/>
        <w:t>US: Out of scope.</w:t>
      </w:r>
    </w:p>
    <w:p>
      <w:pPr>
        <w:pStyle w:val="Heading3"/>
        <w:numPr>
          <w:ilvl w:val="2"/>
          <w:numId w:val="17"/>
        </w:numPr>
        <w:ind w:hanging="0" w:start="0"/>
        <w:rPr/>
      </w:pPr>
      <w:r>
        <w:rPr/>
        <w:t>Input recurring journal entries.</w:t>
      </w:r>
    </w:p>
    <w:p>
      <w:pPr>
        <w:pStyle w:val="Heading4"/>
        <w:numPr>
          <w:ilvl w:val="3"/>
          <w:numId w:val="17"/>
        </w:numPr>
        <w:ind w:hanging="0" w:start="0"/>
        <w:rPr/>
      </w:pPr>
      <w:r>
        <w:rPr/>
        <w:t>US: Out of scope.</w:t>
      </w:r>
    </w:p>
    <w:p>
      <w:pPr>
        <w:pStyle w:val="Heading3"/>
        <w:numPr>
          <w:ilvl w:val="2"/>
          <w:numId w:val="17"/>
        </w:numPr>
        <w:ind w:hanging="0" w:start="0"/>
        <w:rPr/>
      </w:pPr>
      <w:r>
        <w:rPr/>
        <w:t>Balance recurring entries, as required, in the General Ledger and subsidiary sub-systems/ledgers as required. Check recurring journal entries to ensure entries to statutory and FRS accounts are aligned.</w:t>
      </w:r>
    </w:p>
    <w:p>
      <w:pPr>
        <w:pStyle w:val="Heading4"/>
        <w:numPr>
          <w:ilvl w:val="3"/>
          <w:numId w:val="17"/>
        </w:numPr>
        <w:ind w:hanging="0" w:start="0"/>
        <w:rPr/>
      </w:pPr>
      <w:r>
        <w:rPr/>
        <w:t>US: Out of scope.</w:t>
      </w:r>
    </w:p>
    <w:p>
      <w:pPr>
        <w:pStyle w:val="Heading3"/>
        <w:numPr>
          <w:ilvl w:val="2"/>
          <w:numId w:val="17"/>
        </w:numPr>
        <w:ind w:hanging="0" w:start="0"/>
        <w:rPr/>
      </w:pPr>
      <w:r>
        <w:rPr/>
        <w:t>File recurring journal entries with supporting documentation.</w:t>
      </w:r>
    </w:p>
    <w:p>
      <w:pPr>
        <w:pStyle w:val="Heading4"/>
        <w:numPr>
          <w:ilvl w:val="3"/>
          <w:numId w:val="17"/>
        </w:numPr>
        <w:ind w:hanging="0" w:start="0"/>
        <w:rPr/>
      </w:pPr>
      <w:r>
        <w:rPr/>
        <w:t>US: Out of scope.</w:t>
      </w:r>
    </w:p>
    <w:p>
      <w:pPr>
        <w:pStyle w:val="Heading3"/>
        <w:numPr>
          <w:ilvl w:val="2"/>
          <w:numId w:val="17"/>
        </w:numPr>
        <w:ind w:hanging="0" w:start="0"/>
        <w:rPr/>
      </w:pPr>
      <w:r>
        <w:rPr/>
        <w:t>Store supporting documentation of journal entries in electronic format on a shared drive with access for both ServicePro and GlobalPharma once transaction is completed in the ERP system. Provide coding of supporting documentation which ensures clear reference to ERP journal entry.</w:t>
      </w:r>
    </w:p>
    <w:p>
      <w:pPr>
        <w:pStyle w:val="Heading4"/>
        <w:numPr>
          <w:ilvl w:val="3"/>
          <w:numId w:val="17"/>
        </w:numPr>
        <w:ind w:hanging="0" w:start="0"/>
        <w:rPr/>
      </w:pPr>
      <w:r>
        <w:rPr/>
        <w:t>US: Out of scope.</w:t>
      </w:r>
    </w:p>
    <w:p>
      <w:pPr>
        <w:pStyle w:val="Heading2"/>
        <w:numPr>
          <w:ilvl w:val="1"/>
          <w:numId w:val="17"/>
        </w:numPr>
        <w:ind w:hanging="0" w:start="0"/>
        <w:rPr>
          <w:rFonts w:ascii="Arial" w:hAnsi="Arial" w:cs="Arial"/>
          <w:bCs/>
        </w:rPr>
      </w:pPr>
      <w:r>
        <w:rPr/>
        <w:t>Inter-company Transactions (Services only)</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Prepare inter-company invoices.</w:t>
      </w:r>
    </w:p>
    <w:p>
      <w:pPr>
        <w:pStyle w:val="Heading3"/>
        <w:numPr>
          <w:ilvl w:val="2"/>
          <w:numId w:val="17"/>
        </w:numPr>
        <w:ind w:hanging="0" w:start="0"/>
        <w:rPr>
          <w:rFonts w:ascii="Arial" w:hAnsi="Arial" w:cs="Arial"/>
          <w:szCs w:val="22"/>
        </w:rPr>
      </w:pPr>
      <w:r>
        <w:rPr/>
        <w:t>Reconcile IDOC process with GlobalPharma Tech Ops group. Create debit memos within SAP and send to appropriate inter-company parties to recover VAT.</w:t>
      </w:r>
    </w:p>
    <w:p>
      <w:pPr>
        <w:pStyle w:val="Heading3"/>
        <w:numPr>
          <w:ilvl w:val="2"/>
          <w:numId w:val="17"/>
        </w:numPr>
        <w:ind w:hanging="0" w:start="0"/>
        <w:rPr/>
      </w:pPr>
      <w:r>
        <w:rPr/>
        <w:t>Obtain approval for inter-company invoices in accordance with GlobalPharma’s approval hierarchy.</w:t>
      </w:r>
    </w:p>
    <w:p>
      <w:pPr>
        <w:pStyle w:val="Heading3"/>
        <w:numPr>
          <w:ilvl w:val="2"/>
          <w:numId w:val="17"/>
        </w:numPr>
        <w:ind w:hanging="0" w:start="0"/>
        <w:rPr>
          <w:rFonts w:ascii="Arial" w:hAnsi="Arial" w:cs="Arial"/>
          <w:szCs w:val="22"/>
        </w:rPr>
      </w:pPr>
      <w:r>
        <w:rPr/>
        <w:t>Distribute approved inter-company invoices with supporting documentation to receiving company.</w:t>
      </w:r>
    </w:p>
    <w:p>
      <w:pPr>
        <w:pStyle w:val="Heading3"/>
        <w:numPr>
          <w:ilvl w:val="2"/>
          <w:numId w:val="17"/>
        </w:numPr>
        <w:ind w:hanging="0" w:start="0"/>
        <w:rPr>
          <w:rFonts w:ascii="Arial" w:hAnsi="Arial" w:cs="Arial"/>
          <w:szCs w:val="22"/>
        </w:rPr>
      </w:pPr>
      <w:r>
        <w:rPr/>
        <w:t>Generate inter-company receivable and payable reports.</w:t>
      </w:r>
    </w:p>
    <w:p>
      <w:pPr>
        <w:pStyle w:val="Heading3"/>
        <w:numPr>
          <w:ilvl w:val="2"/>
          <w:numId w:val="17"/>
        </w:numPr>
        <w:ind w:hanging="0" w:start="0"/>
        <w:rPr>
          <w:rFonts w:ascii="Arial" w:hAnsi="Arial" w:cs="Arial"/>
          <w:szCs w:val="22"/>
        </w:rPr>
      </w:pPr>
      <w:r>
        <w:rPr/>
        <w:t>Reconcile inter-company accounts that are out-of-balance with approved adjusting entries.</w:t>
      </w:r>
    </w:p>
    <w:p>
      <w:pPr>
        <w:pStyle w:val="Heading3"/>
        <w:numPr>
          <w:ilvl w:val="2"/>
          <w:numId w:val="17"/>
        </w:numPr>
        <w:ind w:hanging="0" w:start="0"/>
        <w:rPr/>
      </w:pPr>
      <w:r>
        <w:rPr/>
        <w:t>Prepare schedule of inter-company payable and receivable summary totals.</w:t>
      </w:r>
    </w:p>
    <w:p>
      <w:pPr>
        <w:pStyle w:val="Heading3"/>
        <w:numPr>
          <w:ilvl w:val="2"/>
          <w:numId w:val="17"/>
        </w:numPr>
        <w:ind w:hanging="0" w:start="0"/>
        <w:rPr/>
      </w:pPr>
      <w:r>
        <w:rPr/>
        <w:t>Paying CPO is responsible for ensuring the balancing entries are properly recorded.</w:t>
      </w:r>
    </w:p>
    <w:p>
      <w:pPr>
        <w:pStyle w:val="Heading3"/>
        <w:numPr>
          <w:ilvl w:val="2"/>
          <w:numId w:val="17"/>
        </w:numPr>
        <w:ind w:hanging="0" w:start="0"/>
        <w:rPr/>
      </w:pPr>
      <w:r>
        <w:rPr/>
        <w:t>Input inter-company summary totals into the FRS Consolidation System.</w:t>
      </w:r>
    </w:p>
    <w:p>
      <w:pPr>
        <w:pStyle w:val="Heading3"/>
        <w:numPr>
          <w:ilvl w:val="2"/>
          <w:numId w:val="17"/>
        </w:numPr>
        <w:ind w:hanging="0" w:start="0"/>
        <w:rPr/>
      </w:pPr>
      <w:r>
        <w:rPr/>
        <w:t>GlobalPharma may limit the access to certain inter-company information related to transfer prices. Any impact on the listed activities will be mutually agreed during solution identification (transition phase).</w:t>
      </w:r>
    </w:p>
    <w:p>
      <w:pPr>
        <w:pStyle w:val="Heading2"/>
        <w:numPr>
          <w:ilvl w:val="1"/>
          <w:numId w:val="17"/>
        </w:numPr>
        <w:ind w:hanging="0" w:start="0"/>
        <w:rPr/>
      </w:pPr>
      <w:r>
        <w:rPr>
          <w:rFonts w:eastAsia="Times New Roman Bold;Times New Roman" w:cs="Times New Roman Bold;Times New Roman"/>
        </w:rPr>
        <w:t xml:space="preserve"> </w:t>
      </w:r>
      <w:r>
        <w:rPr/>
        <w:t>Accruals and Prepaid Expenses</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Record accrual journal entries in accordance with GlobalPharma’s policy guidelines. (e.g. for items such as payroll, utilities, other liabilities, and pre-paid items).</w:t>
      </w:r>
    </w:p>
    <w:p>
      <w:pPr>
        <w:pStyle w:val="Heading4"/>
        <w:numPr>
          <w:ilvl w:val="3"/>
          <w:numId w:val="17"/>
        </w:numPr>
        <w:ind w:hanging="0" w:start="0"/>
        <w:rPr>
          <w:lang w:val="en-GB"/>
        </w:rPr>
      </w:pPr>
      <w:r>
        <w:rPr>
          <w:lang w:val="en-GB"/>
        </w:rPr>
        <w:t>France: Payroll out of scope., performed by 3</w:t>
      </w:r>
      <w:r>
        <w:rPr>
          <w:vertAlign w:val="superscript"/>
          <w:lang w:val="en-GB"/>
        </w:rPr>
        <w:t>rd</w:t>
      </w:r>
      <w:r>
        <w:rPr>
          <w:lang w:val="en-GB"/>
        </w:rPr>
        <w:t xml:space="preserve"> party provider (TIP)</w:t>
      </w:r>
    </w:p>
    <w:p>
      <w:pPr>
        <w:pStyle w:val="Heading4"/>
        <w:numPr>
          <w:ilvl w:val="3"/>
          <w:numId w:val="17"/>
        </w:numPr>
        <w:ind w:hanging="0" w:start="0"/>
        <w:rPr/>
      </w:pPr>
      <w:r>
        <w:rPr>
          <w:lang w:val="en-GB"/>
        </w:rPr>
        <w:t>UK &amp; Zurich: Out of Scope for time critical accruals which are prepared by GlobalPharma.</w:t>
      </w:r>
    </w:p>
    <w:p>
      <w:pPr>
        <w:pStyle w:val="Heading4"/>
        <w:numPr>
          <w:ilvl w:val="3"/>
          <w:numId w:val="17"/>
        </w:numPr>
        <w:ind w:hanging="0" w:start="0"/>
        <w:rPr/>
      </w:pPr>
      <w:r>
        <w:rPr/>
        <w:t>US: Out of scope</w:t>
      </w:r>
    </w:p>
    <w:p>
      <w:pPr>
        <w:pStyle w:val="Heading3"/>
        <w:numPr>
          <w:ilvl w:val="2"/>
          <w:numId w:val="17"/>
        </w:numPr>
        <w:ind w:hanging="0" w:start="0"/>
        <w:rPr/>
      </w:pPr>
      <w:r>
        <w:rPr/>
        <w:t>Obtain approval of accrual Journal Entries in accordance with GlobalPharma’s approval hierarchy.</w:t>
      </w:r>
    </w:p>
    <w:p>
      <w:pPr>
        <w:pStyle w:val="Heading4"/>
        <w:numPr>
          <w:ilvl w:val="3"/>
          <w:numId w:val="17"/>
        </w:numPr>
        <w:ind w:hanging="0" w:start="0"/>
        <w:rPr/>
      </w:pPr>
      <w:r>
        <w:rPr/>
        <w:t>US: Out of scope</w:t>
      </w:r>
    </w:p>
    <w:p>
      <w:pPr>
        <w:pStyle w:val="Heading3"/>
        <w:numPr>
          <w:ilvl w:val="2"/>
          <w:numId w:val="17"/>
        </w:numPr>
        <w:ind w:hanging="0" w:start="0"/>
        <w:rPr/>
      </w:pPr>
      <w:r>
        <w:rPr/>
        <w:t>Receive and input Accrual journal entries prepared, documented and approved by GlobalPharma.</w:t>
      </w:r>
    </w:p>
    <w:p>
      <w:pPr>
        <w:pStyle w:val="Heading4"/>
        <w:numPr>
          <w:ilvl w:val="3"/>
          <w:numId w:val="17"/>
        </w:numPr>
        <w:ind w:hanging="0" w:start="0"/>
        <w:rPr/>
      </w:pPr>
      <w:r>
        <w:rPr/>
        <w:t>US: Out of scope</w:t>
      </w:r>
    </w:p>
    <w:p>
      <w:pPr>
        <w:pStyle w:val="Heading3"/>
        <w:numPr>
          <w:ilvl w:val="2"/>
          <w:numId w:val="17"/>
        </w:numPr>
        <w:ind w:hanging="0" w:start="0"/>
        <w:rPr/>
      </w:pPr>
      <w:r>
        <w:rPr/>
        <w:t>Balance accrual journal entries in the General Ledger and subsidiary sub-systems/ledgers as required. Check accrual journal entries to ensure entries to statutory and FRS accounts are aligned.</w:t>
      </w:r>
    </w:p>
    <w:p>
      <w:pPr>
        <w:pStyle w:val="Heading4"/>
        <w:numPr>
          <w:ilvl w:val="3"/>
          <w:numId w:val="17"/>
        </w:numPr>
        <w:ind w:hanging="0" w:start="0"/>
        <w:rPr/>
      </w:pPr>
      <w:r>
        <w:rPr/>
        <w:t>US: Out of scope</w:t>
      </w:r>
    </w:p>
    <w:p>
      <w:pPr>
        <w:pStyle w:val="Heading3"/>
        <w:numPr>
          <w:ilvl w:val="2"/>
          <w:numId w:val="17"/>
        </w:numPr>
        <w:ind w:hanging="0" w:start="0"/>
        <w:rPr>
          <w:lang w:val="en-GB"/>
        </w:rPr>
      </w:pPr>
      <w:r>
        <w:rPr/>
        <w:t>Submit all non-reversing accrual journals at the beginning of the next period to GlobalPharma for review and approval for Service Provider to reverse or update according to GlobalPharma policies and procedures.</w:t>
      </w:r>
      <w:r>
        <w:rPr>
          <w:lang w:val="en-GB"/>
        </w:rPr>
      </w:r>
      <w:r>
        <w:rPr/>
      </w:r>
      <w:r>
        <w:rPr>
          <w:lang w:val="en-GB"/>
        </w:rPr>
      </w:r>
    </w:p>
    <w:p>
      <w:pPr>
        <w:pStyle w:val="Heading4"/>
        <w:numPr>
          <w:ilvl w:val="3"/>
          <w:numId w:val="17"/>
        </w:numPr>
        <w:ind w:hanging="0" w:start="0"/>
        <w:rPr/>
      </w:pPr>
      <w:r>
        <w:rPr/>
        <w:t>US: Out of scope</w:t>
      </w:r>
    </w:p>
    <w:p>
      <w:pPr>
        <w:pStyle w:val="Formatvorlage1"/>
        <w:numPr>
          <w:ilvl w:val="0"/>
          <w:numId w:val="17"/>
        </w:numPr>
        <w:rPr/>
      </w:pPr>
      <w:bookmarkStart w:id="2" w:name="__RefHeading___Toc157771275"/>
      <w:r>
        <w:rPr/>
        <w:t>Period Closing</w:t>
      </w:r>
      <w:bookmarkEnd w:id="2"/>
      <w:r>
        <w:rPr/>
        <w:t xml:space="preserve"> </w:t>
      </w:r>
    </w:p>
    <w:p>
      <w:pPr>
        <w:pStyle w:val="Heading2"/>
        <w:numPr>
          <w:ilvl w:val="1"/>
          <w:numId w:val="17"/>
        </w:numPr>
        <w:ind w:hanging="0" w:start="0"/>
        <w:rPr>
          <w:rFonts w:ascii="Arial" w:hAnsi="Arial" w:cs="Times New Roman"/>
          <w:bCs/>
        </w:rPr>
      </w:pPr>
      <w:r>
        <w:rPr/>
        <w:t>Period Close Processes</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Implement and distribute accounting period end timetables based on direction from GlobalPharma policy guidelines.</w:t>
      </w:r>
    </w:p>
    <w:p>
      <w:pPr>
        <w:pStyle w:val="Heading4"/>
        <w:numPr>
          <w:ilvl w:val="3"/>
          <w:numId w:val="17"/>
        </w:numPr>
        <w:ind w:hanging="0" w:start="0"/>
        <w:rPr/>
      </w:pPr>
      <w:r>
        <w:rPr/>
        <w:t>US: Out of scope</w:t>
      </w:r>
    </w:p>
    <w:p>
      <w:pPr>
        <w:pStyle w:val="Heading3"/>
        <w:numPr>
          <w:ilvl w:val="2"/>
          <w:numId w:val="17"/>
        </w:numPr>
        <w:ind w:hanging="0" w:start="0"/>
        <w:rPr/>
      </w:pPr>
      <w:r>
        <w:rPr/>
        <w:t>Provide all necessary reports to support GlobalPharma for the month end closing and including but not limited to reconciliation of the ledgers and sub-ledgers and the SAP systems. (COPA; PCA; BW; FI)</w:t>
      </w:r>
    </w:p>
    <w:p>
      <w:pPr>
        <w:pStyle w:val="Heading4"/>
        <w:numPr>
          <w:ilvl w:val="3"/>
          <w:numId w:val="17"/>
        </w:numPr>
        <w:ind w:hanging="0" w:start="0"/>
        <w:rPr/>
      </w:pPr>
      <w:r>
        <w:rPr/>
        <w:t>US: Out of scope</w:t>
      </w:r>
    </w:p>
    <w:p>
      <w:pPr>
        <w:pStyle w:val="Heading3"/>
        <w:numPr>
          <w:ilvl w:val="2"/>
          <w:numId w:val="17"/>
        </w:numPr>
        <w:ind w:hanging="0" w:start="0"/>
        <w:rPr/>
      </w:pPr>
      <w:r>
        <w:rPr/>
        <w:t>Reconcile interface files between sub-ledgers and general ledger(s).</w:t>
      </w:r>
    </w:p>
    <w:p>
      <w:pPr>
        <w:pStyle w:val="Heading4"/>
        <w:numPr>
          <w:ilvl w:val="3"/>
          <w:numId w:val="17"/>
        </w:numPr>
        <w:ind w:hanging="0" w:start="0"/>
        <w:rPr/>
      </w:pPr>
      <w:r>
        <w:rPr/>
        <w:t>US: Out of scope</w:t>
      </w:r>
    </w:p>
    <w:p>
      <w:pPr>
        <w:pStyle w:val="Heading3"/>
        <w:numPr>
          <w:ilvl w:val="2"/>
          <w:numId w:val="17"/>
        </w:numPr>
        <w:ind w:hanging="0" w:start="0"/>
        <w:rPr/>
      </w:pPr>
      <w:r>
        <w:rPr/>
        <w:t>Analyze and resolve any interface variances between sub-ledgers and general ledger(s). and the SAP systems (COPA;PCA;BW;FI)</w:t>
      </w:r>
    </w:p>
    <w:p>
      <w:pPr>
        <w:pStyle w:val="Heading4"/>
        <w:numPr>
          <w:ilvl w:val="3"/>
          <w:numId w:val="17"/>
        </w:numPr>
        <w:ind w:hanging="0" w:start="0"/>
        <w:rPr/>
      </w:pPr>
      <w:r>
        <w:rPr/>
        <w:t>US: Out of scope</w:t>
      </w:r>
    </w:p>
    <w:p>
      <w:pPr>
        <w:pStyle w:val="Heading3"/>
        <w:numPr>
          <w:ilvl w:val="2"/>
          <w:numId w:val="17"/>
        </w:numPr>
        <w:ind w:hanging="0" w:start="0"/>
        <w:rPr/>
      </w:pPr>
      <w:r>
        <w:rPr/>
        <w:t>Based on entries received from GlobalPharma, input tax computations to the general ledger and other systems as necessary</w:t>
      </w:r>
    </w:p>
    <w:p>
      <w:pPr>
        <w:pStyle w:val="Heading4"/>
        <w:numPr>
          <w:ilvl w:val="3"/>
          <w:numId w:val="17"/>
        </w:numPr>
        <w:ind w:hanging="0" w:start="0"/>
        <w:rPr/>
      </w:pPr>
      <w:r>
        <w:rPr/>
        <w:t>US: Out of scope</w:t>
      </w:r>
    </w:p>
    <w:p>
      <w:pPr>
        <w:pStyle w:val="Heading2"/>
        <w:numPr>
          <w:ilvl w:val="1"/>
          <w:numId w:val="17"/>
        </w:numPr>
        <w:ind w:hanging="0" w:start="0"/>
        <w:rPr/>
      </w:pPr>
      <w:r>
        <w:rPr/>
        <w:t>Reporting and Account Analysis</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Notify GlobalPharma when final P&amp;L and balance sheets reports are available (number and type of reports applicable as indicated in Attachment 13-A to the extent provided by the in-scope FTEs).</w:t>
      </w:r>
      <w:r>
        <w:rPr>
          <w:b/>
        </w:rPr>
      </w:r>
      <w:r>
        <w:rPr/>
      </w:r>
    </w:p>
    <w:p>
      <w:pPr>
        <w:pStyle w:val="Heading4"/>
        <w:numPr>
          <w:ilvl w:val="3"/>
          <w:numId w:val="17"/>
        </w:numPr>
        <w:ind w:hanging="0" w:start="0"/>
        <w:rPr/>
      </w:pPr>
      <w:r>
        <w:rPr/>
        <w:t>US: Out of scope</w:t>
      </w:r>
    </w:p>
    <w:p>
      <w:pPr>
        <w:pStyle w:val="Heading3"/>
        <w:numPr>
          <w:ilvl w:val="2"/>
          <w:numId w:val="17"/>
        </w:numPr>
        <w:ind w:hanging="0" w:start="0"/>
        <w:rPr/>
      </w:pPr>
      <w:r>
        <w:rPr/>
        <w:t>Confirm that all necessary adjustments and period end close tasks have been completed.</w:t>
      </w:r>
    </w:p>
    <w:p>
      <w:pPr>
        <w:pStyle w:val="Heading4"/>
        <w:numPr>
          <w:ilvl w:val="3"/>
          <w:numId w:val="17"/>
        </w:numPr>
        <w:ind w:hanging="0" w:start="0"/>
        <w:rPr/>
      </w:pPr>
      <w:r>
        <w:rPr/>
        <w:t>US: Out of scope</w:t>
      </w:r>
    </w:p>
    <w:p>
      <w:pPr>
        <w:pStyle w:val="Heading3"/>
        <w:numPr>
          <w:ilvl w:val="2"/>
          <w:numId w:val="17"/>
        </w:numPr>
        <w:ind w:hanging="0" w:start="0"/>
        <w:rPr/>
      </w:pPr>
      <w:r>
        <w:rPr/>
        <w:t>Provide the data necessary for GlobalPharma to perform the balance sheet and income statement account variance analysis.</w:t>
      </w:r>
    </w:p>
    <w:p>
      <w:pPr>
        <w:pStyle w:val="Heading4"/>
        <w:numPr>
          <w:ilvl w:val="3"/>
          <w:numId w:val="17"/>
        </w:numPr>
        <w:ind w:hanging="0" w:start="0"/>
        <w:rPr/>
      </w:pPr>
      <w:r>
        <w:rPr/>
        <w:t>US: Out of scope</w:t>
      </w:r>
    </w:p>
    <w:p>
      <w:pPr>
        <w:pStyle w:val="Heading3"/>
        <w:numPr>
          <w:ilvl w:val="2"/>
          <w:numId w:val="17"/>
        </w:numPr>
        <w:ind w:hanging="0" w:start="0"/>
        <w:rPr>
          <w:rFonts w:ascii="Times New Roman Bold;Times New Roman" w:hAnsi="Times New Roman Bold;Times New Roman" w:cs="Times New Roman Bold;Times New Roman"/>
          <w:b/>
        </w:rPr>
      </w:pPr>
      <w:r>
        <w:rPr/>
        <w:t xml:space="preserve">Produce management control reports (number and type of reports applicable as indicated in </w:t>
      </w:r>
      <w:r>
        <w:rPr>
          <w:b/>
        </w:rPr>
        <w:t>Attachment 13-A</w:t>
      </w:r>
      <w:r>
        <w:rPr/>
        <w:t xml:space="preserve"> to the extent provided by the in-scope FTEs).</w:t>
      </w:r>
    </w:p>
    <w:p>
      <w:pPr>
        <w:pStyle w:val="Heading4"/>
        <w:numPr>
          <w:ilvl w:val="3"/>
          <w:numId w:val="17"/>
        </w:numPr>
        <w:ind w:hanging="0" w:start="0"/>
        <w:rPr/>
      </w:pPr>
      <w:r>
        <w:rPr/>
        <w:t>US: Out of scope</w:t>
      </w:r>
    </w:p>
    <w:p>
      <w:pPr>
        <w:pStyle w:val="Heading3"/>
        <w:numPr>
          <w:ilvl w:val="2"/>
          <w:numId w:val="17"/>
        </w:numPr>
        <w:ind w:hanging="0" w:start="0"/>
        <w:rPr/>
      </w:pPr>
      <w:r>
        <w:rPr/>
        <w:t xml:space="preserve">Produce monthly close package (number and type of reports applicable as indicated in </w:t>
      </w:r>
      <w:r>
        <w:rPr>
          <w:b/>
        </w:rPr>
        <w:t>Attachment 13-A</w:t>
      </w:r>
      <w:r>
        <w:rPr/>
        <w:t xml:space="preserve"> to the extent provided by the in-scope FTEs).</w:t>
      </w:r>
    </w:p>
    <w:p>
      <w:pPr>
        <w:pStyle w:val="Heading4"/>
        <w:numPr>
          <w:ilvl w:val="3"/>
          <w:numId w:val="17"/>
        </w:numPr>
        <w:ind w:hanging="0" w:start="0"/>
        <w:rPr/>
      </w:pPr>
      <w:r>
        <w:rPr/>
        <w:t>US: Out of scope</w:t>
      </w:r>
    </w:p>
    <w:p>
      <w:pPr>
        <w:pStyle w:val="Heading3"/>
        <w:numPr>
          <w:ilvl w:val="2"/>
          <w:numId w:val="17"/>
        </w:numPr>
        <w:ind w:hanging="0" w:start="0"/>
        <w:rPr/>
      </w:pPr>
      <w:r>
        <w:rPr/>
        <w:t>Attend monthly closing meeting as and when required by GlobalPharma.</w:t>
      </w:r>
    </w:p>
    <w:p>
      <w:pPr>
        <w:pStyle w:val="Heading4"/>
        <w:numPr>
          <w:ilvl w:val="3"/>
          <w:numId w:val="17"/>
        </w:numPr>
        <w:ind w:hanging="0" w:start="0"/>
        <w:rPr/>
      </w:pPr>
      <w:r>
        <w:rPr/>
        <w:t>US: Out of scope</w:t>
      </w:r>
    </w:p>
    <w:p>
      <w:pPr>
        <w:pStyle w:val="Heading3"/>
        <w:numPr>
          <w:ilvl w:val="2"/>
          <w:numId w:val="17"/>
        </w:numPr>
        <w:ind w:hanging="0" w:start="0"/>
        <w:rPr>
          <w:rFonts w:ascii="Times New Roman Bold;Times New Roman" w:hAnsi="Times New Roman Bold;Times New Roman" w:cs="Times New Roman Bold;Times New Roman"/>
        </w:rPr>
      </w:pPr>
      <w:r>
        <w:rPr/>
        <w:t xml:space="preserve">Prepare detailed account analysis as requested by GlobalPharma </w:t>
      </w:r>
    </w:p>
    <w:p>
      <w:pPr>
        <w:pStyle w:val="Heading3"/>
        <w:numPr>
          <w:ilvl w:val="2"/>
          <w:numId w:val="17"/>
        </w:numPr>
        <w:ind w:hanging="0" w:start="0"/>
        <w:rPr/>
      </w:pPr>
      <w:r>
        <w:rPr/>
        <w:t>Prepare schedules and analysis for external SEC reporting and Country statutory reporting requirements requested by GlobalPharma.</w:t>
      </w:r>
    </w:p>
    <w:p>
      <w:pPr>
        <w:pStyle w:val="Heading4"/>
        <w:numPr>
          <w:ilvl w:val="3"/>
          <w:numId w:val="17"/>
        </w:numPr>
        <w:ind w:hanging="0" w:start="0"/>
        <w:rPr/>
      </w:pPr>
      <w:r>
        <w:rPr/>
        <w:t>US, Zurich: Out of scope</w:t>
      </w:r>
    </w:p>
    <w:p>
      <w:pPr>
        <w:pStyle w:val="Heading3"/>
        <w:numPr>
          <w:ilvl w:val="2"/>
          <w:numId w:val="17"/>
        </w:numPr>
        <w:ind w:hanging="0" w:start="0"/>
        <w:rPr/>
      </w:pPr>
      <w:r>
        <w:rPr/>
        <w:t>Prepare tax filings for all federal, state and provinces in which GlobalPharma is required to file.</w:t>
      </w:r>
    </w:p>
    <w:p>
      <w:pPr>
        <w:pStyle w:val="Heading4"/>
        <w:numPr>
          <w:ilvl w:val="3"/>
          <w:numId w:val="17"/>
        </w:numPr>
        <w:ind w:hanging="0" w:start="0"/>
        <w:rPr/>
      </w:pPr>
      <w:r>
        <w:rPr/>
        <w:t>US: Out of scope</w:t>
      </w:r>
    </w:p>
    <w:p>
      <w:pPr>
        <w:pStyle w:val="Heading3"/>
        <w:numPr>
          <w:ilvl w:val="2"/>
          <w:numId w:val="17"/>
        </w:numPr>
        <w:ind w:hanging="0" w:start="0"/>
        <w:rPr/>
      </w:pPr>
      <w:r>
        <w:rPr/>
        <w:t>Prepare monthly / quarterly / annual VAT tax, VAT tax returns, customs tax and withholding tax reports for EU countries as requested. GlobalPharma to review and file to authorities.</w:t>
      </w:r>
    </w:p>
    <w:p>
      <w:pPr>
        <w:pStyle w:val="Heading4"/>
        <w:numPr>
          <w:ilvl w:val="3"/>
          <w:numId w:val="17"/>
        </w:numPr>
        <w:ind w:hanging="0" w:start="0"/>
        <w:rPr/>
      </w:pPr>
      <w:r>
        <w:rPr/>
        <w:t>US: Out of scope</w:t>
      </w:r>
    </w:p>
    <w:p>
      <w:pPr>
        <w:pStyle w:val="Heading3"/>
        <w:numPr>
          <w:ilvl w:val="2"/>
          <w:numId w:val="17"/>
        </w:numPr>
        <w:ind w:hanging="0" w:start="0"/>
        <w:rPr/>
      </w:pPr>
      <w:r>
        <w:rPr/>
        <w:t>Prepare detail list of input and output tax invoices by country on a monthly basis for DE/GB/FR and on an annual basis for all other foreign countries and reconcile foreign VAT accounts. Mark reclaim status on SAP. Support VAT reclaim process. Comment on further improvement and optimization on foreign VAT process.</w:t>
      </w:r>
    </w:p>
    <w:p>
      <w:pPr>
        <w:pStyle w:val="Heading2"/>
        <w:numPr>
          <w:ilvl w:val="1"/>
          <w:numId w:val="17"/>
        </w:numPr>
        <w:ind w:hanging="0" w:start="0"/>
        <w:rPr/>
      </w:pPr>
      <w:r>
        <w:rPr/>
        <w:t>Internal and External Audit Support</w:t>
      </w:r>
    </w:p>
    <w:p>
      <w:pPr>
        <w:pStyle w:val="Heading3"/>
        <w:numPr>
          <w:ilvl w:val="2"/>
          <w:numId w:val="17"/>
        </w:numPr>
        <w:ind w:hanging="0" w:start="0"/>
        <w:rPr>
          <w:rFonts w:ascii="Arial" w:hAnsi="Arial" w:cs="Arial"/>
        </w:rPr>
      </w:pPr>
      <w:r>
        <w:rPr/>
        <w:t>The Service Providers responsibilities include, but are not limited to:</w:t>
      </w:r>
    </w:p>
    <w:p>
      <w:pPr>
        <w:pStyle w:val="Heading3"/>
        <w:numPr>
          <w:ilvl w:val="2"/>
          <w:numId w:val="17"/>
        </w:numPr>
        <w:ind w:hanging="0" w:start="0"/>
        <w:rPr/>
      </w:pPr>
      <w:r>
        <w:rPr/>
        <w:t>Develop internal and external audit supporting schedules for in-scope processes.</w:t>
      </w:r>
    </w:p>
    <w:p>
      <w:pPr>
        <w:pStyle w:val="Heading4"/>
        <w:numPr>
          <w:ilvl w:val="3"/>
          <w:numId w:val="17"/>
        </w:numPr>
        <w:ind w:hanging="0" w:start="0"/>
        <w:rPr/>
      </w:pPr>
      <w:r>
        <w:rPr/>
        <w:t>US: Out of scope</w:t>
      </w:r>
    </w:p>
    <w:p>
      <w:pPr>
        <w:pStyle w:val="Heading3"/>
        <w:numPr>
          <w:ilvl w:val="2"/>
          <w:numId w:val="17"/>
        </w:numPr>
        <w:ind w:hanging="0" w:start="0"/>
        <w:rPr/>
      </w:pPr>
      <w:r>
        <w:rPr/>
        <w:t>Provide source documents to internal and external auditors as requested</w:t>
      </w:r>
    </w:p>
    <w:p>
      <w:pPr>
        <w:pStyle w:val="Heading4"/>
        <w:numPr>
          <w:ilvl w:val="3"/>
          <w:numId w:val="17"/>
        </w:numPr>
        <w:ind w:hanging="0" w:start="0"/>
        <w:rPr/>
      </w:pPr>
      <w:r>
        <w:rPr/>
        <w:t>US: Out of scope</w:t>
      </w:r>
    </w:p>
    <w:p>
      <w:pPr>
        <w:pStyle w:val="Heading3"/>
        <w:numPr>
          <w:ilvl w:val="2"/>
          <w:numId w:val="17"/>
        </w:numPr>
        <w:ind w:hanging="0" w:start="0"/>
        <w:rPr/>
      </w:pPr>
      <w:r>
        <w:rPr/>
        <w:t>Obtain approval on GlobalPharma approved statutory and audit outputs enter approved journal entries.</w:t>
      </w:r>
    </w:p>
    <w:p>
      <w:pPr>
        <w:pStyle w:val="Heading4"/>
        <w:numPr>
          <w:ilvl w:val="3"/>
          <w:numId w:val="17"/>
        </w:numPr>
        <w:ind w:hanging="0" w:start="0"/>
        <w:rPr/>
      </w:pPr>
      <w:r>
        <w:rPr/>
        <w:t>US: Out of scope</w:t>
      </w:r>
    </w:p>
    <w:p>
      <w:pPr>
        <w:pStyle w:val="Heading3"/>
        <w:numPr>
          <w:ilvl w:val="2"/>
          <w:numId w:val="17"/>
        </w:numPr>
        <w:ind w:hanging="0" w:start="0"/>
        <w:rPr/>
      </w:pPr>
      <w:r>
        <w:rPr/>
        <w:t>Report to GlobalPharma any account policy and procedure non-compliance relating to processes in scope.</w:t>
      </w:r>
    </w:p>
    <w:p>
      <w:pPr>
        <w:pStyle w:val="Heading4"/>
        <w:numPr>
          <w:ilvl w:val="3"/>
          <w:numId w:val="17"/>
        </w:numPr>
        <w:ind w:hanging="0" w:start="0"/>
        <w:rPr/>
      </w:pPr>
      <w:r>
        <w:rPr/>
        <w:t>US: Out of scope</w:t>
      </w:r>
    </w:p>
    <w:p>
      <w:pPr>
        <w:pStyle w:val="Heading3"/>
        <w:numPr>
          <w:ilvl w:val="2"/>
          <w:numId w:val="17"/>
        </w:numPr>
        <w:ind w:hanging="0" w:start="0"/>
        <w:rPr/>
      </w:pPr>
      <w:r>
        <w:rPr/>
        <w:t>Implement corrections for non-compliance procedures as defined and required by GlobalPharma.</w:t>
      </w:r>
    </w:p>
    <w:p>
      <w:pPr>
        <w:pStyle w:val="Heading4"/>
        <w:numPr>
          <w:ilvl w:val="3"/>
          <w:numId w:val="17"/>
        </w:numPr>
        <w:ind w:hanging="0" w:start="0"/>
        <w:rPr/>
      </w:pPr>
      <w:r>
        <w:rPr/>
        <w:t>US: Out of scope</w:t>
      </w:r>
    </w:p>
    <w:p>
      <w:pPr>
        <w:pStyle w:val="Heading3"/>
        <w:numPr>
          <w:ilvl w:val="2"/>
          <w:numId w:val="17"/>
        </w:numPr>
        <w:ind w:hanging="0" w:start="0"/>
        <w:rPr>
          <w:lang w:val="fr-FR"/>
        </w:rPr>
      </w:pPr>
      <w:r>
        <w:rPr>
          <w:lang w:val="fr-FR"/>
        </w:rPr>
        <w:t>De-brief GlobalPharma on audit activities.</w:t>
      </w:r>
    </w:p>
    <w:p>
      <w:pPr>
        <w:pStyle w:val="Heading4"/>
        <w:numPr>
          <w:ilvl w:val="3"/>
          <w:numId w:val="17"/>
        </w:numPr>
        <w:ind w:hanging="0" w:start="0"/>
        <w:rPr/>
      </w:pPr>
      <w:r>
        <w:rPr/>
        <w:t>US: Out of scope</w:t>
      </w:r>
    </w:p>
    <w:p>
      <w:pPr>
        <w:pStyle w:val="Heading3"/>
        <w:numPr>
          <w:ilvl w:val="2"/>
          <w:numId w:val="17"/>
        </w:numPr>
        <w:ind w:hanging="0" w:start="0"/>
        <w:rPr/>
      </w:pPr>
      <w:r>
        <w:rPr/>
        <w:t>Seek authorization from GlobalPharma to change established procedures relating to processes in scope.</w:t>
      </w:r>
    </w:p>
    <w:p>
      <w:pPr>
        <w:pStyle w:val="Heading4"/>
        <w:numPr>
          <w:ilvl w:val="3"/>
          <w:numId w:val="17"/>
        </w:numPr>
        <w:ind w:hanging="0" w:start="0"/>
        <w:rPr/>
      </w:pPr>
      <w:r>
        <w:rPr/>
        <w:t>US: Out of scope</w:t>
      </w:r>
    </w:p>
    <w:p>
      <w:pPr>
        <w:pStyle w:val="Heading3"/>
        <w:numPr>
          <w:ilvl w:val="2"/>
          <w:numId w:val="17"/>
        </w:numPr>
        <w:ind w:hanging="0" w:start="0"/>
        <w:rPr>
          <w:rFonts w:ascii="Arial" w:hAnsi="Arial" w:cs="Arial"/>
        </w:rPr>
      </w:pPr>
      <w:r>
        <w:rPr/>
        <w:t>Implement procedure changes authorized by GlobalPharma relating to processes in scope.</w:t>
      </w:r>
    </w:p>
    <w:p>
      <w:pPr>
        <w:pStyle w:val="Formatvorlage1"/>
        <w:numPr>
          <w:ilvl w:val="0"/>
          <w:numId w:val="17"/>
        </w:numPr>
        <w:rPr/>
      </w:pPr>
      <w:bookmarkStart w:id="3" w:name="__RefHeading___Toc157771276"/>
      <w:r>
        <w:rPr/>
        <w:t>account Reconciliation</w:t>
      </w:r>
      <w:bookmarkEnd w:id="3"/>
      <w:r>
        <w:rPr/>
        <w:t xml:space="preserve"> </w:t>
      </w:r>
    </w:p>
    <w:p>
      <w:pPr>
        <w:pStyle w:val="Heading2"/>
        <w:numPr>
          <w:ilvl w:val="1"/>
          <w:numId w:val="17"/>
        </w:numPr>
        <w:ind w:hanging="0" w:start="0"/>
        <w:rPr/>
      </w:pPr>
      <w:r>
        <w:rPr/>
        <w:t xml:space="preserve">Financial Statement Reconciliations </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Prepare balance sheet reconciliations between subsidiary ledgers and general ledger(s) (as already described in the SOW AP, AR and FA).</w:t>
      </w:r>
    </w:p>
    <w:p>
      <w:pPr>
        <w:pStyle w:val="Heading4"/>
        <w:numPr>
          <w:ilvl w:val="3"/>
          <w:numId w:val="17"/>
        </w:numPr>
        <w:ind w:hanging="0" w:start="0"/>
        <w:rPr/>
      </w:pPr>
      <w:r>
        <w:rPr/>
        <w:t>US: Out of scope</w:t>
      </w:r>
    </w:p>
    <w:p>
      <w:pPr>
        <w:pStyle w:val="Heading3"/>
        <w:numPr>
          <w:ilvl w:val="2"/>
          <w:numId w:val="17"/>
        </w:numPr>
        <w:ind w:hanging="0" w:start="0"/>
        <w:rPr/>
      </w:pPr>
      <w:r>
        <w:rPr/>
        <w:t>Analyze, explain and resolve reconciling variances for balance sheet accounts. Ask GlobalPharma for information required to explain any variance from the period prior to commencement date. GlobalPharma has the obligation to provide relating explanations.</w:t>
      </w:r>
    </w:p>
    <w:p>
      <w:pPr>
        <w:pStyle w:val="Heading4"/>
        <w:numPr>
          <w:ilvl w:val="3"/>
          <w:numId w:val="17"/>
        </w:numPr>
        <w:ind w:hanging="0" w:start="0"/>
        <w:rPr/>
      </w:pPr>
      <w:r>
        <w:rPr/>
        <w:t>US: Out of scope</w:t>
      </w:r>
    </w:p>
    <w:p>
      <w:pPr>
        <w:pStyle w:val="Heading3"/>
        <w:numPr>
          <w:ilvl w:val="2"/>
          <w:numId w:val="17"/>
        </w:numPr>
        <w:ind w:hanging="0" w:start="0"/>
        <w:rPr/>
      </w:pPr>
      <w:r>
        <w:rPr/>
        <w:t>Prepare journal entries for reconciling variances and enter into system.</w:t>
      </w:r>
    </w:p>
    <w:p>
      <w:pPr>
        <w:pStyle w:val="Heading4"/>
        <w:numPr>
          <w:ilvl w:val="3"/>
          <w:numId w:val="17"/>
        </w:numPr>
        <w:ind w:hanging="0" w:start="0"/>
        <w:rPr/>
      </w:pPr>
      <w:r>
        <w:rPr/>
        <w:t>US: Out of scope</w:t>
      </w:r>
    </w:p>
    <w:p>
      <w:pPr>
        <w:pStyle w:val="Heading3"/>
        <w:numPr>
          <w:ilvl w:val="2"/>
          <w:numId w:val="17"/>
        </w:numPr>
        <w:ind w:hanging="0" w:start="0"/>
        <w:rPr/>
      </w:pPr>
      <w:r>
        <w:rPr/>
        <w:t>Obtain approval for reconciliations and correcting journal entries in accordance with GlobalPharma policy guidelines.</w:t>
      </w:r>
    </w:p>
    <w:p>
      <w:pPr>
        <w:pStyle w:val="Heading4"/>
        <w:numPr>
          <w:ilvl w:val="3"/>
          <w:numId w:val="17"/>
        </w:numPr>
        <w:ind w:hanging="0" w:start="0"/>
        <w:rPr/>
      </w:pPr>
      <w:r>
        <w:rPr/>
        <w:t>US: Out of scope</w:t>
      </w:r>
    </w:p>
    <w:p>
      <w:pPr>
        <w:pStyle w:val="Heading3"/>
        <w:numPr>
          <w:ilvl w:val="2"/>
          <w:numId w:val="17"/>
        </w:numPr>
        <w:ind w:hanging="0" w:start="0"/>
        <w:rPr/>
      </w:pPr>
      <w:r>
        <w:rPr/>
        <w:t>Submit a monthly reconciliation checklist with any reconciling differences that meet pre-defined criteria to GlobalPharma.</w:t>
      </w:r>
    </w:p>
    <w:p>
      <w:pPr>
        <w:pStyle w:val="Heading4"/>
        <w:numPr>
          <w:ilvl w:val="3"/>
          <w:numId w:val="17"/>
        </w:numPr>
        <w:ind w:hanging="0" w:start="0"/>
        <w:rPr/>
      </w:pPr>
      <w:r>
        <w:rPr/>
        <w:t>US: Out of scope</w:t>
      </w:r>
    </w:p>
    <w:p>
      <w:pPr>
        <w:pStyle w:val="Heading2"/>
        <w:numPr>
          <w:ilvl w:val="1"/>
          <w:numId w:val="17"/>
        </w:numPr>
        <w:ind w:hanging="0" w:start="0"/>
        <w:rPr/>
      </w:pPr>
      <w:r>
        <w:rPr/>
        <w:t>Bank Account Reconciliations</w:t>
      </w:r>
    </w:p>
    <w:p>
      <w:pPr>
        <w:pStyle w:val="Heading3"/>
        <w:numPr>
          <w:ilvl w:val="2"/>
          <w:numId w:val="17"/>
        </w:numPr>
        <w:ind w:hanging="0" w:start="0"/>
        <w:rPr>
          <w:rFonts w:ascii="Arial" w:hAnsi="Arial" w:cs="Arial"/>
        </w:rPr>
      </w:pPr>
      <w:r>
        <w:rPr/>
        <w:t>The Service Providers responsibilities include, but are not limited to:</w:t>
      </w:r>
    </w:p>
    <w:p>
      <w:pPr>
        <w:pStyle w:val="Heading3"/>
        <w:numPr>
          <w:ilvl w:val="2"/>
          <w:numId w:val="17"/>
        </w:numPr>
        <w:ind w:hanging="0" w:start="0"/>
        <w:rPr/>
      </w:pPr>
      <w:r>
        <w:rPr/>
        <w:t>Obtain month end Corporate bank statements. Paper bank statements may be faxed to Service Provider. Service provider creates a soft copy. Service Provider will upload electronic statements.</w:t>
      </w:r>
    </w:p>
    <w:p>
      <w:pPr>
        <w:pStyle w:val="Heading4"/>
        <w:numPr>
          <w:ilvl w:val="3"/>
          <w:numId w:val="17"/>
        </w:numPr>
        <w:ind w:hanging="0" w:start="0"/>
        <w:rPr/>
      </w:pPr>
      <w:r>
        <w:rPr/>
        <w:t>Italy: Out of scope</w:t>
      </w:r>
    </w:p>
    <w:p>
      <w:pPr>
        <w:pStyle w:val="Heading3"/>
        <w:numPr>
          <w:ilvl w:val="2"/>
          <w:numId w:val="17"/>
        </w:numPr>
        <w:ind w:hanging="0" w:start="0"/>
        <w:rPr/>
      </w:pPr>
      <w:r>
        <w:rPr/>
        <w:t>Analyze and investigate un-presented deposits not realized.</w:t>
      </w:r>
    </w:p>
    <w:p>
      <w:pPr>
        <w:pStyle w:val="Heading4"/>
        <w:numPr>
          <w:ilvl w:val="3"/>
          <w:numId w:val="17"/>
        </w:numPr>
        <w:ind w:hanging="0" w:start="0"/>
        <w:rPr/>
      </w:pPr>
      <w:r>
        <w:rPr/>
        <w:t>Italy: Out of scope</w:t>
      </w:r>
    </w:p>
    <w:p>
      <w:pPr>
        <w:pStyle w:val="Heading3"/>
        <w:numPr>
          <w:ilvl w:val="2"/>
          <w:numId w:val="17"/>
        </w:numPr>
        <w:ind w:hanging="0" w:start="0"/>
        <w:rPr/>
      </w:pPr>
      <w:r>
        <w:rPr/>
        <w:t>Reconcile external bank balance to General Ledger. Investigate and reconcile clearing bank account.</w:t>
      </w:r>
    </w:p>
    <w:p>
      <w:pPr>
        <w:pStyle w:val="Heading4"/>
        <w:numPr>
          <w:ilvl w:val="3"/>
          <w:numId w:val="17"/>
        </w:numPr>
        <w:ind w:hanging="0" w:start="0"/>
        <w:rPr/>
      </w:pPr>
      <w:r>
        <w:rPr/>
        <w:t>Italy: Out of scope</w:t>
      </w:r>
    </w:p>
    <w:p>
      <w:pPr>
        <w:pStyle w:val="Heading3"/>
        <w:numPr>
          <w:ilvl w:val="2"/>
          <w:numId w:val="17"/>
        </w:numPr>
        <w:ind w:hanging="0" w:start="0"/>
        <w:rPr/>
      </w:pPr>
      <w:r>
        <w:rPr/>
        <w:t>Investigate unrealized deposits.</w:t>
      </w:r>
    </w:p>
    <w:p>
      <w:pPr>
        <w:pStyle w:val="Heading4"/>
        <w:numPr>
          <w:ilvl w:val="3"/>
          <w:numId w:val="17"/>
        </w:numPr>
        <w:ind w:hanging="0" w:start="0"/>
        <w:rPr/>
      </w:pPr>
      <w:r>
        <w:rPr/>
        <w:t>Italy: Out of scope</w:t>
      </w:r>
    </w:p>
    <w:p>
      <w:pPr>
        <w:pStyle w:val="Heading3"/>
        <w:numPr>
          <w:ilvl w:val="2"/>
          <w:numId w:val="17"/>
        </w:numPr>
        <w:ind w:hanging="0" w:start="0"/>
        <w:rPr/>
      </w:pPr>
      <w:r>
        <w:rPr/>
        <w:t>Analyze and resolve reconciling variances.</w:t>
      </w:r>
    </w:p>
    <w:p>
      <w:pPr>
        <w:pStyle w:val="Heading4"/>
        <w:numPr>
          <w:ilvl w:val="3"/>
          <w:numId w:val="17"/>
        </w:numPr>
        <w:ind w:hanging="0" w:start="0"/>
        <w:rPr/>
      </w:pPr>
      <w:r>
        <w:rPr/>
        <w:t>Italy: Out of scope</w:t>
      </w:r>
    </w:p>
    <w:p>
      <w:pPr>
        <w:pStyle w:val="Heading3"/>
        <w:numPr>
          <w:ilvl w:val="2"/>
          <w:numId w:val="17"/>
        </w:numPr>
        <w:ind w:hanging="0" w:start="0"/>
        <w:rPr/>
      </w:pPr>
      <w:r>
        <w:rPr/>
        <w:t>Prepare journal entries for reconciling variances.</w:t>
      </w:r>
    </w:p>
    <w:p>
      <w:pPr>
        <w:pStyle w:val="Heading4"/>
        <w:numPr>
          <w:ilvl w:val="3"/>
          <w:numId w:val="17"/>
        </w:numPr>
        <w:ind w:hanging="0" w:start="0"/>
        <w:rPr/>
      </w:pPr>
      <w:r>
        <w:rPr/>
        <w:t>Italy: Out of scope</w:t>
      </w:r>
    </w:p>
    <w:p>
      <w:pPr>
        <w:pStyle w:val="Heading3"/>
        <w:numPr>
          <w:ilvl w:val="2"/>
          <w:numId w:val="17"/>
        </w:numPr>
        <w:ind w:hanging="0" w:start="0"/>
        <w:rPr/>
      </w:pPr>
      <w:r>
        <w:rPr/>
        <w:t>Provide explanations for large dollar reconciling variances in accordance with GlobalPharma policy and SOX guidelines documentation.</w:t>
      </w:r>
    </w:p>
    <w:p>
      <w:pPr>
        <w:pStyle w:val="Heading4"/>
        <w:numPr>
          <w:ilvl w:val="3"/>
          <w:numId w:val="17"/>
        </w:numPr>
        <w:ind w:hanging="0" w:start="0"/>
        <w:rPr/>
      </w:pPr>
      <w:r>
        <w:rPr/>
        <w:t>Italy: Out of scope</w:t>
      </w:r>
    </w:p>
    <w:p>
      <w:pPr>
        <w:pStyle w:val="Heading3"/>
        <w:numPr>
          <w:ilvl w:val="2"/>
          <w:numId w:val="17"/>
        </w:numPr>
        <w:ind w:hanging="0" w:start="0"/>
        <w:rPr/>
      </w:pPr>
      <w:r>
        <w:rPr/>
        <w:t>Obtain approval for reconciliations and correcting journal entries in accordance with GlobalPharma approval hierarchy.</w:t>
      </w:r>
    </w:p>
    <w:p>
      <w:pPr>
        <w:pStyle w:val="Heading4"/>
        <w:numPr>
          <w:ilvl w:val="3"/>
          <w:numId w:val="17"/>
        </w:numPr>
        <w:ind w:hanging="0" w:start="0"/>
        <w:rPr/>
      </w:pPr>
      <w:r>
        <w:rPr/>
        <w:t>Italy: Out of scope</w:t>
      </w:r>
    </w:p>
    <w:p>
      <w:pPr>
        <w:pStyle w:val="Heading3"/>
        <w:numPr>
          <w:ilvl w:val="2"/>
          <w:numId w:val="17"/>
        </w:numPr>
        <w:ind w:hanging="0" w:start="0"/>
        <w:rPr/>
      </w:pPr>
      <w:r>
        <w:rPr/>
        <w:t>Provide copies of account reconciliations and correcting journal entries as requested.</w:t>
      </w:r>
    </w:p>
    <w:p>
      <w:pPr>
        <w:pStyle w:val="Heading4"/>
        <w:numPr>
          <w:ilvl w:val="3"/>
          <w:numId w:val="17"/>
        </w:numPr>
        <w:ind w:hanging="0" w:start="0"/>
        <w:rPr/>
      </w:pPr>
      <w:r>
        <w:rPr/>
        <w:t>Italy: Out of scope</w:t>
      </w:r>
    </w:p>
    <w:p>
      <w:pPr>
        <w:pStyle w:val="Heading3"/>
        <w:numPr>
          <w:ilvl w:val="2"/>
          <w:numId w:val="17"/>
        </w:numPr>
        <w:ind w:hanging="0" w:start="0"/>
        <w:rPr/>
      </w:pPr>
      <w:r>
        <w:rPr/>
        <w:t>Submit a monthly reconciliation checklist with any reconciling differences that meet pre-defined criteria to GlobalPharma.</w:t>
      </w:r>
    </w:p>
    <w:p>
      <w:pPr>
        <w:pStyle w:val="Heading4"/>
        <w:numPr>
          <w:ilvl w:val="3"/>
          <w:numId w:val="17"/>
        </w:numPr>
        <w:ind w:hanging="0" w:start="0"/>
        <w:rPr/>
      </w:pPr>
      <w:r>
        <w:rPr/>
        <w:t>Italy: Out of scope</w:t>
      </w:r>
    </w:p>
    <w:p>
      <w:pPr>
        <w:pStyle w:val="Heading2"/>
        <w:numPr>
          <w:ilvl w:val="1"/>
          <w:numId w:val="17"/>
        </w:numPr>
        <w:ind w:hanging="0" w:start="0"/>
        <w:rPr/>
      </w:pPr>
      <w:r>
        <w:rPr/>
        <w:t>Inter-Company Reconciliations (services only)</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rFonts w:ascii="Arial" w:hAnsi="Arial" w:cs="Arial"/>
        </w:rPr>
      </w:pPr>
      <w:r>
        <w:rPr/>
        <w:t>Reconcile inter-company receivables and payables against sub-systems and verify eliminations on a consolidated region.</w:t>
      </w:r>
    </w:p>
    <w:p>
      <w:pPr>
        <w:pStyle w:val="Heading3"/>
        <w:numPr>
          <w:ilvl w:val="2"/>
          <w:numId w:val="17"/>
        </w:numPr>
        <w:ind w:hanging="0" w:start="0"/>
        <w:rPr>
          <w:rFonts w:ascii="Arial" w:hAnsi="Arial" w:cs="Arial"/>
        </w:rPr>
      </w:pPr>
      <w:r>
        <w:rPr/>
        <w:t xml:space="preserve">Prepare inter-company receivable and payable account reconciliations(s) report (number and type of reports applicable as indicated in </w:t>
      </w:r>
      <w:r>
        <w:rPr>
          <w:b/>
        </w:rPr>
        <w:t>Attachment 13-A</w:t>
      </w:r>
      <w:r>
        <w:rPr/>
        <w:t xml:space="preserve"> to the extent provided by the in-scope FTEs).</w:t>
      </w:r>
    </w:p>
    <w:p>
      <w:pPr>
        <w:pStyle w:val="Heading3"/>
        <w:numPr>
          <w:ilvl w:val="2"/>
          <w:numId w:val="17"/>
        </w:numPr>
        <w:ind w:hanging="1134" w:start="1134" w:end="0"/>
        <w:rPr>
          <w:rFonts w:ascii="Arial" w:hAnsi="Arial" w:cs="Arial"/>
        </w:rPr>
      </w:pPr>
      <w:r>
        <w:rPr/>
        <w:t>Analyze and resolve reconciling variances.</w:t>
      </w:r>
    </w:p>
    <w:p>
      <w:pPr>
        <w:pStyle w:val="Heading3"/>
        <w:numPr>
          <w:ilvl w:val="2"/>
          <w:numId w:val="17"/>
        </w:numPr>
        <w:ind w:hanging="0" w:start="0"/>
        <w:rPr/>
      </w:pPr>
      <w:r>
        <w:rPr/>
        <w:t>Prepare journal entries for reconciling variances based on the analysis of both customer and Clearing system issues.</w:t>
      </w:r>
    </w:p>
    <w:p>
      <w:pPr>
        <w:pStyle w:val="Heading3"/>
        <w:numPr>
          <w:ilvl w:val="2"/>
          <w:numId w:val="17"/>
        </w:numPr>
        <w:ind w:hanging="0" w:start="0"/>
        <w:rPr>
          <w:rFonts w:ascii="Arial" w:hAnsi="Arial" w:cs="Arial"/>
        </w:rPr>
      </w:pPr>
      <w:r>
        <w:rPr/>
        <w:t>Provide explanations for large dollar reconciling variances in accordance with GlobalPharma policy guidelines. GlobalPharma Clearing automated clearing should be fully resolved and matched.</w:t>
      </w:r>
    </w:p>
    <w:p>
      <w:pPr>
        <w:pStyle w:val="Heading3"/>
        <w:numPr>
          <w:ilvl w:val="2"/>
          <w:numId w:val="17"/>
        </w:numPr>
        <w:ind w:hanging="0" w:start="0"/>
        <w:rPr>
          <w:rFonts w:ascii="Arial" w:hAnsi="Arial" w:cs="Arial"/>
        </w:rPr>
      </w:pPr>
      <w:r>
        <w:rPr/>
        <w:t>Obtain approval for reconciliations and correcting journal entries in accordance with GlobalPharma approval hierarchy.</w:t>
      </w:r>
    </w:p>
    <w:p>
      <w:pPr>
        <w:pStyle w:val="Heading3"/>
        <w:numPr>
          <w:ilvl w:val="2"/>
          <w:numId w:val="17"/>
        </w:numPr>
        <w:ind w:hanging="0" w:start="0"/>
        <w:rPr>
          <w:rFonts w:ascii="Arial" w:hAnsi="Arial" w:cs="Arial"/>
        </w:rPr>
      </w:pPr>
      <w:r>
        <w:rPr/>
        <w:t>Provide copies of account reconciliations and correcting journal entries copies as requested.</w:t>
      </w:r>
    </w:p>
    <w:p>
      <w:pPr>
        <w:pStyle w:val="Formatvorlage1"/>
        <w:numPr>
          <w:ilvl w:val="0"/>
          <w:numId w:val="17"/>
        </w:numPr>
        <w:rPr/>
      </w:pPr>
      <w:bookmarkStart w:id="4" w:name="__RefHeading___Toc157771277"/>
      <w:r>
        <w:rPr/>
        <w:t>Special Processes</w:t>
      </w:r>
      <w:bookmarkEnd w:id="4"/>
      <w:r>
        <w:rPr/>
        <w:t xml:space="preserve"> </w:t>
      </w:r>
    </w:p>
    <w:p>
      <w:pPr>
        <w:pStyle w:val="Heading2"/>
        <w:numPr>
          <w:ilvl w:val="1"/>
          <w:numId w:val="17"/>
        </w:numPr>
        <w:ind w:hanging="0" w:start="0"/>
        <w:rPr>
          <w:rFonts w:ascii="Arial" w:hAnsi="Arial" w:cs="Times New Roman"/>
          <w:bCs/>
        </w:rPr>
      </w:pPr>
      <w:r>
        <w:rPr/>
        <w:t>System &amp; Process Maintenance</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rFonts w:ascii="Arial" w:hAnsi="Arial" w:cs="Arial"/>
        </w:rPr>
      </w:pPr>
      <w:r>
        <w:rPr/>
        <w:t>Maintain and update system chart of accounts within SAP and validate with GlobalPharma and local tax accountant according to GlobalPharma policies and procedures.</w:t>
      </w:r>
    </w:p>
    <w:p>
      <w:pPr>
        <w:pStyle w:val="Heading3"/>
        <w:numPr>
          <w:ilvl w:val="2"/>
          <w:numId w:val="17"/>
        </w:numPr>
        <w:ind w:hanging="0" w:start="0"/>
        <w:rPr/>
      </w:pPr>
      <w:r>
        <w:rPr/>
        <w:t>Establish month end checklist including standard journals and accruals based on existing GlobalPharma checklist and in agreement with GlobalPharma.</w:t>
      </w:r>
    </w:p>
    <w:p>
      <w:pPr>
        <w:pStyle w:val="Heading3"/>
        <w:numPr>
          <w:ilvl w:val="2"/>
          <w:numId w:val="17"/>
        </w:numPr>
        <w:ind w:hanging="0" w:start="0"/>
        <w:rPr/>
      </w:pPr>
      <w:r>
        <w:rPr/>
        <w:t>Upload Annual budget and Latest Estimate (LE) forecasts into GL if required by GlobalPharma.</w:t>
      </w:r>
    </w:p>
    <w:p>
      <w:pPr>
        <w:pStyle w:val="Heading3"/>
        <w:numPr>
          <w:ilvl w:val="2"/>
          <w:numId w:val="17"/>
        </w:numPr>
        <w:ind w:hanging="0" w:start="0"/>
        <w:rPr/>
      </w:pPr>
      <w:r>
        <w:rPr/>
        <w:t>Train end-users on general ledger journal entries, reporting requirements and other maintenance processes.</w:t>
      </w:r>
    </w:p>
    <w:p>
      <w:pPr>
        <w:pStyle w:val="Heading4"/>
        <w:numPr>
          <w:ilvl w:val="3"/>
          <w:numId w:val="17"/>
        </w:numPr>
        <w:ind w:hanging="0" w:start="0"/>
        <w:rPr/>
      </w:pPr>
      <w:r>
        <w:rPr/>
        <w:t>US: Out of scope</w:t>
      </w:r>
    </w:p>
    <w:p>
      <w:pPr>
        <w:pStyle w:val="Heading2"/>
        <w:numPr>
          <w:ilvl w:val="1"/>
          <w:numId w:val="17"/>
        </w:numPr>
        <w:ind w:hanging="0" w:start="0"/>
        <w:rPr/>
      </w:pPr>
      <w:r>
        <w:rPr/>
        <w:t>Master File Maintenance</w:t>
      </w:r>
    </w:p>
    <w:p>
      <w:pPr>
        <w:pStyle w:val="Heading3"/>
        <w:numPr>
          <w:ilvl w:val="2"/>
          <w:numId w:val="17"/>
        </w:numPr>
        <w:ind w:hanging="0" w:start="0"/>
        <w:rPr/>
      </w:pPr>
      <w:r>
        <w:rPr/>
        <w:t>The Service Providers responsibilities include, but are not limited to:</w:t>
      </w:r>
    </w:p>
    <w:p>
      <w:pPr>
        <w:pStyle w:val="Heading3"/>
        <w:numPr>
          <w:ilvl w:val="2"/>
          <w:numId w:val="17"/>
        </w:numPr>
        <w:ind w:hanging="0" w:start="0"/>
        <w:rPr/>
      </w:pPr>
      <w:r>
        <w:rPr/>
        <w:t>Receive all requests for updates to master file data e.g. internal orders, projects, cost centers, profit centers,, chart of accounts, company codes, material master {finance views in SAP}.</w:t>
      </w:r>
    </w:p>
    <w:p>
      <w:pPr>
        <w:pStyle w:val="Heading3"/>
        <w:numPr>
          <w:ilvl w:val="2"/>
          <w:numId w:val="17"/>
        </w:numPr>
        <w:ind w:hanging="0" w:start="0"/>
        <w:rPr>
          <w:rFonts w:ascii="Arial" w:hAnsi="Arial" w:cs="Arial"/>
        </w:rPr>
      </w:pPr>
      <w:r>
        <w:rPr/>
        <w:t>Ensure completeness and validity of requests. Submit requests for master file updates to GlobalPharma for approval in accordance with GlobalPharma approval hierarchy.</w:t>
      </w:r>
    </w:p>
    <w:p>
      <w:pPr>
        <w:pStyle w:val="Heading3"/>
        <w:numPr>
          <w:ilvl w:val="2"/>
          <w:numId w:val="17"/>
        </w:numPr>
        <w:ind w:hanging="0" w:start="0"/>
        <w:rPr/>
      </w:pPr>
      <w:r>
        <w:rPr/>
        <w:t>Process approved changes to master file data.</w:t>
      </w:r>
    </w:p>
    <w:p>
      <w:pPr>
        <w:pStyle w:val="Heading3"/>
        <w:numPr>
          <w:ilvl w:val="2"/>
          <w:numId w:val="17"/>
        </w:numPr>
        <w:ind w:hanging="0" w:start="0"/>
        <w:rPr/>
      </w:pPr>
      <w:r>
        <w:rPr/>
        <w:t>Update authority data base for changes to FI / CO master data changes &amp; scanned signatures</w:t>
      </w:r>
    </w:p>
    <w:p>
      <w:pPr>
        <w:pStyle w:val="Heading3"/>
        <w:numPr>
          <w:ilvl w:val="2"/>
          <w:numId w:val="17"/>
        </w:numPr>
        <w:ind w:hanging="0" w:start="0"/>
        <w:rPr>
          <w:rFonts w:ascii="Arial" w:hAnsi="Arial" w:cs="Arial"/>
        </w:rPr>
      </w:pPr>
      <w:r>
        <w:rPr/>
        <w:t>Analyze master file data and provide recommendations to GlobalPharma when master file data is obsolete and should be removed.</w:t>
      </w:r>
    </w:p>
    <w:p>
      <w:pPr>
        <w:pStyle w:val="Heading3"/>
        <w:numPr>
          <w:ilvl w:val="2"/>
          <w:numId w:val="17"/>
        </w:numPr>
        <w:ind w:hanging="0" w:start="0"/>
        <w:rPr>
          <w:rFonts w:ascii="Arial" w:hAnsi="Arial" w:cs="Arial"/>
        </w:rPr>
      </w:pPr>
      <w:r>
        <w:rPr/>
        <w:t>Follow up on overdue projects to keep master data up to date</w:t>
      </w:r>
    </w:p>
    <w:p>
      <w:pPr>
        <w:pStyle w:val="Heading2"/>
        <w:numPr>
          <w:ilvl w:val="1"/>
          <w:numId w:val="17"/>
        </w:numPr>
        <w:ind w:hanging="0" w:start="0"/>
        <w:rPr/>
      </w:pPr>
      <w:r>
        <w:rPr/>
        <w:t>Other Accounting Support Activities</w:t>
      </w:r>
    </w:p>
    <w:p>
      <w:pPr>
        <w:pStyle w:val="Heading3"/>
        <w:numPr>
          <w:ilvl w:val="2"/>
          <w:numId w:val="17"/>
        </w:numPr>
        <w:ind w:hanging="0" w:start="0"/>
        <w:rPr>
          <w:rFonts w:ascii="Arial" w:hAnsi="Arial" w:cs="Arial"/>
        </w:rPr>
      </w:pPr>
      <w:r>
        <w:rPr/>
        <w:t>The Service Provider’s responsibilities include, but are not limited to:</w:t>
      </w:r>
    </w:p>
    <w:p>
      <w:pPr>
        <w:pStyle w:val="Heading3"/>
        <w:numPr>
          <w:ilvl w:val="2"/>
          <w:numId w:val="17"/>
        </w:numPr>
        <w:ind w:hanging="0" w:start="0"/>
        <w:rPr/>
      </w:pPr>
      <w:r>
        <w:rPr/>
        <w:t>Support GlobalPharma to train users on new tools and new accounting procedures. Strategizing and planning will remain with GlobalPharma. Steps to perform the training will be agreed between GlobalPharma and the Service Provider. The Service Provider will perform the training either through web training or in person if required.</w:t>
      </w:r>
    </w:p>
    <w:p>
      <w:pPr>
        <w:pStyle w:val="Heading4"/>
        <w:numPr>
          <w:ilvl w:val="3"/>
          <w:numId w:val="17"/>
        </w:numPr>
        <w:ind w:hanging="0" w:start="0"/>
        <w:rPr/>
      </w:pPr>
      <w:r>
        <w:rPr/>
        <w:t>US: Out of scope</w:t>
      </w:r>
    </w:p>
    <w:p>
      <w:pPr>
        <w:pStyle w:val="Heading3"/>
        <w:numPr>
          <w:ilvl w:val="2"/>
          <w:numId w:val="17"/>
        </w:numPr>
        <w:ind w:hanging="0" w:start="0"/>
        <w:rPr/>
      </w:pPr>
      <w:r>
        <w:rPr/>
        <w:t>Standardize processes after Service Provider site integrations/migrations to obtain regional and/or global consistency in performance and service to GlobalPharma.</w:t>
      </w:r>
    </w:p>
    <w:p>
      <w:pPr>
        <w:pStyle w:val="Heading4"/>
        <w:numPr>
          <w:ilvl w:val="3"/>
          <w:numId w:val="17"/>
        </w:numPr>
        <w:ind w:hanging="0" w:start="0"/>
        <w:rPr/>
      </w:pPr>
      <w:r>
        <w:rPr/>
        <w:t>US: Out of scope</w:t>
      </w:r>
    </w:p>
    <w:p>
      <w:pPr>
        <w:pStyle w:val="Heading3"/>
        <w:numPr>
          <w:ilvl w:val="2"/>
          <w:numId w:val="17"/>
        </w:numPr>
        <w:ind w:hanging="0" w:start="0"/>
        <w:rPr/>
      </w:pPr>
      <w:r>
        <w:rPr/>
        <w:t>Support GlobalPharma research on local and international accounting issues. Support GlobalPharma on new pronouncements and consult with GlobalPharma representatives on the application of any new issues or pronouncements.</w:t>
      </w:r>
    </w:p>
    <w:p>
      <w:pPr>
        <w:pStyle w:val="Heading4"/>
        <w:numPr>
          <w:ilvl w:val="3"/>
          <w:numId w:val="17"/>
        </w:numPr>
        <w:ind w:hanging="0" w:start="0"/>
        <w:rPr/>
      </w:pPr>
      <w:r>
        <w:rPr/>
        <w:t>US: Out of scope</w:t>
      </w:r>
    </w:p>
    <w:p>
      <w:pPr>
        <w:pStyle w:val="Formatvorlage1"/>
        <w:numPr>
          <w:ilvl w:val="0"/>
          <w:numId w:val="17"/>
        </w:numPr>
        <w:rPr/>
      </w:pPr>
      <w:bookmarkStart w:id="5" w:name="__RefHeading___Toc157771278"/>
      <w:bookmarkEnd w:id="5"/>
      <w:r>
        <w:rPr/>
        <w:t>rEPORTING and RECORDS RETENTION</w:t>
      </w:r>
    </w:p>
    <w:p>
      <w:pPr>
        <w:pStyle w:val="Heading2"/>
        <w:numPr>
          <w:ilvl w:val="1"/>
          <w:numId w:val="17"/>
        </w:numPr>
        <w:ind w:hanging="0" w:start="0"/>
        <w:rPr/>
      </w:pPr>
      <w:r>
        <w:rPr/>
        <w:t>Reporting</w:t>
      </w:r>
    </w:p>
    <w:p>
      <w:pPr>
        <w:pStyle w:val="Heading3"/>
        <w:numPr>
          <w:ilvl w:val="2"/>
          <w:numId w:val="17"/>
        </w:numPr>
        <w:ind w:hanging="0" w:start="0"/>
        <w:rPr>
          <w:rFonts w:ascii="Arial" w:hAnsi="Arial" w:cs="Arial"/>
          <w:szCs w:val="22"/>
        </w:rPr>
      </w:pPr>
      <w:r>
        <w:rPr/>
        <w:t>The Service Providers responsibilities include, but are not limited to:</w:t>
      </w:r>
    </w:p>
    <w:p>
      <w:pPr>
        <w:pStyle w:val="Heading3"/>
        <w:numPr>
          <w:ilvl w:val="2"/>
          <w:numId w:val="17"/>
        </w:numPr>
        <w:ind w:hanging="0" w:start="0"/>
        <w:rPr/>
      </w:pPr>
      <w:r>
        <w:rPr/>
        <w:t xml:space="preserve">Perform standard reporting requirements as defined in </w:t>
      </w:r>
      <w:r>
        <w:rPr>
          <w:b/>
        </w:rPr>
        <w:t>Attachment 13-A</w:t>
      </w:r>
      <w:r>
        <w:rPr/>
        <w:t xml:space="preserve"> including local statutory and tax reports.</w:t>
      </w:r>
    </w:p>
    <w:p>
      <w:pPr>
        <w:pStyle w:val="Heading4"/>
        <w:numPr>
          <w:ilvl w:val="3"/>
          <w:numId w:val="17"/>
        </w:numPr>
        <w:ind w:hanging="0" w:start="0"/>
        <w:rPr/>
      </w:pPr>
      <w:r>
        <w:rPr/>
        <w:t>US: Out of scope for FCRS</w:t>
      </w:r>
    </w:p>
    <w:p>
      <w:pPr>
        <w:pStyle w:val="Heading4"/>
        <w:numPr>
          <w:ilvl w:val="3"/>
          <w:numId w:val="17"/>
        </w:numPr>
        <w:ind w:hanging="0" w:start="0"/>
        <w:rPr/>
      </w:pPr>
      <w:r>
        <w:rPr/>
        <w:t>Zurich: Out of scope for NPMR and FCRS</w:t>
      </w:r>
    </w:p>
    <w:p>
      <w:pPr>
        <w:pStyle w:val="Heading3"/>
        <w:numPr>
          <w:ilvl w:val="2"/>
          <w:numId w:val="17"/>
        </w:numPr>
        <w:ind w:hanging="0" w:start="0"/>
        <w:rPr>
          <w:szCs w:val="22"/>
        </w:rPr>
      </w:pPr>
      <w:r>
        <w:rPr/>
        <w:t>Provide ad-hoc reports as requested. If required by temporary high amount of ad-hoc reporting (e.g. in audit periods) GlobalPharma will prioritize between ad-hoc reporting and other services.</w:t>
      </w:r>
    </w:p>
    <w:p>
      <w:pPr>
        <w:pStyle w:val="Heading4"/>
        <w:numPr>
          <w:ilvl w:val="3"/>
          <w:numId w:val="17"/>
        </w:numPr>
        <w:ind w:hanging="0" w:start="0"/>
        <w:rPr/>
      </w:pPr>
      <w:r>
        <w:rPr/>
        <w:t>US: Out of scope</w:t>
      </w:r>
    </w:p>
    <w:p>
      <w:pPr>
        <w:pStyle w:val="Heading2"/>
        <w:numPr>
          <w:ilvl w:val="1"/>
          <w:numId w:val="17"/>
        </w:numPr>
        <w:ind w:hanging="0" w:start="0"/>
        <w:rPr/>
      </w:pPr>
      <w:r>
        <w:rPr/>
        <w:t>Records Retention</w:t>
      </w:r>
    </w:p>
    <w:p>
      <w:pPr>
        <w:pStyle w:val="Heading3"/>
        <w:numPr>
          <w:ilvl w:val="2"/>
          <w:numId w:val="17"/>
        </w:numPr>
        <w:ind w:hanging="0" w:start="0"/>
        <w:rPr>
          <w:szCs w:val="20"/>
        </w:rPr>
      </w:pPr>
      <w:r>
        <w:rPr/>
        <w:t>The Service Provider’s responsibilities include, but are not limited to:</w:t>
      </w:r>
    </w:p>
    <w:p>
      <w:pPr>
        <w:pStyle w:val="Heading3"/>
        <w:numPr>
          <w:ilvl w:val="2"/>
          <w:numId w:val="17"/>
        </w:numPr>
        <w:ind w:hanging="0" w:start="0"/>
        <w:rPr/>
      </w:pPr>
      <w:r>
        <w:rPr/>
        <w:t>Retain source documentation and reports: hard copies, CD ROM, fiche, film, imaging in accordance with GlobalPharma policies and procedures.</w:t>
      </w:r>
    </w:p>
    <w:p>
      <w:pPr>
        <w:pStyle w:val="Heading4"/>
        <w:numPr>
          <w:ilvl w:val="3"/>
          <w:numId w:val="17"/>
        </w:numPr>
        <w:ind w:hanging="0" w:start="0"/>
        <w:rPr/>
      </w:pPr>
      <w:r>
        <w:rPr/>
        <w:t>US: Out of scope</w:t>
      </w:r>
    </w:p>
    <w:p>
      <w:pPr>
        <w:pStyle w:val="Heading3"/>
        <w:numPr>
          <w:ilvl w:val="2"/>
          <w:numId w:val="17"/>
        </w:numPr>
        <w:ind w:hanging="0" w:start="0"/>
        <w:rPr/>
      </w:pPr>
      <w:r>
        <w:rPr/>
        <w:t>Provide scanned document images for source documentation through an electronic imaging system for processes in scope.</w:t>
      </w:r>
    </w:p>
    <w:p>
      <w:pPr>
        <w:pStyle w:val="Heading4"/>
        <w:numPr>
          <w:ilvl w:val="3"/>
          <w:numId w:val="17"/>
        </w:numPr>
        <w:ind w:hanging="0" w:start="0"/>
        <w:rPr/>
      </w:pPr>
      <w:r>
        <w:rPr/>
        <w:t>US: Out of scope</w:t>
      </w:r>
    </w:p>
    <w:p>
      <w:pPr>
        <w:pStyle w:val="Heading3"/>
        <w:numPr>
          <w:ilvl w:val="2"/>
          <w:numId w:val="17"/>
        </w:numPr>
        <w:ind w:hanging="0" w:start="0"/>
        <w:rPr>
          <w:szCs w:val="22"/>
        </w:rPr>
      </w:pPr>
      <w:r>
        <w:rPr>
          <w:szCs w:val="22"/>
        </w:rPr>
        <w:t>Retrieve archived reports and documentation as requested by GlobalPharma.</w:t>
      </w:r>
    </w:p>
    <w:p>
      <w:pPr>
        <w:pStyle w:val="Heading4"/>
        <w:numPr>
          <w:ilvl w:val="3"/>
          <w:numId w:val="17"/>
        </w:numPr>
        <w:ind w:hanging="0" w:start="0"/>
        <w:rPr/>
      </w:pPr>
      <w:r>
        <w:rPr/>
        <w:t>US: Out of scope</w:t>
      </w:r>
    </w:p>
    <w:p>
      <w:pPr>
        <w:pStyle w:val="Heading3"/>
        <w:numPr>
          <w:ilvl w:val="2"/>
          <w:numId w:val="17"/>
        </w:numPr>
        <w:ind w:hanging="0" w:start="0"/>
        <w:rPr/>
      </w:pPr>
      <w:r>
        <w:rPr/>
        <w:t>Maintain documentation in accordance with GlobalPharma policies and procedures.</w:t>
      </w:r>
    </w:p>
    <w:p>
      <w:pPr>
        <w:pStyle w:val="Heading4"/>
        <w:numPr>
          <w:ilvl w:val="3"/>
          <w:numId w:val="17"/>
        </w:numPr>
        <w:ind w:hanging="0" w:start="0"/>
        <w:rPr/>
      </w:pPr>
      <w:r>
        <w:rPr/>
        <w:t>US: Out of scope</w:t>
      </w:r>
    </w:p>
    <w:p>
      <w:pPr>
        <w:pStyle w:val="Heading3"/>
        <w:numPr>
          <w:ilvl w:val="2"/>
          <w:numId w:val="17"/>
        </w:numPr>
        <w:ind w:hanging="0" w:start="0"/>
        <w:rPr/>
      </w:pPr>
      <w:r>
        <w:rPr/>
        <w:t>Dispose of documentation in accordance with GlobalPharma policies and procedures.</w:t>
      </w:r>
    </w:p>
    <w:p>
      <w:pPr>
        <w:pStyle w:val="Heading4"/>
        <w:numPr>
          <w:ilvl w:val="3"/>
          <w:numId w:val="17"/>
        </w:numPr>
        <w:ind w:hanging="0" w:start="0"/>
        <w:rPr/>
      </w:pPr>
      <w:r>
        <w:rPr/>
        <w:t>US: Out of scope</w:t>
      </w:r>
    </w:p>
    <w:p>
      <w:pPr>
        <w:pStyle w:val="Formatvorlage1"/>
        <w:numPr>
          <w:ilvl w:val="0"/>
          <w:numId w:val="17"/>
        </w:numPr>
        <w:rPr/>
      </w:pPr>
      <w:bookmarkStart w:id="6" w:name="__RefHeading___Toc157771279"/>
      <w:bookmarkEnd w:id="6"/>
      <w:r>
        <w:rPr/>
        <w:t>Third Party Material</w:t>
      </w:r>
    </w:p>
    <w:p>
      <w:pPr>
        <w:pStyle w:val="Heading2"/>
        <w:numPr>
          <w:ilvl w:val="1"/>
          <w:numId w:val="17"/>
        </w:numPr>
        <w:ind w:hanging="0" w:start="0"/>
        <w:rPr/>
      </w:pPr>
      <w:r>
        <w:rPr/>
        <w:t>The Service Provider</w:t>
      </w:r>
      <w:r>
        <w:rPr>
          <w:rFonts w:cs="Times New Roman" w:ascii="Times New Roman" w:hAnsi="Times New Roman"/>
        </w:rPr>
        <w:t>’</w:t>
      </w:r>
      <w:r>
        <w:rPr/>
        <w:t>s responsibilities include, but are not limited to</w:t>
      </w:r>
    </w:p>
    <w:p>
      <w:pPr>
        <w:pStyle w:val="Heading2"/>
        <w:numPr>
          <w:ilvl w:val="1"/>
          <w:numId w:val="17"/>
        </w:numPr>
        <w:ind w:hanging="0" w:start="0"/>
        <w:rPr/>
      </w:pPr>
      <w:r>
        <w:rPr/>
        <w:t>Update with the assistance and the approval of GlobalPharma at least at every 6th (sixth) month of the Term of the Agreement the list of third party material in Exhibit 24 (Third Party Materials).</w:t>
      </w:r>
    </w:p>
    <w:p>
      <w:pPr>
        <w:pStyle w:val="Formatvorlage1"/>
        <w:numPr>
          <w:ilvl w:val="0"/>
          <w:numId w:val="17"/>
        </w:numPr>
        <w:rPr/>
      </w:pPr>
      <w:bookmarkStart w:id="7" w:name="__RefHeading___Toc157771280"/>
      <w:bookmarkEnd w:id="7"/>
      <w:r>
        <w:rPr/>
        <w:t>IP Rights Listing</w:t>
      </w:r>
    </w:p>
    <w:p>
      <w:pPr>
        <w:pStyle w:val="Normal"/>
        <w:rPr/>
      </w:pPr>
      <w:r>
        <w:rPr>
          <w:lang w:val="en-GB"/>
        </w:rPr>
        <w:t xml:space="preserve">The Parties will list below, as updated periodically </w:t>
      </w:r>
      <w:r>
        <w:rPr/>
        <w:t>at least at every 6</w:t>
      </w:r>
      <w:r>
        <w:rPr>
          <w:vertAlign w:val="superscript"/>
        </w:rPr>
        <w:t>th</w:t>
      </w:r>
      <w:r>
        <w:rPr/>
        <w:t xml:space="preserve"> (sixth) month </w:t>
      </w:r>
      <w:r>
        <w:rPr>
          <w:lang w:val="en-GB"/>
        </w:rPr>
        <w:t>of the Term of The Agreement, Materials developed under The Agreement as described in clause 7.3.1 of the MSA:</w:t>
      </w:r>
    </w:p>
    <w:p>
      <w:pPr>
        <w:pStyle w:val="Heading2"/>
        <w:numPr>
          <w:ilvl w:val="1"/>
          <w:numId w:val="17"/>
        </w:numPr>
        <w:ind w:hanging="0" w:start="0"/>
        <w:rPr/>
      </w:pPr>
      <w:r>
        <w:rPr>
          <w:lang w:val="en-GB"/>
        </w:rPr>
        <w:t xml:space="preserve">Type I </w:t>
      </w:r>
      <w:r>
        <w:rPr/>
        <w:t>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III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Heading2"/>
        <w:numPr>
          <w:ilvl w:val="1"/>
          <w:numId w:val="17"/>
        </w:numPr>
        <w:ind w:hanging="0" w:start="0"/>
        <w:rPr/>
      </w:pPr>
      <w:r>
        <w:rPr>
          <w:lang w:val="en-GB"/>
        </w:rPr>
        <w:t>Type IV Materials</w:t>
      </w:r>
    </w:p>
    <w:tbl>
      <w:tblPr>
        <w:tblW w:w="9211" w:type="dxa"/>
        <w:jc w:val="start"/>
        <w:tblInd w:w="0" w:type="dxa"/>
        <w:tblLayout w:type="fixed"/>
        <w:tblCellMar>
          <w:top w:w="0" w:type="dxa"/>
          <w:start w:w="108" w:type="dxa"/>
          <w:bottom w:w="0" w:type="dxa"/>
          <w:end w:w="108" w:type="dxa"/>
        </w:tblCellMar>
      </w:tblPr>
      <w:tblGrid>
        <w:gridCol w:w="1668"/>
        <w:gridCol w:w="7543"/>
      </w:tblGrid>
      <w:tr>
        <w:trPr/>
        <w:tc>
          <w:tcPr>
            <w:tcW w:w="1668"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Title / Name</w:t>
            </w:r>
          </w:p>
        </w:tc>
        <w:tc>
          <w:tcPr>
            <w:tcW w:w="7543" w:type="dxa"/>
            <w:tcBorders>
              <w:top w:val="single" w:sz="4" w:space="0" w:color="000000"/>
              <w:start w:val="single" w:sz="4" w:space="0" w:color="000000"/>
              <w:bottom w:val="single" w:sz="4" w:space="0" w:color="000000"/>
              <w:end w:val="single" w:sz="4" w:space="0" w:color="000000"/>
            </w:tcBorders>
          </w:tcPr>
          <w:p>
            <w:pPr>
              <w:pStyle w:val="Normal"/>
              <w:widowControl/>
              <w:bidi w:val="0"/>
              <w:spacing w:before="120" w:after="120"/>
              <w:rPr/>
            </w:pPr>
            <w:r>
              <w:rPr/>
              <w:t>Description</w:t>
            </w:r>
          </w:p>
        </w:tc>
      </w:tr>
      <w:tr>
        <w:trPr/>
        <w:tc>
          <w:tcPr>
            <w:tcW w:w="1668"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c>
          <w:tcPr>
            <w:tcW w:w="7543" w:type="dxa"/>
            <w:tcBorders>
              <w:top w:val="single" w:sz="4" w:space="0" w:color="000000"/>
              <w:start w:val="single" w:sz="4" w:space="0" w:color="000000"/>
              <w:bottom w:val="single" w:sz="4" w:space="0" w:color="000000"/>
              <w:end w:val="single" w:sz="4" w:space="0" w:color="000000"/>
            </w:tcBorders>
          </w:tcPr>
          <w:p>
            <w:pPr>
              <w:pStyle w:val="Normal"/>
              <w:snapToGrid w:val="false"/>
              <w:spacing w:before="120" w:after="120"/>
              <w:rPr/>
            </w:pPr>
            <w:r>
              <w:rPr/>
            </w:r>
          </w:p>
        </w:tc>
      </w:tr>
    </w:tbl>
    <w:p>
      <w:pPr>
        <w:pStyle w:val="Normal"/>
        <w:rPr/>
      </w:pPr>
      <w:r>
        <w:rPr/>
      </w:r>
    </w:p>
    <w:p>
      <w:pPr>
        <w:pStyle w:val="TableText"/>
        <w:rPr/>
      </w:pPr>
      <w:r>
        <w:rPr/>
      </w:r>
    </w:p>
    <w:p>
      <w:pPr>
        <w:pStyle w:val="TableText"/>
        <w:rPr/>
      </w:pPr>
      <w:r>
        <w:rPr/>
      </w:r>
    </w:p>
    <w:p>
      <w:pPr>
        <w:pStyle w:val="TableText"/>
        <w:spacing w:before="120" w:after="120"/>
        <w:rPr/>
      </w:pPr>
      <w:r>
        <w:rPr/>
      </w:r>
    </w:p>
    <w:sectPr>
      <w:headerReference w:type="default" r:id="rId2"/>
      <w:footerReference w:type="default" r:id="rId3"/>
      <w:type w:val="nextPage"/>
      <w:pgSz w:w="12240" w:h="15840"/>
      <w:pgMar w:left="862" w:right="862" w:gutter="0" w:header="720" w:top="2516" w:footer="329" w:bottom="1418"/>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Bold">
    <w:altName w:val="Times New Roman"/>
    <w:charset w:val="00" w:characterSet="windows-1252"/>
    <w:family w:val="roman"/>
    <w:pitch w:val="default"/>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Verdan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120" w:after="120"/>
      <w:jc w:val="center"/>
      <w:rPr>
        <w:rFonts w:ascii="Arial" w:hAnsi="Arial" w:cs="Arial"/>
        <w:sz w:val="20"/>
        <w:szCs w:val="22"/>
      </w:rPr>
    </w:pPr>
    <w:r>
      <w:rPr>
        <w:rFonts w:cs="Arial" w:ascii="Arial" w:hAnsi="Arial"/>
        <w:sz w:val="20"/>
        <w:szCs w:val="22"/>
      </w:rPr>
      <w:t>GlobalPharma and ServicePro Confidential</w:t>
    </w:r>
  </w:p>
  <w:p>
    <w:pPr>
      <w:pStyle w:val="Footer"/>
      <w:spacing w:before="120" w:after="120"/>
      <w:jc w:val="center"/>
      <w:rPr>
        <w:rFonts w:ascii="Arial" w:hAnsi="Arial" w:cs="Arial"/>
        <w:sz w:val="20"/>
        <w:szCs w:val="22"/>
      </w:rPr>
    </w:pPr>
    <w:r>
      <w:rPr>
        <w:rFonts w:cs="Arial" w:ascii="Arial" w:hAnsi="Arial"/>
        <w:sz w:val="20"/>
        <w:szCs w:val="22"/>
      </w:rPr>
      <w:fldChar w:fldCharType="begin"/>
    </w:r>
    <w:r>
      <w:rPr>
        <w:sz w:val="20"/>
        <w:szCs w:val="22"/>
        <w:rFonts w:cs="Arial" w:ascii="Arial" w:hAnsi="Arial"/>
      </w:rPr>
      <w:instrText xml:space="preserve"> PAGE </w:instrText>
    </w:r>
    <w:r>
      <w:rPr>
        <w:sz w:val="20"/>
        <w:szCs w:val="22"/>
        <w:rFonts w:cs="Arial" w:ascii="Arial" w:hAnsi="Arial"/>
      </w:rPr>
      <w:fldChar w:fldCharType="separate"/>
    </w:r>
    <w:r>
      <w:rPr>
        <w:sz w:val="20"/>
        <w:szCs w:val="22"/>
        <w:rFonts w:cs="Arial" w:ascii="Arial" w:hAnsi="Arial"/>
      </w:rPr>
      <w:t>16</w:t>
    </w:r>
    <w:r>
      <w:rPr>
        <w:sz w:val="20"/>
        <w:szCs w:val="22"/>
        <w:rFonts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120" w:after="120"/>
      <w:rPr/>
    </w:pPr>
    <w:r>
      <w:rPr/>
      <w:drawing>
        <wp:anchor behindDoc="1" distT="0" distB="0" distL="114935" distR="114935" simplePos="0" locked="0" layoutInCell="1" allowOverlap="1" relativeHeight="33">
          <wp:simplePos x="0" y="0"/>
          <wp:positionH relativeFrom="column">
            <wp:posOffset>7886700</wp:posOffset>
          </wp:positionH>
          <wp:positionV relativeFrom="paragraph">
            <wp:posOffset>45720</wp:posOffset>
          </wp:positionV>
          <wp:extent cx="1028700" cy="385445"/>
          <wp:effectExtent l="0" t="0" r="0" b="0"/>
          <wp:wrapNone/>
          <wp:docPr id="1"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 descr="" title=""/>
                  <pic:cNvPicPr>
                    <a:picLocks noChangeAspect="1" noChangeArrowheads="1"/>
                  </pic:cNvPicPr>
                </pic:nvPicPr>
                <pic:blipFill>
                  <a:blip r:embed="rId1"/>
                  <a:srcRect l="-36" t="-93" r="-36" b="-93"/>
                  <a:stretch>
                    <a:fillRect/>
                  </a:stretch>
                </pic:blipFill>
                <pic:spPr bwMode="auto">
                  <a:xfrm>
                    <a:off x="0" y="0"/>
                    <a:ext cx="1028700" cy="385445"/>
                  </a:xfrm>
                  <a:prstGeom prst="rect">
                    <a:avLst/>
                  </a:prstGeom>
                  <a:noFill/>
                </pic:spPr>
              </pic:pic>
            </a:graphicData>
          </a:graphic>
        </wp:anchor>
      </w:drawing>
      <w:drawing>
        <wp:anchor behindDoc="1" distT="0" distB="0" distL="114935" distR="114935" simplePos="0" locked="0" layoutInCell="1" allowOverlap="1" relativeHeight="49">
          <wp:simplePos x="0" y="0"/>
          <wp:positionH relativeFrom="column">
            <wp:posOffset>5676900</wp:posOffset>
          </wp:positionH>
          <wp:positionV relativeFrom="paragraph">
            <wp:posOffset>-40640</wp:posOffset>
          </wp:positionV>
          <wp:extent cx="1028700" cy="385445"/>
          <wp:effectExtent l="0" t="0" r="0" b="0"/>
          <wp:wrapNone/>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2"/>
                  <a:srcRect l="-36" t="-93" r="-36" b="-93"/>
                  <a:stretch>
                    <a:fillRect/>
                  </a:stretch>
                </pic:blipFill>
                <pic:spPr bwMode="auto">
                  <a:xfrm>
                    <a:off x="0" y="0"/>
                    <a:ext cx="1028700" cy="385445"/>
                  </a:xfrm>
                  <a:prstGeom prst="rect">
                    <a:avLst/>
                  </a:prstGeom>
                  <a:noFill/>
                </pic:spPr>
              </pic:pic>
            </a:graphicData>
          </a:graphic>
        </wp:anchor>
      </w:drawing>
      <w:drawing>
        <wp:inline distT="0" distB="0" distL="0" distR="0">
          <wp:extent cx="1371600" cy="347980"/>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3"/>
                  <a:srcRect l="-24" t="-104" r="-24" b="-104"/>
                  <a:stretch>
                    <a:fillRect/>
                  </a:stretch>
                </pic:blipFill>
                <pic:spPr bwMode="auto">
                  <a:xfrm>
                    <a:off x="0" y="0"/>
                    <a:ext cx="1371600" cy="347980"/>
                  </a:xfrm>
                  <a:prstGeom prst="rect">
                    <a:avLst/>
                  </a:prstGeom>
                  <a:noFill/>
                </pic:spPr>
              </pic:pic>
            </a:graphicData>
          </a:graphic>
        </wp:inline>
      </w:drawing>
    </w:r>
  </w:p>
  <w:p>
    <w:pPr>
      <w:pStyle w:val="Header"/>
      <w:pBdr>
        <w:bottom w:val="single" w:sz="4" w:space="1" w:color="000000"/>
      </w:pBdr>
      <w:tabs>
        <w:tab w:val="clear" w:pos="14400"/>
        <w:tab w:val="right" w:pos="9360" w:leader="none"/>
        <w:tab w:val="right" w:pos="14760" w:leader="none"/>
      </w:tabs>
      <w:spacing w:before="120" w:after="120"/>
      <w:rPr/>
    </w:pPr>
    <w:r>
      <w:rPr/>
      <w:tab/>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pStyle w:val="Heading5"/>
      <w:numFmt w:val="none"/>
      <w:suff w:val="nothing"/>
      <w:lvlText w:val=""/>
      <w:lvlJc w:val="start"/>
      <w:pPr>
        <w:tabs>
          <w:tab w:val="num" w:pos="0"/>
        </w:tabs>
        <w:ind w:start="0" w:hanging="0"/>
      </w:pPr>
    </w:lvl>
    <w:lvl w:ilvl="5">
      <w:start w:val="1"/>
      <w:pStyle w:val="Heading6"/>
      <w:numFmt w:val="none"/>
      <w:suff w:val="nothing"/>
      <w:lvlText w:val=""/>
      <w:lvlJc w:val="start"/>
      <w:pPr>
        <w:tabs>
          <w:tab w:val="num" w:pos="0"/>
        </w:tabs>
        <w:ind w:start="0" w:hanging="0"/>
      </w:pPr>
    </w:lvl>
    <w:lvl w:ilvl="6">
      <w:start w:val="1"/>
      <w:pStyle w:val="Heading7"/>
      <w:numFmt w:val="none"/>
      <w:suff w:val="nothing"/>
      <w:lvlText w:val=""/>
      <w:lvlJc w:val="start"/>
      <w:pPr>
        <w:tabs>
          <w:tab w:val="num" w:pos="0"/>
        </w:tabs>
        <w:ind w:start="0" w:hanging="0"/>
      </w:pPr>
    </w:lvl>
    <w:lvl w:ilvl="7">
      <w:start w:val="1"/>
      <w:pStyle w:val="Heading8"/>
      <w:numFmt w:val="none"/>
      <w:suff w:val="nothing"/>
      <w:lvlText w:val=""/>
      <w:lvlJc w:val="start"/>
      <w:pPr>
        <w:tabs>
          <w:tab w:val="num" w:pos="0"/>
        </w:tabs>
        <w:ind w:start="0" w:hanging="0"/>
      </w:pPr>
    </w:lvl>
    <w:lvl w:ilvl="8">
      <w:start w:val="1"/>
      <w:pStyle w:val="Heading9"/>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1440"/>
        </w:tabs>
        <w:ind w:start="1440" w:hanging="360"/>
      </w:pPr>
    </w:lvl>
  </w:abstractNum>
  <w:abstractNum w:abstractNumId="3">
    <w:lvl w:ilvl="0">
      <w:start w:val="1"/>
      <w:numFmt w:val="decimal"/>
      <w:lvlText w:val="%1."/>
      <w:lvlJc w:val="start"/>
      <w:pPr>
        <w:tabs>
          <w:tab w:val="num" w:pos="1080"/>
        </w:tabs>
        <w:ind w:start="1080" w:hanging="360"/>
      </w:pPr>
    </w:lvl>
  </w:abstractNum>
  <w:abstractNum w:abstractNumId="4">
    <w:lvl w:ilvl="0">
      <w:start w:val="1"/>
      <w:numFmt w:val="decimal"/>
      <w:lvlText w:val="%1."/>
      <w:lvlJc w:val="start"/>
      <w:pPr>
        <w:tabs>
          <w:tab w:val="num" w:pos="720"/>
        </w:tabs>
        <w:ind w:start="720" w:hanging="360"/>
      </w:pPr>
    </w:lvl>
  </w:abstractNum>
  <w:abstractNum w:abstractNumId="5">
    <w:lvl w:ilvl="0">
      <w:start w:val="1"/>
      <w:numFmt w:val="bullet"/>
      <w:lvlText w:val=""/>
      <w:lvlJc w:val="start"/>
      <w:pPr>
        <w:tabs>
          <w:tab w:val="num" w:pos="1440"/>
        </w:tabs>
        <w:ind w:start="1440" w:hanging="360"/>
      </w:pPr>
      <w:rPr>
        <w:rFonts w:ascii="Symbol" w:hAnsi="Symbol" w:cs="Symbol" w:hint="default"/>
      </w:rPr>
    </w:lvl>
  </w:abstractNum>
  <w:abstractNum w:abstractNumId="6">
    <w:lvl w:ilvl="0">
      <w:start w:val="1"/>
      <w:numFmt w:val="bullet"/>
      <w:lvlText w:val=""/>
      <w:lvlJc w:val="start"/>
      <w:pPr>
        <w:tabs>
          <w:tab w:val="num" w:pos="1080"/>
        </w:tabs>
        <w:ind w:start="1080" w:hanging="360"/>
      </w:pPr>
      <w:rPr>
        <w:rFonts w:ascii="Symbol" w:hAnsi="Symbol" w:cs="Symbol" w:hint="default"/>
      </w:rPr>
    </w:lvl>
  </w:abstractNum>
  <w:abstractNum w:abstractNumId="7">
    <w:lvl w:ilvl="0">
      <w:start w:val="1"/>
      <w:numFmt w:val="decimal"/>
      <w:lvlText w:val="%1."/>
      <w:lvlJc w:val="start"/>
      <w:pPr>
        <w:tabs>
          <w:tab w:val="num" w:pos="360"/>
        </w:tabs>
        <w:ind w:start="360" w:hanging="360"/>
      </w:pPr>
    </w:lvl>
  </w:abstractNum>
  <w:abstractNum w:abstractNumId="8">
    <w:lvl w:ilvl="0">
      <w:start w:val="1"/>
      <w:numFmt w:val="decimal"/>
      <w:lvlText w:val="%1."/>
      <w:lvlJc w:val="start"/>
      <w:pPr>
        <w:tabs>
          <w:tab w:val="num" w:pos="720"/>
        </w:tabs>
        <w:ind w:start="720" w:hanging="504"/>
      </w:pPr>
      <w:rPr>
        <w:sz w:val="22"/>
        <w:i w:val="false"/>
        <w:b w:val="false"/>
        <w:rFonts w:ascii="Times New Roman" w:hAnsi="Times New Roman" w:cs="Times New Roman"/>
        <w:color w:val="000000"/>
      </w:rPr>
    </w:lvl>
    <w:lvl w:ilvl="1">
      <w:start w:val="1"/>
      <w:numFmt w:val="decimal"/>
      <w:lvlText w:val="%1.%2."/>
      <w:lvlJc w:val="start"/>
      <w:pPr>
        <w:tabs>
          <w:tab w:val="num" w:pos="720"/>
        </w:tabs>
        <w:ind w:start="720" w:hanging="504"/>
      </w:pPr>
      <w:rPr>
        <w:sz w:val="22"/>
        <w:i w:val="false"/>
        <w:b w:val="false"/>
        <w:rFonts w:ascii="Times New Roman" w:hAnsi="Times New Roman" w:cs="Times New Roman"/>
      </w:rPr>
    </w:lvl>
    <w:lvl w:ilvl="2">
      <w:start w:val="1"/>
      <w:numFmt w:val="decimal"/>
      <w:lvlText w:val="%1.%2.%3."/>
      <w:lvlJc w:val="start"/>
      <w:pPr>
        <w:tabs>
          <w:tab w:val="num" w:pos="1296"/>
        </w:tabs>
        <w:ind w:start="1296" w:hanging="1080"/>
      </w:pPr>
      <w:rPr>
        <w:sz w:val="22"/>
        <w:i w:val="false"/>
        <w:b w:val="false"/>
        <w:rFonts w:ascii="Times New Roman" w:hAnsi="Times New Roman" w:cs="Times New Roman"/>
      </w:rPr>
    </w:lvl>
    <w:lvl w:ilvl="3">
      <w:start w:val="1"/>
      <w:numFmt w:val="decimal"/>
      <w:lvlText w:val="%1.%2.%3.%4."/>
      <w:lvlJc w:val="start"/>
      <w:pPr>
        <w:tabs>
          <w:tab w:val="num" w:pos="1296"/>
        </w:tabs>
        <w:ind w:start="1296" w:hanging="1080"/>
      </w:pPr>
      <w:rPr>
        <w:sz w:val="22"/>
        <w:i w:val="false"/>
        <w:b w:val="false"/>
        <w:rFonts w:ascii="Times New Roman" w:hAnsi="Times New Roman" w:cs="Times New Roman"/>
      </w:rPr>
    </w:lvl>
    <w:lvl w:ilvl="4">
      <w:start w:val="1"/>
      <w:numFmt w:val="upperLetter"/>
      <w:lvlText w:val="%5."/>
      <w:lvlJc w:val="start"/>
      <w:pPr>
        <w:tabs>
          <w:tab w:val="num" w:pos="1296"/>
        </w:tabs>
        <w:ind w:start="1296" w:hanging="576"/>
      </w:pPr>
      <w:rPr/>
    </w:lvl>
    <w:lvl w:ilvl="5">
      <w:start w:val="1"/>
      <w:numFmt w:val="decimal"/>
      <w:lvlText w:val="%6."/>
      <w:lvlJc w:val="start"/>
      <w:pPr>
        <w:tabs>
          <w:tab w:val="num" w:pos="1296"/>
        </w:tabs>
        <w:ind w:start="1296" w:hanging="576"/>
      </w:pPr>
      <w:rPr/>
    </w:lvl>
    <w:lvl w:ilvl="6">
      <w:start w:val="1"/>
      <w:numFmt w:val="lowerLetter"/>
      <w:lvlText w:val="%7."/>
      <w:lvlJc w:val="start"/>
      <w:pPr>
        <w:tabs>
          <w:tab w:val="num" w:pos="1728"/>
        </w:tabs>
        <w:ind w:start="1728" w:hanging="432"/>
      </w:pPr>
      <w:rPr/>
    </w:lvl>
    <w:lvl w:ilvl="7">
      <w:start w:val="1"/>
      <w:numFmt w:val="lowerRoman"/>
      <w:lvlText w:val="%8.)"/>
      <w:lvlJc w:val="start"/>
      <w:pPr>
        <w:tabs>
          <w:tab w:val="num" w:pos="1728"/>
        </w:tabs>
        <w:ind w:start="1728" w:hanging="432"/>
      </w:pPr>
      <w:rPr/>
    </w:lvl>
    <w:lvl w:ilvl="8">
      <w:start w:val="1"/>
      <w:numFmt w:val="none"/>
      <w:suff w:val="nothing"/>
      <w:lvlText w:val=""/>
      <w:lvlJc w:val="start"/>
      <w:pPr>
        <w:tabs>
          <w:tab w:val="num" w:pos="360"/>
        </w:tabs>
        <w:ind w:start="0" w:hanging="0"/>
      </w:pPr>
      <w:rPr/>
    </w:lvl>
  </w:abstractNum>
  <w:abstractNum w:abstractNumId="9">
    <w:lvl w:ilvl="0">
      <w:start w:val="1"/>
      <w:numFmt w:val="bullet"/>
      <w:lvlText w:val=""/>
      <w:lvlJc w:val="start"/>
      <w:pPr>
        <w:tabs>
          <w:tab w:val="num" w:pos="1800"/>
        </w:tabs>
        <w:ind w:start="1800" w:hanging="360"/>
      </w:pPr>
      <w:rPr>
        <w:rFonts w:ascii="Symbol" w:hAnsi="Symbol" w:cs="Symbol" w:hint="default"/>
      </w:rPr>
    </w:lvl>
  </w:abstractNum>
  <w:abstractNum w:abstractNumId="10">
    <w:lvl w:ilvl="0">
      <w:start w:val="1"/>
      <w:numFmt w:val="decimal"/>
      <w:lvlText w:val="%1."/>
      <w:lvlJc w:val="start"/>
      <w:pPr>
        <w:tabs>
          <w:tab w:val="num" w:pos="1627"/>
        </w:tabs>
        <w:ind w:start="1627" w:hanging="547"/>
      </w:pPr>
      <w:rPr>
        <w:sz w:val="22"/>
        <w:i w:val="false"/>
        <w:b w:val="false"/>
        <w:rFonts w:ascii="Times New Roman" w:hAnsi="Times New Roman" w:cs="Times New Roman"/>
        <w:color w:val="000000"/>
      </w:rPr>
    </w:lvl>
    <w:lvl w:ilvl="1">
      <w:start w:val="1"/>
      <w:numFmt w:val="decimal"/>
      <w:lvlText w:val="%1.%2."/>
      <w:lvlJc w:val="start"/>
      <w:pPr>
        <w:tabs>
          <w:tab w:val="num" w:pos="2160"/>
        </w:tabs>
        <w:ind w:start="2160" w:hanging="893"/>
      </w:pPr>
      <w:rPr>
        <w:sz w:val="22"/>
        <w:i w:val="false"/>
        <w:b w:val="false"/>
        <w:rFonts w:ascii="Times New Roman" w:hAnsi="Times New Roman" w:cs="Times New Roman"/>
      </w:rPr>
    </w:lvl>
    <w:lvl w:ilvl="2">
      <w:start w:val="1"/>
      <w:numFmt w:val="decimal"/>
      <w:lvlText w:val="%1.%2.%3."/>
      <w:lvlJc w:val="start"/>
      <w:pPr>
        <w:tabs>
          <w:tab w:val="num" w:pos="2707"/>
        </w:tabs>
        <w:ind w:start="2707" w:hanging="1080"/>
      </w:pPr>
      <w:rPr>
        <w:sz w:val="22"/>
        <w:i w:val="false"/>
        <w:b w:val="false"/>
        <w:rFonts w:ascii="Times New Roman" w:hAnsi="Times New Roman" w:cs="Times New Roman"/>
      </w:rPr>
    </w:lvl>
    <w:lvl w:ilvl="3">
      <w:start w:val="1"/>
      <w:numFmt w:val="decimal"/>
      <w:lvlText w:val="%1.%2.%3.%4"/>
      <w:lvlJc w:val="start"/>
      <w:pPr>
        <w:tabs>
          <w:tab w:val="num" w:pos="3240"/>
        </w:tabs>
        <w:ind w:start="3240" w:hanging="1613"/>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11">
    <w:lvl w:ilvl="0">
      <w:start w:val="1"/>
      <w:numFmt w:val="bullet"/>
      <w:lvlText w:val=""/>
      <w:lvlJc w:val="start"/>
      <w:pPr>
        <w:tabs>
          <w:tab w:val="num" w:pos="1800"/>
        </w:tabs>
        <w:ind w:start="1800" w:hanging="360"/>
      </w:pPr>
      <w:rPr>
        <w:rFonts w:ascii="Symbol" w:hAnsi="Symbol" w:cs="Symbol" w:hint="default"/>
      </w:rPr>
    </w:lvl>
  </w:abstractNum>
  <w:abstractNum w:abstractNumId="12">
    <w:lvl w:ilvl="0">
      <w:start w:val="1"/>
      <w:numFmt w:val="bullet"/>
      <w:lvlText w:val=""/>
      <w:lvlJc w:val="start"/>
      <w:pPr>
        <w:tabs>
          <w:tab w:val="num" w:pos="1080"/>
        </w:tabs>
        <w:ind w:start="1080" w:hanging="360"/>
      </w:pPr>
      <w:rPr>
        <w:rFonts w:ascii="Symbol" w:hAnsi="Symbol" w:cs="Symbol" w:hint="default"/>
      </w:rPr>
    </w:lvl>
  </w:abstractNum>
  <w:abstractNum w:abstractNumId="13">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4"/>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Bold;Times New Roman" w:hAnsi="Times New Roman Bold;Times New Roman" w:cs="Times New Roman Bold;Times New Roman"/>
      </w:rPr>
    </w:lvl>
    <w:lvl w:ilvl="4">
      <w:start w:val="1"/>
      <w:numFmt w:val="decimal"/>
      <w:lvlText w:val="%1.%2.%3.%4.%5"/>
      <w:lvlJc w:val="start"/>
      <w:pPr>
        <w:tabs>
          <w:tab w:val="num" w:pos="720"/>
        </w:tabs>
        <w:ind w:start="720" w:hanging="720"/>
      </w:pPr>
      <w:rPr>
        <w:sz w:val="22"/>
        <w:i w:val="false"/>
        <w:b/>
        <w:szCs w:val="22"/>
        <w:rFonts w:ascii="Times New Roman Bold;Times New Roman" w:hAnsi="Times New Roman Bold;Times New Roman" w:cs="Times New Roman Bold;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4">
    <w:lvl w:ilvl="0">
      <w:start w:val="1"/>
      <w:numFmt w:val="bullet"/>
      <w:lvlText w:val=""/>
      <w:lvlJc w:val="start"/>
      <w:pPr>
        <w:tabs>
          <w:tab w:val="num" w:pos="2707"/>
        </w:tabs>
        <w:ind w:start="2707" w:hanging="547"/>
      </w:pPr>
      <w:rPr>
        <w:rFonts w:ascii="Symbol" w:hAnsi="Symbol" w:cs="Symbol" w:hint="default"/>
      </w:rPr>
    </w:lvl>
  </w:abstractNum>
  <w:abstractNum w:abstractNumId="15">
    <w:lvl w:ilvl="0">
      <w:start w:val="1"/>
      <w:numFmt w:val="decimal"/>
      <w:lvlText w:val="%1.0"/>
      <w:lvlJc w:val="start"/>
      <w:pPr>
        <w:tabs>
          <w:tab w:val="num" w:pos="720"/>
        </w:tabs>
        <w:ind w:start="720" w:hanging="720"/>
      </w:pPr>
      <w:rPr>
        <w:sz w:val="28"/>
        <w:i w:val="false"/>
        <w:b/>
        <w:rFonts w:ascii="Times New Roman Bold;Times New Roman" w:hAnsi="Times New Roman Bold;Times New Roman" w:cs="Times New Roman Bold;Times New Roman"/>
      </w:rPr>
    </w:lvl>
    <w:lvl w:ilvl="1">
      <w:start w:val="1"/>
      <w:numFmt w:val="decimal"/>
      <w:lvlText w:val="%1.%2"/>
      <w:lvlJc w:val="start"/>
      <w:pPr>
        <w:tabs>
          <w:tab w:val="num" w:pos="720"/>
        </w:tabs>
        <w:ind w:start="720" w:hanging="720"/>
      </w:pPr>
      <w:rPr>
        <w:sz w:val="28"/>
        <w:i w:val="false"/>
        <w:b/>
        <w:rFonts w:ascii="Times New Roman Bold;Times New Roman" w:hAnsi="Times New Roman Bold;Times New Roman" w:cs="Times New Roman Bold;Times New Roman"/>
      </w:rPr>
    </w:lvl>
    <w:lvl w:ilvl="2">
      <w:start w:val="1"/>
      <w:numFmt w:val="decimal"/>
      <w:lvlText w:val="%1.%2.%3"/>
      <w:lvlJc w:val="start"/>
      <w:pPr>
        <w:tabs>
          <w:tab w:val="num" w:pos="1080"/>
        </w:tabs>
        <w:ind w:start="1080" w:hanging="1080"/>
      </w:pPr>
      <w:rPr>
        <w:sz w:val="24"/>
        <w:i w:val="false"/>
        <w:b/>
        <w:rFonts w:ascii="Times New Roman" w:hAnsi="Times New Roman" w:cs="Times New Roman"/>
      </w:rPr>
    </w:lvl>
    <w:lvl w:ilvl="3">
      <w:start w:val="1"/>
      <w:numFmt w:val="decimal"/>
      <w:lvlText w:val="%1.%2.%3.%4"/>
      <w:lvlJc w:val="start"/>
      <w:pPr>
        <w:tabs>
          <w:tab w:val="num" w:pos="1296"/>
        </w:tabs>
        <w:ind w:start="1296" w:hanging="1296"/>
      </w:pPr>
      <w:rPr>
        <w:sz w:val="24"/>
        <w:i w:val="false"/>
        <w:b/>
        <w:rFonts w:ascii="Times New Roman" w:hAnsi="Times New Roman" w:cs="Times New Roman"/>
      </w:rPr>
    </w:lvl>
    <w:lvl w:ilvl="4">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5">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6">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7">
      <w:start w:val="1"/>
      <w:numFmt w:val="none"/>
      <w:suff w:val="nothing"/>
      <w:lvlText w:val=""/>
      <w:lvlJc w:val="start"/>
      <w:pPr>
        <w:tabs>
          <w:tab w:val="num" w:pos="720"/>
        </w:tabs>
        <w:ind w:start="720" w:hanging="720"/>
      </w:pPr>
      <w:rPr>
        <w:sz w:val="22"/>
        <w:i w:val="false"/>
        <w:b w:val="false"/>
        <w:rFonts w:ascii="Times New Roman" w:hAnsi="Times New Roman" w:cs="Times New Roman"/>
      </w:rPr>
    </w:lvl>
    <w:lvl w:ilvl="8">
      <w:start w:val="1"/>
      <w:numFmt w:val="none"/>
      <w:suff w:val="nothing"/>
      <w:lvlText w:val="%8"/>
      <w:lvlJc w:val="start"/>
      <w:pPr>
        <w:tabs>
          <w:tab w:val="num" w:pos="4320"/>
        </w:tabs>
        <w:ind w:start="4320" w:hanging="1440"/>
      </w:pPr>
      <w:rPr/>
    </w:lvl>
  </w:abstractNum>
  <w:abstractNum w:abstractNumId="16">
    <w:lvl w:ilvl="0">
      <w:start w:val="1"/>
      <w:numFmt w:val="bullet"/>
      <w:lvlText w:val=""/>
      <w:lvlJc w:val="start"/>
      <w:pPr>
        <w:tabs>
          <w:tab w:val="num" w:pos="720"/>
        </w:tabs>
        <w:ind w:start="720" w:hanging="360"/>
      </w:pPr>
      <w:rPr>
        <w:rFonts w:ascii="Symbol" w:hAnsi="Symbol" w:cs="Symbol" w:hint="default"/>
      </w:rPr>
    </w:lvl>
  </w:abstractNum>
  <w:abstractNum w:abstractNumId="17">
    <w:lvl w:ilvl="0">
      <w:start w:val="1"/>
      <w:numFmt w:val="decimal"/>
      <w:lvlText w:val="%1."/>
      <w:lvlJc w:val="start"/>
      <w:pPr>
        <w:tabs>
          <w:tab w:val="num" w:pos="504"/>
        </w:tabs>
        <w:ind w:start="504" w:hanging="504"/>
      </w:pPr>
      <w:rPr>
        <w:sz w:val="24"/>
        <w:i w:val="false"/>
        <w:b/>
        <w:rFonts w:ascii="Times New Roman Bold;Times New Roman" w:hAnsi="Times New Roman Bold;Times New Roman" w:cs="Times New Roman"/>
        <w:color w:val="000000"/>
      </w:rPr>
    </w:lvl>
    <w:lvl w:ilvl="1">
      <w:start w:val="1"/>
      <w:numFmt w:val="decimal"/>
      <w:lvlText w:val="%1.%2."/>
      <w:lvlJc w:val="start"/>
      <w:pPr>
        <w:tabs>
          <w:tab w:val="num" w:pos="504"/>
        </w:tabs>
        <w:ind w:start="504" w:hanging="504"/>
      </w:pPr>
      <w:rPr>
        <w:sz w:val="24"/>
        <w:i w:val="false"/>
        <w:b/>
        <w:rFonts w:ascii="Times New Roman Bold;Times New Roman" w:hAnsi="Times New Roman Bold;Times New Roman" w:cs="Times New Roman"/>
      </w:rPr>
    </w:lvl>
    <w:lvl w:ilvl="2">
      <w:start w:val="1"/>
      <w:numFmt w:val="decimal"/>
      <w:lvlText w:val="%1.%2.%3."/>
      <w:lvlJc w:val="start"/>
      <w:pPr>
        <w:tabs>
          <w:tab w:val="num" w:pos="1080"/>
        </w:tabs>
        <w:ind w:start="1080" w:hanging="1080"/>
      </w:pPr>
      <w:rPr>
        <w:sz w:val="22"/>
        <w:i w:val="false"/>
        <w:b w:val="false"/>
        <w:rFonts w:ascii="Times New Roman" w:hAnsi="Times New Roman" w:cs="Times New Roman"/>
      </w:rPr>
    </w:lvl>
    <w:lvl w:ilvl="3">
      <w:start w:val="1"/>
      <w:numFmt w:val="decimal"/>
      <w:lvlText w:val="%1.%2.%3.%4."/>
      <w:lvlJc w:val="start"/>
      <w:pPr>
        <w:tabs>
          <w:tab w:val="num" w:pos="1080"/>
        </w:tabs>
        <w:ind w:start="1080" w:hanging="1080"/>
      </w:pPr>
      <w:rPr>
        <w:sz w:val="22"/>
        <w:i w:val="false"/>
        <w:b w:val="false"/>
        <w:rFonts w:ascii="Times New Roman" w:hAnsi="Times New Roman" w:cs="Times New Roman"/>
      </w:rPr>
    </w:lvl>
    <w:lvl w:ilvl="4">
      <w:start w:val="1"/>
      <w:numFmt w:val="upperLetter"/>
      <w:lvlText w:val="%5."/>
      <w:lvlJc w:val="start"/>
      <w:pPr>
        <w:tabs>
          <w:tab w:val="num" w:pos="1080"/>
        </w:tabs>
        <w:ind w:start="1080" w:hanging="576"/>
      </w:pPr>
      <w:rPr/>
    </w:lvl>
    <w:lvl w:ilvl="5">
      <w:start w:val="1"/>
      <w:numFmt w:val="decimal"/>
      <w:lvlText w:val="%6."/>
      <w:lvlJc w:val="start"/>
      <w:pPr>
        <w:tabs>
          <w:tab w:val="num" w:pos="1080"/>
        </w:tabs>
        <w:ind w:start="1080" w:hanging="576"/>
      </w:pPr>
      <w:rPr/>
    </w:lvl>
    <w:lvl w:ilvl="6">
      <w:start w:val="1"/>
      <w:numFmt w:val="lowerLetter"/>
      <w:lvlText w:val="%7."/>
      <w:lvlJc w:val="start"/>
      <w:pPr>
        <w:tabs>
          <w:tab w:val="num" w:pos="1512"/>
        </w:tabs>
        <w:ind w:start="1512" w:hanging="432"/>
      </w:pPr>
      <w:rPr/>
    </w:lvl>
    <w:lvl w:ilvl="7">
      <w:start w:val="1"/>
      <w:numFmt w:val="lowerRoman"/>
      <w:lvlText w:val="%8.)"/>
      <w:lvlJc w:val="start"/>
      <w:pPr>
        <w:tabs>
          <w:tab w:val="num" w:pos="1512"/>
        </w:tabs>
        <w:ind w:start="1512" w:hanging="432"/>
      </w:pPr>
      <w:rPr/>
    </w:lvl>
    <w:lvl w:ilvl="8">
      <w:start w:val="1"/>
      <w:numFmt w:val="none"/>
      <w:suff w:val="nothing"/>
      <w:lvlText w:val=""/>
      <w:lvlJc w:val="start"/>
      <w:pPr>
        <w:tabs>
          <w:tab w:val="num" w:pos="144"/>
        </w:tabs>
        <w:ind w:start="216" w:hanging="0"/>
      </w:pPr>
      <w:rPr/>
    </w:lvl>
  </w:abstractNum>
  <w:abstractNum w:abstractNumId="18">
    <w:lvl w:ilvl="0">
      <w:start w:val="1"/>
      <w:numFmt w:val="bullet"/>
      <w:lvlText w:val=""/>
      <w:lvlJc w:val="start"/>
      <w:pPr>
        <w:tabs>
          <w:tab w:val="num" w:pos="1440"/>
        </w:tabs>
        <w:ind w:start="1440" w:hanging="360"/>
      </w:pPr>
      <w:rPr>
        <w:rFonts w:ascii="Symbol" w:hAnsi="Symbol" w:cs="Symbol" w:hint="default"/>
      </w:rPr>
    </w:lvl>
  </w:abstractNum>
  <w:abstractNum w:abstractNumId="19">
    <w:lvl w:ilvl="0">
      <w:start w:val="1"/>
      <w:numFmt w:val="bullet"/>
      <w:lvlText w:val=""/>
      <w:lvlJc w:val="start"/>
      <w:pPr>
        <w:tabs>
          <w:tab w:val="num" w:pos="1627"/>
        </w:tabs>
        <w:ind w:start="1627" w:hanging="547"/>
      </w:pPr>
      <w:rPr>
        <w:rFonts w:ascii="Symbol" w:hAnsi="Symbol" w:cs="Symbol" w:hint="default"/>
      </w:rPr>
    </w:lvl>
  </w:abstractNum>
  <w:abstractNum w:abstractNumId="20">
    <w:lvl w:ilvl="0">
      <w:start w:val="1"/>
      <w:numFmt w:val="bullet"/>
      <w:lvlText w:val=""/>
      <w:lvlJc w:val="start"/>
      <w:pPr>
        <w:tabs>
          <w:tab w:val="num" w:pos="2160"/>
        </w:tabs>
        <w:ind w:start="2160" w:hanging="533"/>
      </w:pPr>
      <w:rPr>
        <w:rFonts w:ascii="Symbol" w:hAnsi="Symbol" w:cs="Symbol" w:hint="default"/>
      </w:rPr>
    </w:lvl>
  </w:abstractNum>
  <w:abstractNum w:abstractNumId="21">
    <w:lvl w:ilvl="0">
      <w:start w:val="1"/>
      <w:numFmt w:val="decimal"/>
      <w:lvlText w:val="%1."/>
      <w:lvlJc w:val="start"/>
      <w:pPr>
        <w:tabs>
          <w:tab w:val="num" w:pos="720"/>
        </w:tabs>
        <w:ind w:start="720" w:hanging="360"/>
      </w:pPr>
      <w:rPr>
        <w:sz w:val="22"/>
        <w:i w:val="false"/>
        <w:b w:val="false"/>
        <w:rFonts w:ascii="Times New Roman" w:hAnsi="Times New Roman" w:cs="Times New Roman"/>
        <w:color w:val="000000"/>
      </w:rPr>
    </w:lvl>
    <w:lvl w:ilvl="1">
      <w:start w:val="1"/>
      <w:numFmt w:val="decimal"/>
      <w:lvlText w:val="4.%2"/>
      <w:lvlJc w:val="start"/>
      <w:pPr>
        <w:tabs>
          <w:tab w:val="num" w:pos="1008"/>
        </w:tabs>
        <w:ind w:start="1008" w:hanging="619"/>
      </w:pPr>
      <w:rPr>
        <w:sz w:val="28"/>
        <w:i w:val="false"/>
        <w:b/>
        <w:szCs w:val="28"/>
        <w:rFonts w:ascii="Times New Roman Bold;Times New Roman" w:hAnsi="Times New Roman Bold;Times New Roman" w:cs="Times New Roman Bold;Times New Roman"/>
      </w:rPr>
    </w:lvl>
    <w:lvl w:ilvl="2">
      <w:start w:val="1"/>
      <w:numFmt w:val="decimal"/>
      <w:lvlText w:val="%1.%2.%3."/>
      <w:lvlJc w:val="start"/>
      <w:pPr>
        <w:tabs>
          <w:tab w:val="num" w:pos="1296"/>
        </w:tabs>
        <w:ind w:start="1296" w:hanging="878"/>
      </w:pPr>
      <w:rPr>
        <w:sz w:val="22"/>
        <w:i w:val="false"/>
        <w:b w:val="false"/>
        <w:rFonts w:ascii="Times New Roman" w:hAnsi="Times New Roman" w:cs="Times New Roman"/>
      </w:rPr>
    </w:lvl>
    <w:lvl w:ilvl="3">
      <w:start w:val="1"/>
      <w:numFmt w:val="decimal"/>
      <w:lvlText w:val="%1.%2.%3.%4."/>
      <w:lvlJc w:val="start"/>
      <w:pPr>
        <w:tabs>
          <w:tab w:val="num" w:pos="1440"/>
        </w:tabs>
        <w:ind w:start="1440" w:hanging="994"/>
      </w:pPr>
      <w:rPr>
        <w:sz w:val="22"/>
        <w:i w:val="false"/>
        <w:b w:val="false"/>
        <w:rFonts w:ascii="Times New Roman" w:hAnsi="Times New Roman" w:cs="Times New Roman"/>
      </w:rPr>
    </w:lvl>
    <w:lvl w:ilvl="4">
      <w:start w:val="1"/>
      <w:numFmt w:val="none"/>
      <w:suff w:val="nothing"/>
      <w:lvlText w:val=""/>
      <w:lvlJc w:val="start"/>
      <w:pPr>
        <w:tabs>
          <w:tab w:val="num" w:pos="360"/>
        </w:tabs>
        <w:ind w:start="0" w:hanging="0"/>
      </w:pPr>
      <w:rPr/>
    </w:lvl>
    <w:lvl w:ilvl="5">
      <w:start w:val="1"/>
      <w:numFmt w:val="none"/>
      <w:suff w:val="nothing"/>
      <w:lvlText w:val=""/>
      <w:lvlJc w:val="start"/>
      <w:pPr>
        <w:tabs>
          <w:tab w:val="num" w:pos="360"/>
        </w:tabs>
        <w:ind w:start="0" w:hanging="0"/>
      </w:pPr>
      <w:rPr/>
    </w:lvl>
    <w:lvl w:ilvl="6">
      <w:start w:val="1"/>
      <w:numFmt w:val="none"/>
      <w:suff w:val="nothing"/>
      <w:lvlText w:val=""/>
      <w:lvlJc w:val="start"/>
      <w:pPr>
        <w:tabs>
          <w:tab w:val="num" w:pos="360"/>
        </w:tabs>
        <w:ind w:start="0" w:hanging="0"/>
      </w:pPr>
      <w:rPr/>
    </w:lvl>
    <w:lvl w:ilvl="7">
      <w:start w:val="1"/>
      <w:numFmt w:val="none"/>
      <w:suff w:val="nothing"/>
      <w:lvlText w:val=""/>
      <w:lvlJc w:val="start"/>
      <w:pPr>
        <w:tabs>
          <w:tab w:val="num" w:pos="360"/>
        </w:tabs>
        <w:ind w:start="0" w:hanging="0"/>
      </w:pPr>
      <w:rPr/>
    </w:lvl>
    <w:lvl w:ilvl="8">
      <w:start w:val="1"/>
      <w:numFmt w:val="none"/>
      <w:suff w:val="nothing"/>
      <w:lvlText w:val=""/>
      <w:lvlJc w:val="start"/>
      <w:pPr>
        <w:tabs>
          <w:tab w:val="num" w:pos="360"/>
        </w:tabs>
        <w:ind w:start="0" w:hanging="0"/>
      </w:pPr>
      <w:rPr/>
    </w:lvl>
  </w:abstractNum>
  <w:abstractNum w:abstractNumId="22">
    <w:lvl w:ilvl="0">
      <w:start w:val="1"/>
      <w:numFmt w:val="bullet"/>
      <w:lvlText w:val=""/>
      <w:lvlJc w:val="start"/>
      <w:pPr>
        <w:tabs>
          <w:tab w:val="num" w:pos="3240"/>
        </w:tabs>
        <w:ind w:start="3240" w:hanging="53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before="120" w:after="120"/>
    </w:pPr>
    <w:rPr>
      <w:rFonts w:ascii="Times New Roman" w:hAnsi="Times New Roman" w:eastAsia="Times New Roman" w:cs="Times New Roman"/>
      <w:color w:val="auto"/>
      <w:sz w:val="22"/>
      <w:szCs w:val="24"/>
      <w:lang w:val="en-US" w:bidi="ar-SA" w:eastAsia="zh-CN"/>
    </w:rPr>
  </w:style>
  <w:style w:type="paragraph" w:styleId="Heading1">
    <w:name w:val="heading 1"/>
    <w:basedOn w:val="Normal"/>
    <w:next w:val="TableText"/>
    <w:qFormat/>
    <w:pPr>
      <w:keepNext w:val="true"/>
      <w:keepLines/>
      <w:numPr>
        <w:ilvl w:val="0"/>
        <w:numId w:val="17"/>
      </w:numPr>
      <w:spacing w:before="480" w:after="240"/>
      <w:outlineLvl w:val="0"/>
    </w:pPr>
    <w:rPr>
      <w:rFonts w:ascii="Times New Roman Bold;Times New Roman" w:hAnsi="Times New Roman Bold;Times New Roman" w:cs="Arial"/>
      <w:b/>
      <w:bCs/>
      <w:caps/>
      <w:kern w:val="2"/>
      <w:sz w:val="28"/>
      <w:szCs w:val="32"/>
    </w:rPr>
  </w:style>
  <w:style w:type="paragraph" w:styleId="Heading2">
    <w:name w:val="heading 2"/>
    <w:basedOn w:val="Heading1"/>
    <w:next w:val="TableText"/>
    <w:qFormat/>
    <w:pPr>
      <w:numPr>
        <w:ilvl w:val="0"/>
        <w:numId w:val="17"/>
      </w:numPr>
      <w:tabs>
        <w:tab w:val="clear" w:pos="720"/>
        <w:tab w:val="left" w:pos="851" w:leader="none"/>
      </w:tabs>
      <w:outlineLvl w:val="1"/>
    </w:pPr>
    <w:rPr>
      <w:bCs w:val="false"/>
      <w:iCs/>
      <w:caps w:val="false"/>
      <w:smallCaps w:val="false"/>
      <w:sz w:val="24"/>
      <w:szCs w:val="28"/>
    </w:rPr>
  </w:style>
  <w:style w:type="paragraph" w:styleId="Heading3">
    <w:name w:val="heading 3"/>
    <w:basedOn w:val="Heading2"/>
    <w:next w:val="TableText"/>
    <w:qFormat/>
    <w:pPr>
      <w:numPr>
        <w:ilvl w:val="0"/>
        <w:numId w:val="17"/>
      </w:numPr>
      <w:tabs>
        <w:tab w:val="clear" w:pos="851"/>
        <w:tab w:val="left" w:pos="1134" w:leader="none"/>
      </w:tabs>
      <w:spacing w:before="240" w:after="240"/>
      <w:outlineLvl w:val="2"/>
    </w:pPr>
    <w:rPr>
      <w:rFonts w:ascii="Times New Roman" w:hAnsi="Times New Roman" w:cs="Times New Roman"/>
      <w:b w:val="false"/>
      <w:bCs/>
      <w:szCs w:val="26"/>
    </w:rPr>
  </w:style>
  <w:style w:type="paragraph" w:styleId="Heading4">
    <w:name w:val="heading 4"/>
    <w:basedOn w:val="Heading3"/>
    <w:next w:val="TableText"/>
    <w:qFormat/>
    <w:pPr>
      <w:numPr>
        <w:ilvl w:val="0"/>
        <w:numId w:val="17"/>
      </w:numPr>
      <w:spacing w:before="120" w:after="0"/>
      <w:outlineLvl w:val="3"/>
    </w:pPr>
    <w:rPr>
      <w:bCs w:val="false"/>
      <w:i/>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b/>
      <w:bCs/>
      <w:szCs w:val="22"/>
    </w:rPr>
  </w:style>
  <w:style w:type="paragraph" w:styleId="Heading7">
    <w:name w:val="heading 7"/>
    <w:basedOn w:val="Normal"/>
    <w:next w:val="Normal"/>
    <w:qFormat/>
    <w:pPr>
      <w:numPr>
        <w:ilvl w:val="6"/>
        <w:numId w:val="1"/>
      </w:numPr>
      <w:spacing w:before="240" w:after="60"/>
      <w:outlineLvl w:val="6"/>
    </w:pPr>
    <w:rPr>
      <w:sz w:val="24"/>
    </w:rPr>
  </w:style>
  <w:style w:type="paragraph" w:styleId="Heading8">
    <w:name w:val="heading 8"/>
    <w:basedOn w:val="Normal"/>
    <w:next w:val="Normal"/>
    <w:qFormat/>
    <w:pPr>
      <w:numPr>
        <w:ilvl w:val="7"/>
        <w:numId w:val="1"/>
      </w:numPr>
      <w:spacing w:before="240" w:after="60"/>
      <w:outlineLvl w:val="7"/>
    </w:pPr>
    <w:rPr>
      <w:i/>
      <w:iCs/>
      <w:sz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7z0">
    <w:name w:val="WW8Num7z0"/>
    <w:qFormat/>
    <w:rPr>
      <w:rFonts w:ascii="Times New Roman" w:hAnsi="Times New Roman" w:cs="Times New Roman"/>
      <w:b w:val="false"/>
      <w:i w:val="false"/>
      <w:color w:val="000000"/>
      <w:sz w:val="22"/>
    </w:rPr>
  </w:style>
  <w:style w:type="character" w:styleId="WW8Num7z1">
    <w:name w:val="WW8Num7z1"/>
    <w:qFormat/>
    <w:rPr>
      <w:rFonts w:ascii="Times New Roman" w:hAnsi="Times New Roman" w:cs="Times New Roman"/>
      <w:b w:val="false"/>
      <w:i w:val="false"/>
      <w:sz w:val="22"/>
    </w:rPr>
  </w:style>
  <w:style w:type="character" w:styleId="WW8Num7z4">
    <w:name w:val="WW8Num7z4"/>
    <w:qFormat/>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9z0">
    <w:name w:val="WW8Num9z0"/>
    <w:qFormat/>
    <w:rPr>
      <w:rFonts w:ascii="Times New Roman" w:hAnsi="Times New Roman" w:cs="Times New Roman"/>
      <w:b w:val="false"/>
      <w:i w:val="false"/>
      <w:color w:val="000000"/>
      <w:sz w:val="22"/>
    </w:rPr>
  </w:style>
  <w:style w:type="character" w:styleId="WW8Num9z1">
    <w:name w:val="WW8Num9z1"/>
    <w:qFormat/>
    <w:rPr>
      <w:rFonts w:ascii="Times New Roman" w:hAnsi="Times New Roman" w:cs="Times New Roman"/>
      <w:b w:val="false"/>
      <w:i w:val="false"/>
      <w:sz w:val="22"/>
    </w:rPr>
  </w:style>
  <w:style w:type="character" w:styleId="WW8Num9z4">
    <w:name w:val="WW8Num9z4"/>
    <w:qFormat/>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style>
  <w:style w:type="character" w:styleId="WW8Num11z1">
    <w:name w:val="WW8Num11z1"/>
    <w:qFormat/>
    <w:rPr>
      <w:sz w:val="18"/>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Times New Roman Bold;Times New Roman" w:hAnsi="Times New Roman Bold;Times New Roman" w:cs="Times New Roman Bold;Times New Roman"/>
      <w:b/>
      <w:i w:val="false"/>
      <w:sz w:val="28"/>
    </w:rPr>
  </w:style>
  <w:style w:type="character" w:styleId="WW8Num13z1">
    <w:name w:val="WW8Num13z1"/>
    <w:qFormat/>
    <w:rPr>
      <w:rFonts w:ascii="Times New Roman Bold;Times New Roman" w:hAnsi="Times New Roman Bold;Times New Roman" w:cs="Times New Roman Bold;Times New Roman"/>
      <w:b/>
      <w:i w:val="false"/>
      <w:sz w:val="24"/>
    </w:rPr>
  </w:style>
  <w:style w:type="character" w:styleId="WW8Num13z2">
    <w:name w:val="WW8Num13z2"/>
    <w:qFormat/>
    <w:rPr>
      <w:rFonts w:ascii="Times New Roman" w:hAnsi="Times New Roman" w:cs="Times New Roman"/>
      <w:b/>
      <w:i w:val="false"/>
      <w:sz w:val="24"/>
    </w:rPr>
  </w:style>
  <w:style w:type="character" w:styleId="WW8Num13z4">
    <w:name w:val="WW8Num13z4"/>
    <w:qFormat/>
    <w:rPr>
      <w:rFonts w:ascii="Times New Roman Bold;Times New Roman" w:hAnsi="Times New Roman Bold;Times New Roman" w:cs="Times New Roman Bold;Times New Roman"/>
      <w:b/>
      <w:i w:val="false"/>
      <w:sz w:val="22"/>
      <w:szCs w:val="22"/>
    </w:rPr>
  </w:style>
  <w:style w:type="character" w:styleId="WW8Num13z5">
    <w:name w:val="WW8Num13z5"/>
    <w:qFormat/>
    <w:rPr>
      <w:rFonts w:ascii="Times New Roman" w:hAnsi="Times New Roman" w:cs="Times New Roman"/>
      <w:b w:val="false"/>
      <w:i w:val="false"/>
      <w:sz w:val="22"/>
    </w:rPr>
  </w:style>
  <w:style w:type="character" w:styleId="WW8Num13z8">
    <w:name w:val="WW8Num13z8"/>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Times New Roman Bold;Times New Roman" w:hAnsi="Times New Roman Bold;Times New Roman" w:cs="Times New Roman Bold;Times New Roman"/>
      <w:b/>
      <w:i w:val="false"/>
      <w:sz w:val="28"/>
    </w:rPr>
  </w:style>
  <w:style w:type="character" w:styleId="WW8Num15z2">
    <w:name w:val="WW8Num15z2"/>
    <w:qFormat/>
    <w:rPr>
      <w:rFonts w:ascii="Times New Roman" w:hAnsi="Times New Roman" w:cs="Times New Roman"/>
      <w:b/>
      <w:i w:val="false"/>
      <w:sz w:val="24"/>
    </w:rPr>
  </w:style>
  <w:style w:type="character" w:styleId="WW8Num15z4">
    <w:name w:val="WW8Num15z4"/>
    <w:qFormat/>
    <w:rPr>
      <w:rFonts w:ascii="Times New Roman" w:hAnsi="Times New Roman" w:cs="Times New Roman"/>
      <w:b w:val="false"/>
      <w:i w:val="false"/>
      <w:sz w:val="22"/>
    </w:rPr>
  </w:style>
  <w:style w:type="character" w:styleId="WW8Num15z8">
    <w:name w:val="WW8Num15z8"/>
    <w:qFormat/>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Times New Roman Bold;Times New Roman" w:hAnsi="Times New Roman Bold;Times New Roman" w:cs="Times New Roman"/>
      <w:b/>
      <w:i w:val="false"/>
      <w:color w:val="000000"/>
      <w:sz w:val="24"/>
    </w:rPr>
  </w:style>
  <w:style w:type="character" w:styleId="WW8Num17z1">
    <w:name w:val="WW8Num17z1"/>
    <w:qFormat/>
    <w:rPr>
      <w:rFonts w:ascii="Times New Roman Bold;Times New Roman" w:hAnsi="Times New Roman Bold;Times New Roman" w:cs="Times New Roman"/>
      <w:b/>
      <w:i w:val="false"/>
      <w:sz w:val="24"/>
    </w:rPr>
  </w:style>
  <w:style w:type="character" w:styleId="WW8Num17z2">
    <w:name w:val="WW8Num17z2"/>
    <w:qFormat/>
    <w:rPr>
      <w:rFonts w:ascii="Times New Roman" w:hAnsi="Times New Roman" w:cs="Times New Roman"/>
      <w:b w:val="false"/>
      <w:i w:val="false"/>
      <w:sz w:val="22"/>
    </w:rPr>
  </w:style>
  <w:style w:type="character" w:styleId="WW8Num17z4">
    <w:name w:val="WW8Num17z4"/>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z w:val="18"/>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Times New Roman Bold;Times New Roman" w:hAnsi="Times New Roman Bold;Times New Roman" w:cs="Times New Roman Bold;Times New Roman"/>
      <w:b/>
      <w:i w:val="false"/>
      <w:color w:val="000000"/>
      <w:sz w:val="28"/>
      <w:szCs w:val="28"/>
    </w:rPr>
  </w:style>
  <w:style w:type="character" w:styleId="WW8Num22z1">
    <w:name w:val="WW8Num22z1"/>
    <w:qFormat/>
    <w:rPr>
      <w:rFonts w:ascii="Times New Roman" w:hAnsi="Times New Roman" w:cs="Times New Roman"/>
      <w:b w:val="false"/>
      <w:i w:val="false"/>
      <w:sz w:val="22"/>
    </w:rPr>
  </w:style>
  <w:style w:type="character" w:styleId="WW8Num22z4">
    <w:name w:val="WW8Num22z4"/>
    <w:qFormat/>
    <w:rPr/>
  </w:style>
  <w:style w:type="character" w:styleId="WW8Num23z0">
    <w:name w:val="WW8Num23z0"/>
    <w:qFormat/>
    <w:rPr/>
  </w:style>
  <w:style w:type="character" w:styleId="WW8Num23z1">
    <w:name w:val="WW8Num23z1"/>
    <w:qFormat/>
    <w:rPr>
      <w:sz w:val="18"/>
    </w:rPr>
  </w:style>
  <w:style w:type="character" w:styleId="WW8Num24z0">
    <w:name w:val="WW8Num24z0"/>
    <w:qFormat/>
    <w:rPr>
      <w:rFonts w:ascii="Times New Roman" w:hAnsi="Times New Roman" w:cs="Times New Roman"/>
      <w:b w:val="false"/>
      <w:i w:val="false"/>
      <w:color w:val="000000"/>
      <w:sz w:val="22"/>
    </w:rPr>
  </w:style>
  <w:style w:type="character" w:styleId="WW8Num24z1">
    <w:name w:val="WW8Num24z1"/>
    <w:qFormat/>
    <w:rPr>
      <w:rFonts w:ascii="Times New Roman Bold;Times New Roman" w:hAnsi="Times New Roman Bold;Times New Roman" w:cs="Times New Roman Bold;Times New Roman"/>
      <w:b/>
      <w:i w:val="false"/>
      <w:sz w:val="28"/>
      <w:szCs w:val="28"/>
    </w:rPr>
  </w:style>
  <w:style w:type="character" w:styleId="WW8Num24z2">
    <w:name w:val="WW8Num24z2"/>
    <w:qFormat/>
    <w:rPr>
      <w:rFonts w:ascii="Times New Roman" w:hAnsi="Times New Roman" w:cs="Times New Roman"/>
      <w:b w:val="false"/>
      <w:i w:val="false"/>
      <w:sz w:val="22"/>
    </w:rPr>
  </w:style>
  <w:style w:type="character" w:styleId="WW8Num24z4">
    <w:name w:val="WW8Num24z4"/>
    <w:qFormat/>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Absatz-Standardschriftart">
    <w:name w:val="Absatz-Standardschriftart"/>
    <w:qFormat/>
    <w:rPr/>
  </w:style>
  <w:style w:type="character" w:styleId="Hyperlink">
    <w:name w:val="Hyperlink"/>
    <w:basedOn w:val="Absatz-Standardschriftart"/>
    <w:rPr>
      <w:color w:val="0000FF"/>
      <w:u w:val="single"/>
    </w:rPr>
  </w:style>
  <w:style w:type="character" w:styleId="Char">
    <w:name w:val=" Char"/>
    <w:basedOn w:val="Absatz-Standardschriftart"/>
    <w:qFormat/>
    <w:rPr>
      <w:rFonts w:ascii="Times New Roman Bold;Times New Roman" w:hAnsi="Times New Roman Bold;Times New Roman" w:cs="Arial"/>
      <w:b/>
      <w:bCs/>
      <w:caps/>
      <w:kern w:val="2"/>
      <w:sz w:val="28"/>
      <w:szCs w:val="32"/>
      <w:lang w:val="en-US" w:bidi="ar-SA"/>
    </w:rPr>
  </w:style>
  <w:style w:type="character" w:styleId="Char1">
    <w:name w:val=" Char1"/>
    <w:basedOn w:val="Char"/>
    <w:qFormat/>
    <w:rPr>
      <w:iCs/>
      <w:sz w:val="24"/>
      <w:szCs w:val="28"/>
    </w:rPr>
  </w:style>
  <w:style w:type="character" w:styleId="TableTextCharCharChar">
    <w:name w:val="Table Text Char Char Char"/>
    <w:basedOn w:val="Absatz-Standardschriftart"/>
    <w:qFormat/>
    <w:rPr>
      <w:sz w:val="22"/>
      <w:szCs w:val="24"/>
      <w:lang w:val="en-US" w:bidi="ar-SA"/>
    </w:rPr>
  </w:style>
  <w:style w:type="character" w:styleId="PageNumber">
    <w:name w:val="page number"/>
    <w:basedOn w:val="Absatz-Standardschriftart"/>
    <w:rPr/>
  </w:style>
  <w:style w:type="character" w:styleId="strikeout">
    <w:name w:val="strikeout"/>
    <w:basedOn w:val="Absatz-Standardschriftart"/>
    <w:qFormat/>
    <w:rPr>
      <w:strike w:val="false"/>
      <w:dstrike w:val="false"/>
      <w:color w:val="FF0000"/>
    </w:rPr>
  </w:style>
  <w:style w:type="character" w:styleId="Revised-NewChar">
    <w:name w:val="Revised - New Char"/>
    <w:basedOn w:val="Absatz-Standardschriftart"/>
    <w:qFormat/>
    <w:rPr>
      <w:rFonts w:ascii="Arial" w:hAnsi="Arial" w:cs="Arial"/>
      <w:b/>
      <w:color w:val="333399"/>
      <w:sz w:val="22"/>
      <w:szCs w:val="22"/>
      <w:lang w:val="en-US" w:bidi="ar-SA"/>
    </w:rPr>
  </w:style>
  <w:style w:type="character" w:styleId="TableTextChar">
    <w:name w:val="Table Text Char"/>
    <w:basedOn w:val="Absatz-Standardschriftart"/>
    <w:qFormat/>
    <w:rPr>
      <w:sz w:val="22"/>
      <w:szCs w:val="24"/>
      <w:lang w:val="en-US" w:bidi="ar-SA"/>
    </w:rPr>
  </w:style>
  <w:style w:type="character" w:styleId="FollowedHyperlink">
    <w:name w:val="FollowedHyperlink"/>
    <w:basedOn w:val="Absatz-Standardschriftart"/>
    <w:rPr>
      <w:color w:val="800080"/>
      <w:u w:val="single"/>
    </w:rPr>
  </w:style>
  <w:style w:type="character" w:styleId="IndexLink">
    <w:name w:val="Index Link"/>
    <w:qFormat/>
    <w:rPr/>
  </w:style>
  <w:style w:type="paragraph" w:styleId="Heading">
    <w:name w:val="Heading"/>
    <w:basedOn w:val="Normal"/>
    <w:next w:val="BodyText"/>
    <w:qFormat/>
    <w:pPr>
      <w:spacing w:before="240" w:after="120"/>
      <w:jc w:val="center"/>
    </w:pPr>
    <w:rPr>
      <w:b/>
      <w:caps/>
      <w:sz w:val="28"/>
    </w:rPr>
  </w:style>
  <w:style w:type="paragraph" w:styleId="BodyText">
    <w:name w:val="Body Text"/>
    <w:basedOn w:val="Normal"/>
    <w:pPr>
      <w:spacing w:before="180" w:after="180"/>
      <w:ind w:hanging="0" w:start="720" w:end="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BodyText"/>
    <w:pPr>
      <w:ind w:hanging="0" w:start="1080" w:end="0"/>
    </w:pPr>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680" w:leader="none"/>
        <w:tab w:val="center" w:pos="7200" w:leader="none"/>
        <w:tab w:val="right" w:pos="14400" w:leader="none"/>
      </w:tabs>
    </w:pPr>
    <w:rPr>
      <w:i/>
      <w:sz w:val="18"/>
    </w:rPr>
  </w:style>
  <w:style w:type="paragraph" w:styleId="Header">
    <w:name w:val="header"/>
    <w:basedOn w:val="Normal"/>
    <w:pPr>
      <w:tabs>
        <w:tab w:val="clear" w:pos="720"/>
        <w:tab w:val="right" w:pos="9360" w:leader="none"/>
        <w:tab w:val="right" w:pos="14400" w:leader="none"/>
      </w:tabs>
    </w:pPr>
    <w:rPr>
      <w:i/>
      <w:sz w:val="18"/>
    </w:rPr>
  </w:style>
  <w:style w:type="paragraph" w:styleId="HeadingTable">
    <w:name w:val="Heading Table"/>
    <w:basedOn w:val="Normal"/>
    <w:qFormat/>
    <w:pPr>
      <w:jc w:val="center"/>
    </w:pPr>
    <w:rPr>
      <w:rFonts w:ascii="Times New Roman Bold;Times New Roman" w:hAnsi="Times New Roman Bold;Times New Roman" w:cs="Times New Roman Bold;Times New Roman"/>
      <w:b/>
    </w:rPr>
  </w:style>
  <w:style w:type="paragraph" w:styleId="Titel">
    <w:name w:val="Titel"/>
    <w:basedOn w:val="Normal"/>
    <w:next w:val="Normal"/>
    <w:qFormat/>
    <w:pPr>
      <w:spacing w:before="240" w:after="240"/>
      <w:jc w:val="center"/>
      <w:outlineLvl w:val="0"/>
    </w:pPr>
    <w:rPr>
      <w:rFonts w:cs="Arial"/>
      <w:b/>
      <w:bCs/>
      <w:caps/>
      <w:kern w:val="2"/>
      <w:sz w:val="32"/>
      <w:szCs w:val="32"/>
    </w:rPr>
  </w:style>
  <w:style w:type="paragraph" w:styleId="TOC1">
    <w:name w:val="toc 1"/>
    <w:basedOn w:val="Normal"/>
    <w:next w:val="Normal"/>
    <w:pPr/>
    <w:rPr>
      <w:b/>
      <w:bCs/>
      <w:caps/>
      <w:sz w:val="20"/>
      <w:szCs w:val="20"/>
    </w:rPr>
  </w:style>
  <w:style w:type="paragraph" w:styleId="TOC2">
    <w:name w:val="toc 2"/>
    <w:basedOn w:val="Normal"/>
    <w:next w:val="Normal"/>
    <w:pPr>
      <w:spacing w:before="0" w:after="0"/>
      <w:ind w:hanging="0" w:start="220" w:end="0"/>
    </w:pPr>
    <w:rPr>
      <w:smallCaps/>
      <w:sz w:val="20"/>
      <w:szCs w:val="20"/>
    </w:rPr>
  </w:style>
  <w:style w:type="paragraph" w:styleId="TOC3">
    <w:name w:val="toc 3"/>
    <w:basedOn w:val="Normal"/>
    <w:next w:val="Normal"/>
    <w:pPr>
      <w:spacing w:before="0" w:after="0"/>
      <w:ind w:hanging="0" w:start="440" w:end="0"/>
    </w:pPr>
    <w:rPr>
      <w:i/>
      <w:iCs/>
      <w:sz w:val="20"/>
      <w:szCs w:val="20"/>
    </w:rPr>
  </w:style>
  <w:style w:type="paragraph" w:styleId="TOC4">
    <w:name w:val="toc 4"/>
    <w:basedOn w:val="Normal"/>
    <w:next w:val="Normal"/>
    <w:pPr>
      <w:spacing w:before="0" w:after="0"/>
      <w:ind w:hanging="0" w:start="660" w:end="0"/>
    </w:pPr>
    <w:rPr>
      <w:sz w:val="18"/>
      <w:szCs w:val="18"/>
    </w:rPr>
  </w:style>
  <w:style w:type="paragraph" w:styleId="Subtitle">
    <w:name w:val="Subtitle"/>
    <w:basedOn w:val="Normal"/>
    <w:next w:val="BodyText"/>
    <w:qFormat/>
    <w:pPr>
      <w:spacing w:before="240" w:after="240"/>
    </w:pPr>
    <w:rPr>
      <w:rFonts w:ascii="Times New Roman Bold;Times New Roman" w:hAnsi="Times New Roman Bold;Times New Roman" w:cs="Arial"/>
      <w:b/>
      <w:sz w:val="28"/>
    </w:rPr>
  </w:style>
  <w:style w:type="paragraph" w:styleId="TOC5">
    <w:name w:val="toc 5"/>
    <w:basedOn w:val="Normal"/>
    <w:next w:val="Normal"/>
    <w:pPr>
      <w:spacing w:before="0" w:after="0"/>
      <w:ind w:hanging="0" w:start="880" w:end="0"/>
    </w:pPr>
    <w:rPr>
      <w:sz w:val="18"/>
      <w:szCs w:val="18"/>
    </w:rPr>
  </w:style>
  <w:style w:type="paragraph" w:styleId="TOC6">
    <w:name w:val="toc 6"/>
    <w:basedOn w:val="Normal"/>
    <w:next w:val="Normal"/>
    <w:pPr>
      <w:spacing w:before="0" w:after="0"/>
      <w:ind w:hanging="0" w:start="1100" w:end="0"/>
    </w:pPr>
    <w:rPr>
      <w:sz w:val="18"/>
      <w:szCs w:val="18"/>
    </w:rPr>
  </w:style>
  <w:style w:type="paragraph" w:styleId="TOC7">
    <w:name w:val="toc 7"/>
    <w:basedOn w:val="Normal"/>
    <w:next w:val="Normal"/>
    <w:pPr>
      <w:spacing w:before="0" w:after="0"/>
      <w:ind w:hanging="0" w:start="1320" w:end="0"/>
    </w:pPr>
    <w:rPr>
      <w:sz w:val="18"/>
      <w:szCs w:val="18"/>
    </w:rPr>
  </w:style>
  <w:style w:type="paragraph" w:styleId="TOC8">
    <w:name w:val="toc 8"/>
    <w:basedOn w:val="Normal"/>
    <w:next w:val="Normal"/>
    <w:pPr>
      <w:spacing w:before="0" w:after="0"/>
      <w:ind w:hanging="0" w:start="1540" w:end="0"/>
    </w:pPr>
    <w:rPr>
      <w:sz w:val="18"/>
      <w:szCs w:val="18"/>
    </w:rPr>
  </w:style>
  <w:style w:type="paragraph" w:styleId="TOC9">
    <w:name w:val="toc 9"/>
    <w:basedOn w:val="Normal"/>
    <w:next w:val="Normal"/>
    <w:pPr>
      <w:spacing w:before="0" w:after="0"/>
      <w:ind w:hanging="0" w:start="1760" w:end="0"/>
    </w:pPr>
    <w:rPr>
      <w:sz w:val="18"/>
      <w:szCs w:val="18"/>
    </w:rPr>
  </w:style>
  <w:style w:type="paragraph" w:styleId="Bullet1BodyText">
    <w:name w:val="Bullet 1 Body Text"/>
    <w:basedOn w:val="Normal"/>
    <w:qFormat/>
    <w:pPr>
      <w:numPr>
        <w:ilvl w:val="0"/>
        <w:numId w:val="9"/>
      </w:numPr>
      <w:spacing w:before="240" w:after="240"/>
    </w:pPr>
    <w:rPr/>
  </w:style>
  <w:style w:type="paragraph" w:styleId="TableLevel1Numbered">
    <w:name w:val="Table Level 1 Numbered"/>
    <w:basedOn w:val="Normal"/>
    <w:qFormat/>
    <w:pPr>
      <w:numPr>
        <w:ilvl w:val="0"/>
        <w:numId w:val="8"/>
      </w:numPr>
    </w:pPr>
    <w:rPr/>
  </w:style>
  <w:style w:type="paragraph" w:styleId="TableTextBullet">
    <w:name w:val="Table Text Bullet"/>
    <w:basedOn w:val="Normal"/>
    <w:qFormat/>
    <w:pPr>
      <w:numPr>
        <w:ilvl w:val="0"/>
        <w:numId w:val="16"/>
      </w:numPr>
    </w:pPr>
    <w:rPr/>
  </w:style>
  <w:style w:type="paragraph" w:styleId="Bullet1Table">
    <w:name w:val="Bullet 1 Table"/>
    <w:basedOn w:val="TableTextBullet"/>
    <w:next w:val="TableTextBullet"/>
    <w:qFormat/>
    <w:pPr>
      <w:numPr>
        <w:ilvl w:val="0"/>
        <w:numId w:val="16"/>
      </w:numPr>
    </w:pPr>
    <w:rPr/>
  </w:style>
  <w:style w:type="paragraph" w:styleId="Heading1Numbered">
    <w:name w:val="Heading 1 Numbered"/>
    <w:basedOn w:val="Normal"/>
    <w:next w:val="TableText"/>
    <w:qFormat/>
    <w:pPr>
      <w:keepNext w:val="true"/>
      <w:keepLines/>
      <w:spacing w:before="480" w:after="240"/>
    </w:pPr>
    <w:rPr>
      <w:rFonts w:ascii="Times New Roman Bold;Times New Roman" w:hAnsi="Times New Roman Bold;Times New Roman" w:cs="Times New Roman Bold;Times New Roman"/>
      <w:b/>
      <w:caps/>
      <w:sz w:val="28"/>
    </w:rPr>
  </w:style>
  <w:style w:type="paragraph" w:styleId="Heading2Numbered">
    <w:name w:val="Heading 2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Heading3Numbered">
    <w:name w:val="Heading 3 Numbered"/>
    <w:basedOn w:val="Heading2Numbered"/>
    <w:next w:val="TableText"/>
    <w:qFormat/>
    <w:pPr>
      <w:numPr>
        <w:ilvl w:val="0"/>
        <w:numId w:val="13"/>
      </w:numPr>
    </w:pPr>
    <w:rPr/>
  </w:style>
  <w:style w:type="paragraph" w:styleId="Heading4Numbered">
    <w:name w:val="Heading 4 Numbered"/>
    <w:basedOn w:val="Normal"/>
    <w:next w:val="TableText"/>
    <w:qFormat/>
    <w:pPr>
      <w:keepNext w:val="true"/>
      <w:keepLines/>
      <w:numPr>
        <w:ilvl w:val="0"/>
        <w:numId w:val="13"/>
      </w:numPr>
      <w:spacing w:before="240" w:after="240"/>
    </w:pPr>
    <w:rPr>
      <w:rFonts w:ascii="Times New Roman Bold;Times New Roman" w:hAnsi="Times New Roman Bold;Times New Roman" w:cs="Times New Roman Bold;Times New Roman"/>
      <w:b/>
      <w:sz w:val="24"/>
    </w:rPr>
  </w:style>
  <w:style w:type="paragraph" w:styleId="TableText">
    <w:name w:val="Table Text"/>
    <w:basedOn w:val="Normal"/>
    <w:qFormat/>
    <w:pPr/>
    <w:rPr/>
  </w:style>
  <w:style w:type="paragraph" w:styleId="TableLevel2Numbered">
    <w:name w:val="Table Level 2 Numbered"/>
    <w:basedOn w:val="Normal"/>
    <w:qFormat/>
    <w:pPr>
      <w:numPr>
        <w:ilvl w:val="0"/>
        <w:numId w:val="8"/>
      </w:numPr>
    </w:pPr>
    <w:rPr/>
  </w:style>
  <w:style w:type="paragraph" w:styleId="TableLevel3Numbered">
    <w:name w:val="Table Level 3 Numbered"/>
    <w:basedOn w:val="Normal"/>
    <w:qFormat/>
    <w:pPr>
      <w:numPr>
        <w:ilvl w:val="0"/>
        <w:numId w:val="8"/>
      </w:numPr>
    </w:pPr>
    <w:rPr/>
  </w:style>
  <w:style w:type="paragraph" w:styleId="TableLevel4Numbered">
    <w:name w:val="Table Level 4 Numbered"/>
    <w:basedOn w:val="Normal"/>
    <w:qFormat/>
    <w:pPr>
      <w:numPr>
        <w:ilvl w:val="0"/>
        <w:numId w:val="8"/>
      </w:numPr>
    </w:pPr>
    <w:rPr/>
  </w:style>
  <w:style w:type="paragraph" w:styleId="TableLevel1Text">
    <w:name w:val="Table Level 1 Text"/>
    <w:basedOn w:val="BodyText"/>
    <w:qFormat/>
    <w:pPr/>
    <w:rPr>
      <w:iCs/>
    </w:rPr>
  </w:style>
  <w:style w:type="paragraph" w:styleId="TableLevel2Text">
    <w:name w:val="Table Level 2 Text"/>
    <w:basedOn w:val="BodyText"/>
    <w:qFormat/>
    <w:pPr>
      <w:ind w:hanging="0" w:start="1008" w:end="0"/>
    </w:pPr>
    <w:rPr/>
  </w:style>
  <w:style w:type="paragraph" w:styleId="TableLevel3Text">
    <w:name w:val="Table Level 3 Text"/>
    <w:basedOn w:val="BodyText"/>
    <w:qFormat/>
    <w:pPr>
      <w:ind w:hanging="0" w:start="1296" w:end="0"/>
    </w:pPr>
    <w:rPr/>
  </w:style>
  <w:style w:type="paragraph" w:styleId="TableLevel4Text">
    <w:name w:val="Table Level 4 Text"/>
    <w:basedOn w:val="BodyText"/>
    <w:qFormat/>
    <w:pPr>
      <w:ind w:hanging="0" w:start="1440" w:end="0"/>
    </w:pPr>
    <w:rPr/>
  </w:style>
  <w:style w:type="paragraph" w:styleId="BodyLevel1Numbered">
    <w:name w:val="Body Level 1 Numbered"/>
    <w:basedOn w:val="Normal"/>
    <w:qFormat/>
    <w:pPr>
      <w:numPr>
        <w:ilvl w:val="0"/>
        <w:numId w:val="10"/>
      </w:numPr>
      <w:spacing w:before="180" w:after="180"/>
    </w:pPr>
    <w:rPr/>
  </w:style>
  <w:style w:type="paragraph" w:styleId="BodyLevel2Numbered">
    <w:name w:val="Body Level 2 Numbered"/>
    <w:basedOn w:val="Normal"/>
    <w:qFormat/>
    <w:pPr>
      <w:numPr>
        <w:ilvl w:val="0"/>
        <w:numId w:val="10"/>
      </w:numPr>
      <w:spacing w:before="180" w:after="180"/>
    </w:pPr>
    <w:rPr/>
  </w:style>
  <w:style w:type="paragraph" w:styleId="BodyLevel3Numbered">
    <w:name w:val="Body Level 3 Numbered"/>
    <w:basedOn w:val="Normal"/>
    <w:qFormat/>
    <w:pPr>
      <w:numPr>
        <w:ilvl w:val="0"/>
        <w:numId w:val="10"/>
      </w:numPr>
      <w:spacing w:before="180" w:after="180"/>
    </w:pPr>
    <w:rPr/>
  </w:style>
  <w:style w:type="paragraph" w:styleId="BodyLevel4Numbered">
    <w:name w:val="Body Level 4 Numbered"/>
    <w:basedOn w:val="Normal"/>
    <w:qFormat/>
    <w:pPr>
      <w:numPr>
        <w:ilvl w:val="0"/>
        <w:numId w:val="10"/>
      </w:numPr>
      <w:spacing w:before="180" w:after="180"/>
    </w:pPr>
    <w:rPr/>
  </w:style>
  <w:style w:type="paragraph" w:styleId="BodyLevel1Text">
    <w:name w:val="Body Level 1 Text"/>
    <w:basedOn w:val="BodyText"/>
    <w:qFormat/>
    <w:pPr>
      <w:ind w:hanging="0" w:start="1620" w:end="0"/>
    </w:pPr>
    <w:rPr/>
  </w:style>
  <w:style w:type="paragraph" w:styleId="BodyLevel2Text">
    <w:name w:val="Body Level 2 Text"/>
    <w:basedOn w:val="BodyText"/>
    <w:qFormat/>
    <w:pPr>
      <w:ind w:hanging="0" w:start="2160" w:end="0"/>
    </w:pPr>
    <w:rPr/>
  </w:style>
  <w:style w:type="paragraph" w:styleId="BodyLevel3Text">
    <w:name w:val="Body Level 3 Text"/>
    <w:basedOn w:val="BodyText"/>
    <w:qFormat/>
    <w:pPr>
      <w:ind w:hanging="0" w:start="2700" w:end="0"/>
    </w:pPr>
    <w:rPr/>
  </w:style>
  <w:style w:type="paragraph" w:styleId="BodyLevel4Text">
    <w:name w:val="Body Level 4 Text"/>
    <w:basedOn w:val="BodyText"/>
    <w:qFormat/>
    <w:pPr>
      <w:ind w:hanging="0" w:start="3240" w:end="0"/>
    </w:pPr>
    <w:rPr/>
  </w:style>
  <w:style w:type="paragraph" w:styleId="Bullet1Level1">
    <w:name w:val="Bullet 1 Level 1"/>
    <w:basedOn w:val="Normal"/>
    <w:qFormat/>
    <w:pPr>
      <w:numPr>
        <w:ilvl w:val="0"/>
        <w:numId w:val="12"/>
      </w:numPr>
    </w:pPr>
    <w:rPr/>
  </w:style>
  <w:style w:type="paragraph" w:styleId="Level1Numbered">
    <w:name w:val="Level 1 Numbered"/>
    <w:basedOn w:val="Normal"/>
    <w:qFormat/>
    <w:pPr>
      <w:numPr>
        <w:ilvl w:val="0"/>
        <w:numId w:val="21"/>
      </w:numPr>
    </w:pPr>
    <w:rPr>
      <w:bCs/>
    </w:rPr>
  </w:style>
  <w:style w:type="paragraph" w:styleId="Sprechblasentext">
    <w:name w:val="Sprechblasentext"/>
    <w:basedOn w:val="Normal"/>
    <w:qFormat/>
    <w:pPr/>
    <w:rPr>
      <w:rFonts w:ascii="Tahoma" w:hAnsi="Tahoma" w:cs="Tahoma"/>
      <w:sz w:val="16"/>
      <w:szCs w:val="16"/>
    </w:rPr>
  </w:style>
  <w:style w:type="paragraph" w:styleId="TableTextCharChar">
    <w:name w:val="Table Text Char Char"/>
    <w:basedOn w:val="Normal"/>
    <w:qFormat/>
    <w:pPr/>
    <w:rPr/>
  </w:style>
  <w:style w:type="paragraph" w:styleId="StyleHeading1NumberedJustified">
    <w:name w:val="Style Heading 1 Numbered + Justified"/>
    <w:basedOn w:val="Heading1Numbered"/>
    <w:qFormat/>
    <w:pPr>
      <w:numPr>
        <w:ilvl w:val="0"/>
        <w:numId w:val="0"/>
      </w:numPr>
      <w:ind w:hanging="0" w:start="0" w:end="0"/>
      <w:jc w:val="both"/>
    </w:pPr>
    <w:rPr>
      <w:bCs/>
      <w:szCs w:val="20"/>
    </w:rPr>
  </w:style>
  <w:style w:type="paragraph" w:styleId="FootnoteText">
    <w:name w:val="footnote text"/>
    <w:basedOn w:val="Normal"/>
    <w:pPr>
      <w:keepLines/>
      <w:spacing w:before="0" w:after="240"/>
      <w:jc w:val="both"/>
    </w:pPr>
    <w:rPr>
      <w:sz w:val="20"/>
      <w:szCs w:val="20"/>
    </w:rPr>
  </w:style>
  <w:style w:type="paragraph" w:styleId="BodyTextBullet">
    <w:name w:val="Body Text Bullet"/>
    <w:basedOn w:val="Normal"/>
    <w:qFormat/>
    <w:pPr>
      <w:numPr>
        <w:ilvl w:val="0"/>
        <w:numId w:val="19"/>
      </w:numPr>
      <w:tabs>
        <w:tab w:val="clear" w:pos="720"/>
        <w:tab w:val="left" w:pos="1440" w:leader="none"/>
      </w:tabs>
      <w:ind w:hanging="360" w:start="1440" w:end="0"/>
    </w:pPr>
    <w:rPr/>
  </w:style>
  <w:style w:type="paragraph" w:styleId="BodyTextBulletL1">
    <w:name w:val="Body Text Bullet L1"/>
    <w:basedOn w:val="Normal"/>
    <w:qFormat/>
    <w:pPr>
      <w:numPr>
        <w:ilvl w:val="0"/>
        <w:numId w:val="20"/>
      </w:numPr>
      <w:ind w:hanging="360" w:start="0" w:end="0"/>
    </w:pPr>
    <w:rPr/>
  </w:style>
  <w:style w:type="paragraph" w:styleId="BodyTextBulletL2">
    <w:name w:val="Body Text Bullet L2"/>
    <w:basedOn w:val="Normal"/>
    <w:qFormat/>
    <w:pPr>
      <w:numPr>
        <w:ilvl w:val="0"/>
        <w:numId w:val="14"/>
      </w:numPr>
      <w:ind w:hanging="367" w:start="0" w:end="0"/>
    </w:pPr>
    <w:rPr/>
  </w:style>
  <w:style w:type="paragraph" w:styleId="BodyTextBulletL3">
    <w:name w:val="Body Text Bullet L3"/>
    <w:basedOn w:val="Normal"/>
    <w:qFormat/>
    <w:pPr>
      <w:numPr>
        <w:ilvl w:val="0"/>
        <w:numId w:val="22"/>
      </w:numPr>
      <w:ind w:hanging="360" w:start="0" w:end="0"/>
    </w:pPr>
    <w:rPr/>
  </w:style>
  <w:style w:type="paragraph" w:styleId="Datum">
    <w:name w:val="Datum"/>
    <w:basedOn w:val="Normal"/>
    <w:next w:val="Normal"/>
    <w:qFormat/>
    <w:pPr/>
    <w:rPr/>
  </w:style>
  <w:style w:type="paragraph" w:styleId="Head1-NoTOCor">
    <w:name w:val="Head 1 - No TOC or #"/>
    <w:basedOn w:val="Normal"/>
    <w:next w:val="TableText"/>
    <w:qFormat/>
    <w:pPr>
      <w:keepNext w:val="true"/>
      <w:keepLines/>
      <w:spacing w:before="240" w:after="240"/>
    </w:pPr>
    <w:rPr>
      <w:rFonts w:ascii="Times New Roman Bold;Times New Roman" w:hAnsi="Times New Roman Bold;Times New Roman" w:cs="Times New Roman Bold;Times New Roman"/>
      <w:b/>
      <w:caps/>
      <w:sz w:val="28"/>
      <w:szCs w:val="28"/>
    </w:rPr>
  </w:style>
  <w:style w:type="paragraph" w:styleId="Head1-NoTOC">
    <w:name w:val="Head 1 # - No TOC"/>
    <w:basedOn w:val="Heading1Numbered"/>
    <w:next w:val="BodyText"/>
    <w:qFormat/>
    <w:pPr>
      <w:numPr>
        <w:ilvl w:val="0"/>
        <w:numId w:val="15"/>
      </w:numPr>
    </w:pPr>
    <w:rPr/>
  </w:style>
  <w:style w:type="paragraph" w:styleId="Head2-NoTOCor">
    <w:name w:val="Head 2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8"/>
      <w:szCs w:val="28"/>
    </w:rPr>
  </w:style>
  <w:style w:type="paragraph" w:styleId="Head2-NoTOC">
    <w:name w:val="Head 2 # - No TOC"/>
    <w:basedOn w:val="Heading2Numbered"/>
    <w:next w:val="BodyText"/>
    <w:qFormat/>
    <w:pPr>
      <w:numPr>
        <w:ilvl w:val="0"/>
        <w:numId w:val="15"/>
      </w:numPr>
    </w:pPr>
    <w:rPr/>
  </w:style>
  <w:style w:type="paragraph" w:styleId="Head3-NoTOCor">
    <w:name w:val="Head 3 - No TOC or #"/>
    <w:basedOn w:val="Normal"/>
    <w:next w:val="TableText"/>
    <w:qFormat/>
    <w:pPr>
      <w:keepNext w:val="true"/>
      <w:keepLines/>
      <w:spacing w:before="240" w:after="240"/>
    </w:pPr>
    <w:rPr>
      <w:rFonts w:ascii="Times New Roman Bold;Times New Roman" w:hAnsi="Times New Roman Bold;Times New Roman" w:cs="Times New Roman Bold;Times New Roman"/>
      <w:b/>
      <w:sz w:val="24"/>
    </w:rPr>
  </w:style>
  <w:style w:type="paragraph" w:styleId="Head3-NoTOC">
    <w:name w:val="Head 3 # - No TOC"/>
    <w:basedOn w:val="Heading3Numbered"/>
    <w:next w:val="BodyText"/>
    <w:qFormat/>
    <w:pPr>
      <w:numPr>
        <w:ilvl w:val="0"/>
        <w:numId w:val="15"/>
      </w:numPr>
    </w:pPr>
    <w:rPr/>
  </w:style>
  <w:style w:type="paragraph" w:styleId="Head4-NoTOCor">
    <w:name w:val="Head 4 - No TOC or #"/>
    <w:basedOn w:val="Heading4"/>
    <w:next w:val="TableText"/>
    <w:qFormat/>
    <w:pPr>
      <w:numPr>
        <w:ilvl w:val="0"/>
        <w:numId w:val="17"/>
      </w:numPr>
    </w:pPr>
    <w:rPr/>
  </w:style>
  <w:style w:type="paragraph" w:styleId="Head4-NoTOC">
    <w:name w:val="Head 4 # - No TOC"/>
    <w:basedOn w:val="Heading4Numbered"/>
    <w:next w:val="BodyText"/>
    <w:qFormat/>
    <w:pPr>
      <w:numPr>
        <w:ilvl w:val="0"/>
        <w:numId w:val="15"/>
      </w:numPr>
    </w:pPr>
    <w:rPr/>
  </w:style>
  <w:style w:type="paragraph" w:styleId="Aufzhlungszeichen">
    <w:name w:val="Aufzählungszeichen"/>
    <w:basedOn w:val="BodyTextBullet"/>
    <w:qFormat/>
    <w:pPr/>
    <w:rPr/>
  </w:style>
  <w:style w:type="paragraph" w:styleId="Aufzhlungszeichen2">
    <w:name w:val="Aufzählungszeichen 2"/>
    <w:basedOn w:val="BodyTextBulletL1"/>
    <w:qFormat/>
    <w:pPr/>
    <w:rPr/>
  </w:style>
  <w:style w:type="paragraph" w:styleId="TableLevel1-2Bullet">
    <w:name w:val="Table Level 1-2 Bullet"/>
    <w:basedOn w:val="Normal"/>
    <w:qFormat/>
    <w:pPr>
      <w:numPr>
        <w:ilvl w:val="0"/>
        <w:numId w:val="18"/>
      </w:numPr>
    </w:pPr>
    <w:rPr/>
  </w:style>
  <w:style w:type="paragraph" w:styleId="TableLevel1-2Indent">
    <w:name w:val="Table Level 1-2 Indent"/>
    <w:basedOn w:val="Normal"/>
    <w:qFormat/>
    <w:pPr>
      <w:ind w:hanging="0" w:start="720" w:end="0"/>
    </w:pPr>
    <w:rPr/>
  </w:style>
  <w:style w:type="paragraph" w:styleId="TableLevel5Numbered">
    <w:name w:val="Table Level 5 Numbered"/>
    <w:basedOn w:val="Normal"/>
    <w:qFormat/>
    <w:pPr>
      <w:numPr>
        <w:ilvl w:val="0"/>
        <w:numId w:val="8"/>
      </w:numPr>
    </w:pPr>
    <w:rPr/>
  </w:style>
  <w:style w:type="paragraph" w:styleId="TableLevel3-4Bullet">
    <w:name w:val="Table Level 3-4 Bullet"/>
    <w:basedOn w:val="Normal"/>
    <w:qFormat/>
    <w:pPr>
      <w:numPr>
        <w:ilvl w:val="0"/>
        <w:numId w:val="11"/>
      </w:numPr>
    </w:pPr>
    <w:rPr/>
  </w:style>
  <w:style w:type="paragraph" w:styleId="TableLevel3-4Indent">
    <w:name w:val="Table Level 3-4 Indent"/>
    <w:basedOn w:val="Normal"/>
    <w:qFormat/>
    <w:pPr>
      <w:ind w:hanging="0" w:start="1296" w:end="0"/>
    </w:pPr>
    <w:rPr/>
  </w:style>
  <w:style w:type="paragraph" w:styleId="Bullet1Body">
    <w:name w:val="Bullet 1 Body"/>
    <w:basedOn w:val="BodyTextBullet"/>
    <w:next w:val="BodyTextBullet"/>
    <w:qFormat/>
    <w:pPr/>
    <w:rPr/>
  </w:style>
  <w:style w:type="paragraph" w:styleId="TableLevel6Numbered">
    <w:name w:val="Table Level 6 Numbered"/>
    <w:basedOn w:val="Normal"/>
    <w:qFormat/>
    <w:pPr>
      <w:numPr>
        <w:ilvl w:val="0"/>
        <w:numId w:val="8"/>
      </w:numPr>
    </w:pPr>
    <w:rPr/>
  </w:style>
  <w:style w:type="paragraph" w:styleId="TableLevel7Numbered">
    <w:name w:val="Table Level 7 Numbered"/>
    <w:basedOn w:val="Normal"/>
    <w:qFormat/>
    <w:pPr>
      <w:numPr>
        <w:ilvl w:val="0"/>
        <w:numId w:val="8"/>
      </w:numPr>
    </w:pPr>
    <w:rPr/>
  </w:style>
  <w:style w:type="paragraph" w:styleId="TableLevel8Numbered">
    <w:name w:val="Table Level 8 Numbered"/>
    <w:basedOn w:val="Normal"/>
    <w:qFormat/>
    <w:pPr>
      <w:numPr>
        <w:ilvl w:val="0"/>
        <w:numId w:val="8"/>
      </w:numPr>
    </w:pPr>
    <w:rPr/>
  </w:style>
  <w:style w:type="paragraph" w:styleId="Listennummer">
    <w:name w:val="Listennummer"/>
    <w:basedOn w:val="Normal"/>
    <w:qFormat/>
    <w:pPr>
      <w:numPr>
        <w:ilvl w:val="0"/>
        <w:numId w:val="7"/>
      </w:numPr>
    </w:pPr>
    <w:rPr/>
  </w:style>
  <w:style w:type="paragraph" w:styleId="Listennummer2">
    <w:name w:val="Listennummer 2"/>
    <w:basedOn w:val="Normal"/>
    <w:qFormat/>
    <w:pPr>
      <w:numPr>
        <w:ilvl w:val="0"/>
        <w:numId w:val="4"/>
      </w:numPr>
    </w:pPr>
    <w:rPr/>
  </w:style>
  <w:style w:type="paragraph" w:styleId="Listennummer3">
    <w:name w:val="Listennummer 3"/>
    <w:basedOn w:val="Normal"/>
    <w:qFormat/>
    <w:pPr>
      <w:numPr>
        <w:ilvl w:val="0"/>
        <w:numId w:val="3"/>
      </w:numPr>
    </w:pPr>
    <w:rPr/>
  </w:style>
  <w:style w:type="paragraph" w:styleId="Listennummer4">
    <w:name w:val="Listennummer 4"/>
    <w:basedOn w:val="Normal"/>
    <w:qFormat/>
    <w:pPr>
      <w:numPr>
        <w:ilvl w:val="0"/>
        <w:numId w:val="2"/>
      </w:numPr>
    </w:pPr>
    <w:rPr/>
  </w:style>
  <w:style w:type="paragraph" w:styleId="Aufzhlungszeichen3">
    <w:name w:val="Aufzählungszeichen 3"/>
    <w:basedOn w:val="Normal"/>
    <w:qFormat/>
    <w:pPr>
      <w:numPr>
        <w:ilvl w:val="0"/>
        <w:numId w:val="6"/>
      </w:numPr>
    </w:pPr>
    <w:rPr/>
  </w:style>
  <w:style w:type="paragraph" w:styleId="Aufzhlungszeichen4">
    <w:name w:val="Aufzählungszeichen 4"/>
    <w:basedOn w:val="Normal"/>
    <w:qFormat/>
    <w:pPr>
      <w:numPr>
        <w:ilvl w:val="0"/>
        <w:numId w:val="5"/>
      </w:numPr>
    </w:pPr>
    <w:rPr/>
  </w:style>
  <w:style w:type="paragraph" w:styleId="Listenfortsetzung">
    <w:name w:val="Listenfortsetzung"/>
    <w:basedOn w:val="Normal"/>
    <w:qFormat/>
    <w:pPr>
      <w:ind w:hanging="0" w:start="360" w:end="0"/>
    </w:pPr>
    <w:rPr/>
  </w:style>
  <w:style w:type="paragraph" w:styleId="Listenfortsetzung2">
    <w:name w:val="Listenfortsetzung 2"/>
    <w:basedOn w:val="Normal"/>
    <w:qFormat/>
    <w:pPr>
      <w:ind w:hanging="0" w:start="720" w:end="0"/>
    </w:pPr>
    <w:rPr/>
  </w:style>
  <w:style w:type="paragraph" w:styleId="Listenfortsetzung3">
    <w:name w:val="Listenfortsetzung 3"/>
    <w:basedOn w:val="Normal"/>
    <w:qFormat/>
    <w:pPr>
      <w:ind w:hanging="0" w:start="1080" w:end="0"/>
    </w:pPr>
    <w:rPr/>
  </w:style>
  <w:style w:type="paragraph" w:styleId="Listenfortsetzung4">
    <w:name w:val="Listenfortsetzung 4"/>
    <w:basedOn w:val="Normal"/>
    <w:qFormat/>
    <w:pPr>
      <w:ind w:hanging="0" w:start="1440" w:end="0"/>
    </w:pPr>
    <w:rPr/>
  </w:style>
  <w:style w:type="paragraph" w:styleId="Revised-New">
    <w:name w:val="Revised - New"/>
    <w:basedOn w:val="Normal"/>
    <w:qFormat/>
    <w:pPr/>
    <w:rPr>
      <w:rFonts w:ascii="Arial" w:hAnsi="Arial" w:cs="Arial"/>
      <w:b/>
      <w:color w:val="333399"/>
      <w:szCs w:val="22"/>
    </w:rPr>
  </w:style>
  <w:style w:type="paragraph" w:styleId="Heading5Numbered">
    <w:name w:val="Heading 5 Numbered"/>
    <w:basedOn w:val="Normal"/>
    <w:qFormat/>
    <w:pPr>
      <w:numPr>
        <w:ilvl w:val="0"/>
        <w:numId w:val="13"/>
      </w:numPr>
    </w:pPr>
    <w:rPr>
      <w:b/>
    </w:rPr>
  </w:style>
  <w:style w:type="paragraph" w:styleId="TableRef">
    <w:name w:val="Table Ref #"/>
    <w:qFormat/>
    <w:pPr>
      <w:widowControl/>
      <w:bidi w:val="0"/>
      <w:spacing w:before="120" w:after="120"/>
    </w:pPr>
    <w:rPr>
      <w:rFonts w:ascii="Times New Roman" w:hAnsi="Times New Roman" w:eastAsia="Times New Roman" w:cs="Times New Roman"/>
      <w:color w:val="auto"/>
      <w:sz w:val="16"/>
      <w:szCs w:val="24"/>
      <w:lang w:val="en-US" w:bidi="ar-SA" w:eastAsia="zh-CN"/>
    </w:rPr>
  </w:style>
  <w:style w:type="paragraph" w:styleId="TableComplyColYN">
    <w:name w:val="Table Comply Col (Y/N)"/>
    <w:qFormat/>
    <w:pPr>
      <w:widowControl/>
      <w:bidi w:val="0"/>
      <w:spacing w:before="120" w:after="120"/>
      <w:jc w:val="center"/>
    </w:pPr>
    <w:rPr>
      <w:rFonts w:ascii="Times New Roman" w:hAnsi="Times New Roman" w:eastAsia="Times New Roman" w:cs="Times New Roman"/>
      <w:color w:val="auto"/>
      <w:sz w:val="22"/>
      <w:szCs w:val="24"/>
      <w:lang w:val="en-US" w:bidi="ar-SA" w:eastAsia="zh-CN"/>
    </w:rPr>
  </w:style>
  <w:style w:type="paragraph" w:styleId="TableTextItalic">
    <w:name w:val="Table Text Italic"/>
    <w:basedOn w:val="TableText"/>
    <w:qFormat/>
    <w:pPr/>
    <w:rPr>
      <w:i/>
    </w:rPr>
  </w:style>
  <w:style w:type="paragraph" w:styleId="ReverseIndent">
    <w:name w:val="Reverse Indent"/>
    <w:qFormat/>
    <w:pPr>
      <w:widowControl/>
      <w:bidi w:val="0"/>
      <w:spacing w:before="120" w:after="120"/>
      <w:ind w:hanging="504" w:start="720" w:end="0"/>
    </w:pPr>
    <w:rPr>
      <w:rFonts w:ascii="Times New Roman" w:hAnsi="Times New Roman" w:eastAsia="Times New Roman" w:cs="Times New Roman"/>
      <w:color w:val="auto"/>
      <w:sz w:val="22"/>
      <w:szCs w:val="24"/>
      <w:lang w:val="en-US" w:bidi="ar-SA" w:eastAsia="zh-CN"/>
    </w:rPr>
  </w:style>
  <w:style w:type="paragraph" w:styleId="CharCharCharCharCharCharCharCharCharChar1">
    <w:name w:val=" Char Char Char Char Char Char Char Char Char Char1"/>
    <w:basedOn w:val="Normal"/>
    <w:qFormat/>
    <w:pPr>
      <w:spacing w:lineRule="exact" w:line="240" w:before="0" w:after="160"/>
    </w:pPr>
    <w:rPr>
      <w:rFonts w:ascii="Verdana" w:hAnsi="Verdana" w:cs="Verdana"/>
      <w:sz w:val="20"/>
      <w:szCs w:val="20"/>
    </w:rPr>
  </w:style>
  <w:style w:type="paragraph" w:styleId="CharCharCharCharCharCharCharCharCharChar">
    <w:name w:val=" Char Char Char Char Char Char Char Char Char Char"/>
    <w:basedOn w:val="Normal"/>
    <w:qFormat/>
    <w:pPr>
      <w:spacing w:lineRule="exact" w:line="240" w:before="0" w:after="160"/>
      <w:jc w:val="both"/>
    </w:pPr>
    <w:rPr>
      <w:rFonts w:ascii="Arial" w:hAnsi="Arial" w:cs="Arial"/>
      <w:sz w:val="20"/>
      <w:szCs w:val="20"/>
    </w:rPr>
  </w:style>
  <w:style w:type="paragraph" w:styleId="CharCharCharCharCharCharChar">
    <w:name w:val=" Char Char Char Char Char Char Char"/>
    <w:basedOn w:val="Normal"/>
    <w:qFormat/>
    <w:pPr>
      <w:spacing w:lineRule="exact" w:line="240" w:before="0" w:after="160"/>
    </w:pPr>
    <w:rPr>
      <w:rFonts w:ascii="Verdana" w:hAnsi="Verdana" w:cs="Verdana"/>
      <w:sz w:val="20"/>
      <w:szCs w:val="20"/>
    </w:rPr>
  </w:style>
  <w:style w:type="paragraph" w:styleId="Char1CharCharCharCharChar">
    <w:name w:val="Char1 Char Char Char Char Char"/>
    <w:basedOn w:val="Normal"/>
    <w:qFormat/>
    <w:pPr>
      <w:spacing w:lineRule="exact" w:line="240" w:before="0" w:after="160"/>
      <w:jc w:val="both"/>
    </w:pPr>
    <w:rPr>
      <w:rFonts w:ascii="Arial" w:hAnsi="Arial" w:cs="Arial"/>
      <w:sz w:val="20"/>
      <w:szCs w:val="20"/>
    </w:rPr>
  </w:style>
  <w:style w:type="paragraph" w:styleId="Formatvorlage1">
    <w:name w:val="Formatvorlage1"/>
    <w:basedOn w:val="Heading1"/>
    <w:qFormat/>
    <w:pPr>
      <w:numPr>
        <w:ilvl w:val="0"/>
        <w:numId w:val="17"/>
      </w:numPr>
      <w:tabs>
        <w:tab w:val="clear" w:pos="720"/>
        <w:tab w:val="left" w:pos="505" w:leader="none"/>
      </w:tabs>
      <w:ind w:hanging="505" w:start="505" w:end="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image" Target="media/image1.wmf"/><Relationship Id="rId3"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TPIRFP_v2A</Template>
  <TotalTime>0</TotalTime>
  <Application>LibreOffice/25.2.2.2$MacOSX_AARCH64 LibreOffice_project/7370d4be9e3cf6031a51beef54ff3bda878e3fac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2007-01-29T20:04:00Z</dcterms:created>
  <dc:creator>josepma2</dc:creator>
  <dc:description/>
  <cp:keywords>General Accounting</cp:keywords>
  <dc:language>en-US</dc:language>
  <cp:lastModifiedBy>Wenger Plattner</cp:lastModifiedBy>
  <cp:lastPrinted>2005-10-31T15:43:00Z</cp:lastPrinted>
  <dcterms:modified xsi:type="dcterms:W3CDTF">2007-01-29T20:04:00Z</dcterms:modified>
  <cp:revision>2</cp:revision>
  <dc:subject>E2.8 - General Accounting</dc:subject>
  <dc:title>RFP8 - F&amp;A SOW</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
    <vt:lpwstr>G Woodstrom</vt:lpwstr>
  </property>
  <property fmtid="{D5CDD505-2E9C-101B-9397-08002B2CF9AE}" pid="3" name="Office">
    <vt:lpwstr>Houston, TX</vt:lpwstr>
  </property>
  <property fmtid="{D5CDD505-2E9C-101B-9397-08002B2CF9AE}" pid="4" name="Order">
    <vt:lpwstr>16000.0000000000</vt:lpwstr>
  </property>
  <property fmtid="{D5CDD505-2E9C-101B-9397-08002B2CF9AE}" pid="5" name="Project">
    <vt:lpwstr>RFP 8</vt:lpwstr>
  </property>
  <property fmtid="{D5CDD505-2E9C-101B-9397-08002B2CF9AE}" pid="6" name="Status">
    <vt:lpwstr>Draft</vt:lpwstr>
  </property>
  <property fmtid="{D5CDD505-2E9C-101B-9397-08002B2CF9AE}" pid="7" name="TPI_RefPrefix">
    <vt:lpwstr>E2.2 - A</vt:lpwstr>
  </property>
</Properties>
</file>