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2.3</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fixed asset management (fA)</w:t>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r>
        <w:br w:type="page"/>
      </w:r>
    </w:p>
    <w:p>
      <w:pPr>
        <w:pStyle w:val="Normal"/>
        <w:jc w:val="both"/>
        <w:rPr>
          <w:lang w:val="en-GB"/>
        </w:rPr>
      </w:pPr>
      <w:r>
        <w:rPr>
          <w:lang w:val="en-GB"/>
        </w:rPr>
      </w:r>
    </w:p>
    <w:p>
      <w:pPr>
        <w:pStyle w:val="Titel"/>
        <w:rPr>
          <w:sz w:val="22"/>
          <w:szCs w:val="20"/>
          <w:lang w:val="de-CH"/>
        </w:rPr>
      </w:pPr>
      <w:r>
        <w:rPr>
          <w:sz w:val="22"/>
          <w:szCs w:val="20"/>
          <w:lang w:val="de-CH"/>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 </w:instrText>
          </w:r>
          <w:r>
            <w:rPr>
              <w:rStyle w:val="IndexLink"/>
              <w:smallCaps/>
              <w:lang w:val="en-US" w:eastAsia="en-US"/>
            </w:rPr>
            <w:fldChar w:fldCharType="separate"/>
          </w:r>
          <w:hyperlink w:anchor="__RefHeading___Toc157771659">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660">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fixed asset accounting</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661">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FA – Other Processing</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662">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Reporting and records retention</w:t>
              <w:tab/>
              <w:t>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663">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Third Party Materials</w:t>
              <w:tab/>
              <w:t>6</w:t>
            </w:r>
          </w:hyperlink>
        </w:p>
        <w:p>
          <w:pPr>
            <w:pStyle w:val="TOC1"/>
            <w:tabs>
              <w:tab w:val="clear" w:pos="720"/>
              <w:tab w:val="left" w:pos="440" w:leader="none"/>
              <w:tab w:val="right" w:pos="10506" w:leader="dot"/>
            </w:tabs>
            <w:rPr>
              <w:sz w:val="24"/>
              <w:szCs w:val="24"/>
              <w:lang w:val="de-CH" w:eastAsia="en-US"/>
            </w:rPr>
          </w:pPr>
          <w:hyperlink w:anchor="__RefHeading___Toc157771664">
            <w:r>
              <w:rPr>
                <w:rStyle w:val="IndexLink"/>
                <w:b w:val="false"/>
                <w:bCs w:val="false"/>
                <w:caps w:val="false"/>
                <w:smallCaps w:val="false"/>
                <w:lang w:val="en-US" w:eastAsia="en-US"/>
              </w:rPr>
              <w:t>6.</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IP Rights Listing</w:t>
              <w:tab/>
              <w:t>7</w:t>
            </w:r>
          </w:hyperlink>
          <w:r>
            <w:rPr>
              <w:rStyle w:val="IndexLink"/>
              <w:smallCaps w:val="false"/>
              <w:caps w:val="false"/>
              <w:b w:val="false"/>
              <w:bCs w:val="false"/>
              <w:lang w:val="en-US" w:eastAsia="en-US"/>
            </w:rPr>
            <w:fldChar w:fldCharType="end"/>
          </w:r>
        </w:p>
      </w:sdtContent>
    </w:sdt>
    <w:p>
      <w:pPr>
        <w:pStyle w:val="Normal"/>
        <w:jc w:val="both"/>
        <w:rPr>
          <w:b/>
          <w:bCs/>
          <w:caps/>
          <w:sz w:val="20"/>
          <w:szCs w:val="20"/>
          <w:lang w:val="de-CH" w:eastAsia="en-US"/>
        </w:rPr>
      </w:pPr>
      <w:r>
        <w:rPr>
          <w:b/>
          <w:bCs/>
          <w:caps/>
          <w:sz w:val="20"/>
          <w:szCs w:val="20"/>
          <w:lang w:val="de-CH" w:eastAsia="en-US"/>
        </w:rPr>
      </w:r>
      <w:r>
        <w:br w:type="page"/>
      </w:r>
    </w:p>
    <w:p>
      <w:pPr>
        <w:pStyle w:val="Formatvorlage1"/>
        <w:numPr>
          <w:ilvl w:val="0"/>
          <w:numId w:val="17"/>
        </w:numPr>
        <w:ind w:hanging="0" w:start="0"/>
        <w:rPr/>
      </w:pPr>
      <w:bookmarkStart w:id="0" w:name="__RefHeading___Toc157771659"/>
      <w:bookmarkEnd w:id="0"/>
      <w:r>
        <w:rPr/>
        <w:t>Introduction</w:t>
      </w:r>
    </w:p>
    <w:p>
      <w:pPr>
        <w:pStyle w:val="Heading2"/>
        <w:numPr>
          <w:ilvl w:val="1"/>
          <w:numId w:val="17"/>
        </w:numPr>
        <w:ind w:hanging="0" w:start="0"/>
        <w:rPr/>
      </w:pPr>
      <w:r>
        <w:rPr/>
        <w:t>The Service Provider’s responsibilities include:</w:t>
      </w:r>
    </w:p>
    <w:p>
      <w:pPr>
        <w:pStyle w:val="Heading2"/>
        <w:numPr>
          <w:ilvl w:val="1"/>
          <w:numId w:val="17"/>
        </w:numPr>
        <w:ind w:hanging="0" w:start="0"/>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2"/>
        <w:numPr>
          <w:ilvl w:val="1"/>
          <w:numId w:val="17"/>
        </w:numPr>
        <w:ind w:hanging="0" w:start="0"/>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Formatvorlage1"/>
        <w:numPr>
          <w:ilvl w:val="0"/>
          <w:numId w:val="17"/>
        </w:numPr>
        <w:ind w:hanging="0" w:start="0"/>
        <w:rPr/>
      </w:pPr>
      <w:bookmarkStart w:id="1" w:name="__RefHeading___Toc157771660"/>
      <w:bookmarkEnd w:id="1"/>
      <w:r>
        <w:rPr/>
        <w:t>fixed asset accounting</w:t>
      </w:r>
    </w:p>
    <w:p>
      <w:pPr>
        <w:pStyle w:val="Heading2"/>
        <w:numPr>
          <w:ilvl w:val="1"/>
          <w:numId w:val="17"/>
        </w:numPr>
        <w:ind w:hanging="0" w:start="0"/>
        <w:rPr/>
      </w:pPr>
      <w:r>
        <w:rPr/>
        <w:t>The Service Provider’s responsibilities include but are not limited to the following:</w:t>
      </w:r>
    </w:p>
    <w:p>
      <w:pPr>
        <w:pStyle w:val="Heading3"/>
        <w:numPr>
          <w:ilvl w:val="2"/>
          <w:numId w:val="17"/>
        </w:numPr>
        <w:ind w:hanging="0" w:start="0"/>
        <w:rPr/>
      </w:pPr>
      <w:r>
        <w:rPr/>
        <w:t xml:space="preserve">Receive Capital Authorization Request (CAR) through email or fax. </w:t>
      </w:r>
    </w:p>
    <w:p>
      <w:pPr>
        <w:pStyle w:val="Heading3"/>
        <w:numPr>
          <w:ilvl w:val="2"/>
          <w:numId w:val="17"/>
        </w:numPr>
        <w:ind w:hanging="0" w:start="0"/>
        <w:rPr/>
      </w:pPr>
      <w:r>
        <w:rPr/>
        <w:t>Input Data of approved CAR into a project (investment order) and asset under construction. (Construction in Process = CIP and Asset under Construction = AUC)</w:t>
      </w:r>
    </w:p>
    <w:p>
      <w:pPr>
        <w:pStyle w:val="Heading3"/>
        <w:numPr>
          <w:ilvl w:val="2"/>
          <w:numId w:val="17"/>
        </w:numPr>
        <w:ind w:hanging="0" w:start="0"/>
        <w:rPr/>
      </w:pPr>
      <w:r>
        <w:rPr/>
        <w:t>Validate that the posting of the asset was performed correctly both in terms of asset categorization and asset treatment.</w:t>
      </w:r>
    </w:p>
    <w:p>
      <w:pPr>
        <w:pStyle w:val="Heading3"/>
        <w:numPr>
          <w:ilvl w:val="2"/>
          <w:numId w:val="17"/>
        </w:numPr>
        <w:ind w:hanging="0" w:start="0"/>
        <w:rPr/>
      </w:pPr>
      <w:r>
        <w:rPr/>
        <w:t>Capitalize Fixed Assets which do not require a CAR or which are not classified as CIP on purchase / acquisition.</w:t>
      </w:r>
    </w:p>
    <w:p>
      <w:pPr>
        <w:pStyle w:val="Heading3"/>
        <w:numPr>
          <w:ilvl w:val="2"/>
          <w:numId w:val="17"/>
        </w:numPr>
        <w:ind w:hanging="0" w:start="0"/>
        <w:rPr>
          <w:rFonts w:ascii="Arial" w:hAnsi="Arial" w:cs="Arial"/>
        </w:rPr>
      </w:pPr>
      <w:r>
        <w:rPr/>
        <w:t>Monitor internal order (linked to the CIP) for capital additions for proper authorization. (part of master data creation in G/L cost center accounting)</w:t>
      </w:r>
    </w:p>
    <w:p>
      <w:pPr>
        <w:pStyle w:val="Heading3"/>
        <w:numPr>
          <w:ilvl w:val="2"/>
          <w:numId w:val="17"/>
        </w:numPr>
        <w:ind w:hanging="0" w:start="0"/>
        <w:rPr/>
      </w:pPr>
      <w:r>
        <w:rPr/>
        <w:t>Monitor capital additions without an internal order for proper authorization.</w:t>
      </w:r>
    </w:p>
    <w:p>
      <w:pPr>
        <w:pStyle w:val="Heading3"/>
        <w:numPr>
          <w:ilvl w:val="2"/>
          <w:numId w:val="17"/>
        </w:numPr>
        <w:ind w:hanging="0" w:start="0"/>
        <w:rPr/>
      </w:pPr>
      <w:r>
        <w:rPr/>
        <w:t xml:space="preserve">Monitor and report on capital project numbers to facilitate control and tracking (number and type of reports applicable as indicated in </w:t>
      </w:r>
      <w:r>
        <w:rPr>
          <w:b/>
        </w:rPr>
        <w:t>Attachment 13-A</w:t>
      </w:r>
      <w:r>
        <w:rPr/>
        <w:t xml:space="preserve"> to the extent provided by the in-scope FTEs).</w:t>
      </w:r>
    </w:p>
    <w:p>
      <w:pPr>
        <w:pStyle w:val="Heading3"/>
        <w:numPr>
          <w:ilvl w:val="2"/>
          <w:numId w:val="17"/>
        </w:numPr>
        <w:ind w:hanging="0" w:start="0"/>
        <w:rPr>
          <w:rFonts w:ascii="Arial" w:hAnsi="Arial" w:cs="Arial"/>
        </w:rPr>
      </w:pPr>
      <w:r>
        <w:rPr/>
        <w:t>Post spending associated with approved Capital Authorization Requests (CAR) to either Construction in Process (CIP) if project is not completed or to the appropriate general ledger account if the project is complete on a monthly basis.</w:t>
      </w:r>
    </w:p>
    <w:p>
      <w:pPr>
        <w:pStyle w:val="Heading3"/>
        <w:numPr>
          <w:ilvl w:val="2"/>
          <w:numId w:val="17"/>
        </w:numPr>
        <w:ind w:hanging="0" w:start="0"/>
        <w:rPr>
          <w:rFonts w:ascii="Arial" w:hAnsi="Arial" w:cs="Arial"/>
        </w:rPr>
      </w:pPr>
      <w:r>
        <w:rPr/>
        <w:t xml:space="preserve">Monitor and report on CIP listing to determine timing of capitalization (number and type of reports applicable as indicated in </w:t>
      </w:r>
      <w:r>
        <w:rPr>
          <w:b/>
        </w:rPr>
        <w:t>Attachment 13-A</w:t>
      </w:r>
      <w:r>
        <w:rPr/>
        <w:t xml:space="preserve"> to the extent provided by the in-scope FTEs).</w:t>
      </w:r>
    </w:p>
    <w:p>
      <w:pPr>
        <w:pStyle w:val="Heading3"/>
        <w:numPr>
          <w:ilvl w:val="2"/>
          <w:numId w:val="17"/>
        </w:numPr>
        <w:ind w:hanging="0" w:start="0"/>
        <w:rPr/>
      </w:pPr>
      <w:r>
        <w:rPr/>
        <w:t>Research and determine disposition for inactive projects at month-end or as requests are received from GlobalPharma.</w:t>
      </w:r>
    </w:p>
    <w:p>
      <w:pPr>
        <w:pStyle w:val="Heading3"/>
        <w:numPr>
          <w:ilvl w:val="2"/>
          <w:numId w:val="17"/>
        </w:numPr>
        <w:ind w:hanging="0" w:start="0"/>
        <w:rPr>
          <w:rFonts w:ascii="Arial" w:hAnsi="Arial" w:cs="Arial"/>
        </w:rPr>
      </w:pPr>
      <w:r>
        <w:rPr/>
        <w:t>Update the fixed asset system with master file data, such as category, asset life, locations, cost center, insurance values, etc.</w:t>
      </w:r>
    </w:p>
    <w:p>
      <w:pPr>
        <w:pStyle w:val="Heading3"/>
        <w:numPr>
          <w:ilvl w:val="2"/>
          <w:numId w:val="17"/>
        </w:numPr>
        <w:ind w:hanging="0" w:start="0"/>
        <w:rPr>
          <w:rFonts w:ascii="Arial" w:hAnsi="Arial" w:cs="Arial"/>
        </w:rPr>
      </w:pPr>
      <w:r>
        <w:rPr/>
        <w:t>Post additions to fixed assets for the month to the proper depreciation/ amortization schedules for IFRS and local GAAP.</w:t>
      </w:r>
    </w:p>
    <w:p>
      <w:pPr>
        <w:pStyle w:val="Heading3"/>
        <w:numPr>
          <w:ilvl w:val="2"/>
          <w:numId w:val="17"/>
        </w:numPr>
        <w:ind w:hanging="0" w:start="0"/>
        <w:rPr>
          <w:lang w:val="en-GB"/>
        </w:rPr>
      </w:pPr>
      <w:r>
        <w:rPr/>
        <w:t>Run processes to capitalize fixed assets or fixed asset additions as part of the monthly G/L closing process</w:t>
      </w:r>
    </w:p>
    <w:p>
      <w:pPr>
        <w:pStyle w:val="Heading4"/>
        <w:numPr>
          <w:ilvl w:val="3"/>
          <w:numId w:val="17"/>
        </w:numPr>
        <w:ind w:hanging="0" w:start="0"/>
        <w:rPr/>
      </w:pPr>
      <w:r>
        <w:rPr/>
        <w:t>Zurich: Out of Scope</w:t>
      </w:r>
    </w:p>
    <w:p>
      <w:pPr>
        <w:pStyle w:val="Heading3"/>
        <w:numPr>
          <w:ilvl w:val="2"/>
          <w:numId w:val="17"/>
        </w:numPr>
        <w:ind w:hanging="0" w:start="0"/>
        <w:rPr/>
      </w:pPr>
      <w:r>
        <w:rPr/>
        <w:t>Reconcile fixed asset additions each month to AP and/or other appropriate inputs to balance-sheet capital expenditures.</w:t>
      </w:r>
    </w:p>
    <w:p>
      <w:pPr>
        <w:pStyle w:val="Heading3"/>
        <w:numPr>
          <w:ilvl w:val="2"/>
          <w:numId w:val="17"/>
        </w:numPr>
        <w:ind w:hanging="0" w:start="0"/>
        <w:rPr>
          <w:rFonts w:ascii="Arial" w:hAnsi="Arial" w:cs="Arial"/>
        </w:rPr>
      </w:pPr>
      <w:r>
        <w:rPr/>
        <w:t>Process system jobs to create depreciation journal entries and post entries to general ledger accounts as part of the month-end GL process.</w:t>
      </w:r>
    </w:p>
    <w:p>
      <w:pPr>
        <w:pStyle w:val="Heading3"/>
        <w:numPr>
          <w:ilvl w:val="2"/>
          <w:numId w:val="17"/>
        </w:numPr>
        <w:ind w:hanging="0" w:start="0"/>
        <w:rPr/>
      </w:pPr>
      <w:r>
        <w:rPr/>
        <w:t>Obtain GlobalPharma approval for depreciation exceptions per GlobalPharma policy guidelines.</w:t>
      </w:r>
    </w:p>
    <w:p>
      <w:pPr>
        <w:pStyle w:val="Heading3"/>
        <w:numPr>
          <w:ilvl w:val="2"/>
          <w:numId w:val="17"/>
        </w:numPr>
        <w:ind w:hanging="0" w:start="0"/>
        <w:rPr/>
      </w:pPr>
      <w:r>
        <w:rPr/>
        <w:t>Process system jobs to create statutory and GlobalPharma group depreciation amounts.</w:t>
      </w:r>
    </w:p>
    <w:p>
      <w:pPr>
        <w:pStyle w:val="Heading3"/>
        <w:numPr>
          <w:ilvl w:val="2"/>
          <w:numId w:val="17"/>
        </w:numPr>
        <w:ind w:hanging="0" w:start="0"/>
        <w:rPr>
          <w:rFonts w:ascii="Arial" w:hAnsi="Arial" w:cs="Arial"/>
          <w:lang w:val="en-GB"/>
        </w:rPr>
      </w:pPr>
      <w:r>
        <w:rPr/>
        <w:t>Process and post transactions to record retirements and sales of assets based on requirement from GlobalPharma.</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Obtain GlobalPharma approval for fixed asset retirement and sales exceptions per GlobalPharma policy guidelines.</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Process transfers between cost centers and regions as requested. GlobalPharma must approve exceptions per GlobalPharma policy guidelines.</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 xml:space="preserve">Obtain sign-off by cost center managers regarding accuracy of GlobalPharma FA information. </w:t>
      </w:r>
    </w:p>
    <w:p>
      <w:pPr>
        <w:pStyle w:val="Heading4"/>
        <w:numPr>
          <w:ilvl w:val="3"/>
          <w:numId w:val="17"/>
        </w:numPr>
        <w:ind w:hanging="0" w:start="0"/>
        <w:rPr/>
      </w:pPr>
      <w:r>
        <w:rPr/>
        <w:t>Germany, Italy: Out of Scope.</w:t>
      </w:r>
    </w:p>
    <w:p>
      <w:pPr>
        <w:pStyle w:val="Heading3"/>
        <w:numPr>
          <w:ilvl w:val="2"/>
          <w:numId w:val="17"/>
        </w:numPr>
        <w:ind w:hanging="0" w:start="0"/>
        <w:rPr/>
      </w:pPr>
      <w:r>
        <w:rPr/>
        <w:t>Prepare reports of sub-ledger activity such as capital expenditures, retirements, and asset summaries as per GlobalPharma policy guidelines (number and type of reports applicable as indicated in Attachment 13-A to the extent provided by the in-scope FTEs).</w:t>
      </w:r>
      <w:r>
        <w:rPr>
          <w:b/>
        </w:rPr>
      </w:r>
      <w:r>
        <w:rPr/>
      </w:r>
    </w:p>
    <w:p>
      <w:pPr>
        <w:pStyle w:val="Heading3"/>
        <w:numPr>
          <w:ilvl w:val="2"/>
          <w:numId w:val="17"/>
        </w:numPr>
        <w:ind w:hanging="0" w:start="0"/>
        <w:rPr>
          <w:rFonts w:ascii="Arial" w:hAnsi="Arial" w:cs="Arial"/>
        </w:rPr>
      </w:pPr>
      <w:r>
        <w:rPr/>
        <w:t>Prepare reports for management purposes such as project summary, depreciation expense summary, and fixed asset summary per GlobalPharma policy guidelines (number and type of reports applicable as indicated in Attachment 13-A to the extent provided by the in-scope FTEs).</w:t>
      </w:r>
      <w:r>
        <w:rPr>
          <w:b/>
        </w:rPr>
      </w:r>
      <w:r>
        <w:rPr/>
      </w:r>
    </w:p>
    <w:p>
      <w:pPr>
        <w:pStyle w:val="Heading3"/>
        <w:numPr>
          <w:ilvl w:val="2"/>
          <w:numId w:val="17"/>
        </w:numPr>
        <w:ind w:hanging="0" w:start="0"/>
        <w:rPr/>
      </w:pPr>
      <w:r>
        <w:rPr/>
        <w:t>Respond to end-user requests for asset values and disposition/disposal values.</w:t>
      </w:r>
    </w:p>
    <w:p>
      <w:pPr>
        <w:pStyle w:val="Formatvorlage1"/>
        <w:numPr>
          <w:ilvl w:val="0"/>
          <w:numId w:val="17"/>
        </w:numPr>
        <w:ind w:hanging="0" w:start="0"/>
        <w:rPr/>
      </w:pPr>
      <w:bookmarkStart w:id="2" w:name="__RefHeading___Toc157771661"/>
      <w:r>
        <w:rPr/>
        <w:t>FA – Other Processing</w:t>
      </w:r>
      <w:bookmarkEnd w:id="2"/>
      <w:r>
        <w:rPr/>
        <w:t xml:space="preserve"> </w:t>
      </w:r>
    </w:p>
    <w:p>
      <w:pPr>
        <w:pStyle w:val="Heading2"/>
        <w:numPr>
          <w:ilvl w:val="1"/>
          <w:numId w:val="17"/>
        </w:numPr>
        <w:ind w:hanging="0" w:start="0"/>
        <w:rPr/>
      </w:pPr>
      <w:r>
        <w:rPr/>
        <w:t>The Service Provider’s responsibilities include but are not limited to the following:</w:t>
      </w:r>
    </w:p>
    <w:p>
      <w:pPr>
        <w:pStyle w:val="Heading3"/>
        <w:numPr>
          <w:ilvl w:val="2"/>
          <w:numId w:val="17"/>
        </w:numPr>
        <w:ind w:hanging="0" w:start="0"/>
        <w:rPr/>
      </w:pPr>
      <w:r>
        <w:rPr/>
        <w:t>Provide support for requests for analysis of FA.</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Determine and present journal entries to GlobalPharma Management for approval before recording asset impairments in accordance with GlobalPharma policy guidelines.</w:t>
      </w:r>
    </w:p>
    <w:p>
      <w:pPr>
        <w:pStyle w:val="Heading4"/>
        <w:numPr>
          <w:ilvl w:val="3"/>
          <w:numId w:val="17"/>
        </w:numPr>
        <w:ind w:hanging="0" w:start="0"/>
        <w:rPr>
          <w:rFonts w:ascii="Arial" w:hAnsi="Arial" w:cs="Arial"/>
        </w:rPr>
      </w:pPr>
      <w:bookmarkStart w:id="3" w:name="OLE_LINK2"/>
      <w:bookmarkStart w:id="4" w:name="OLE_LINK1"/>
      <w:bookmarkEnd w:id="3"/>
      <w:bookmarkEnd w:id="4"/>
      <w:r>
        <w:rPr/>
        <w:t>Zurich: Out of Scope</w:t>
      </w:r>
    </w:p>
    <w:p>
      <w:pPr>
        <w:pStyle w:val="Heading3"/>
        <w:numPr>
          <w:ilvl w:val="2"/>
          <w:numId w:val="17"/>
        </w:numPr>
        <w:ind w:hanging="0" w:start="0"/>
        <w:rPr/>
      </w:pPr>
      <w:bookmarkStart w:id="5" w:name="OLE_LINK2"/>
      <w:bookmarkStart w:id="6" w:name="OLE_LINK1"/>
      <w:bookmarkEnd w:id="5"/>
      <w:bookmarkEnd w:id="6"/>
      <w:r>
        <w:rPr/>
        <w:t>Process capital leases including amortization, if applicable, in accordance with GlobalPharma policy and IFRS / US GAAP.</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GlobalPharma will notify Service Provider if any discrepancies exist between US GAAP / IFRS and GlobalPharma policy. (Currently undertaken centrally by GlobalPharma). Service Provider will process entries notified by GlobalPharma in relation to discrepancies exist between GAAP , IAS and GlobalPharma policy.</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Account for goodwill including amortization, if applicable, in accordance with GlobalPharma policy and statutory requirements.</w:t>
      </w:r>
    </w:p>
    <w:p>
      <w:pPr>
        <w:pStyle w:val="Heading4"/>
        <w:numPr>
          <w:ilvl w:val="3"/>
          <w:numId w:val="17"/>
        </w:numPr>
        <w:ind w:hanging="0" w:start="0"/>
        <w:rPr>
          <w:rFonts w:ascii="Arial" w:hAnsi="Arial" w:cs="Arial"/>
        </w:rPr>
      </w:pPr>
      <w:r>
        <w:rPr/>
        <w:t>Zurich: Out of Scope</w:t>
      </w:r>
    </w:p>
    <w:p>
      <w:pPr>
        <w:pStyle w:val="Heading3"/>
        <w:numPr>
          <w:ilvl w:val="2"/>
          <w:numId w:val="17"/>
        </w:numPr>
        <w:ind w:hanging="0" w:start="0"/>
        <w:rPr/>
      </w:pPr>
      <w:r>
        <w:rPr/>
        <w:t>Notify GlobalPharma if any discrepancies found between statutory requirements and GlobalPharma policy.</w:t>
      </w:r>
    </w:p>
    <w:p>
      <w:pPr>
        <w:pStyle w:val="Heading3"/>
        <w:numPr>
          <w:ilvl w:val="2"/>
          <w:numId w:val="17"/>
        </w:numPr>
        <w:ind w:hanging="0" w:start="0"/>
        <w:rPr/>
      </w:pPr>
      <w:r>
        <w:rPr/>
        <w:t>Process and post transactions as necessary for special one-time events (e.g. restructuring, sale of facilities) after having obtained approval from GlobalPharma.</w:t>
      </w:r>
    </w:p>
    <w:p>
      <w:pPr>
        <w:pStyle w:val="Formatvorlage1"/>
        <w:numPr>
          <w:ilvl w:val="0"/>
          <w:numId w:val="17"/>
        </w:numPr>
        <w:ind w:hanging="0" w:start="0"/>
        <w:rPr/>
      </w:pPr>
      <w:bookmarkStart w:id="7" w:name="__RefHeading___Toc157771662"/>
      <w:bookmarkEnd w:id="7"/>
      <w:r>
        <w:rPr/>
        <w:t>Reporting and records retention</w:t>
      </w:r>
    </w:p>
    <w:p>
      <w:pPr>
        <w:pStyle w:val="Heading2"/>
        <w:numPr>
          <w:ilvl w:val="1"/>
          <w:numId w:val="17"/>
        </w:numPr>
        <w:ind w:hanging="0" w:start="0"/>
        <w:rPr/>
      </w:pPr>
      <w:r>
        <w:rPr/>
        <w:t>The Service Provider’s responsibilities include but are not limited to the following:</w:t>
      </w:r>
    </w:p>
    <w:p>
      <w:pPr>
        <w:pStyle w:val="Heading3"/>
        <w:numPr>
          <w:ilvl w:val="2"/>
          <w:numId w:val="17"/>
        </w:numPr>
        <w:ind w:hanging="0" w:start="0"/>
        <w:rPr/>
      </w:pPr>
      <w:r>
        <w:rPr/>
        <w:t xml:space="preserve">Perform standard reporting requirements as defined in </w:t>
      </w:r>
      <w:r>
        <w:rPr>
          <w:b/>
        </w:rPr>
        <w:t>Attachment 13-A</w:t>
      </w:r>
      <w:r>
        <w:rPr/>
        <w:t xml:space="preserve">. </w:t>
      </w:r>
    </w:p>
    <w:p>
      <w:pPr>
        <w:pStyle w:val="Heading3"/>
        <w:numPr>
          <w:ilvl w:val="2"/>
          <w:numId w:val="17"/>
        </w:numPr>
        <w:ind w:hanging="0" w:start="0"/>
        <w:rPr/>
      </w:pPr>
      <w:r>
        <w:rPr/>
        <w:t>Provide ad hoc reports as requested.</w:t>
      </w:r>
    </w:p>
    <w:p>
      <w:pPr>
        <w:pStyle w:val="Heading3"/>
        <w:numPr>
          <w:ilvl w:val="2"/>
          <w:numId w:val="17"/>
        </w:numPr>
        <w:ind w:hanging="0" w:start="0"/>
        <w:rPr>
          <w:rFonts w:ascii="Arial" w:hAnsi="Arial" w:cs="Arial"/>
        </w:rPr>
      </w:pPr>
      <w:r>
        <w:rPr/>
        <w:t>Archive any supporting documentation the Service Provider will receive either in paper or electronically in order to create an audit trail. Retain source documentation and reports: hard copies, CD ROM, fiche, film, and fmaging, in accordance with GlobalPharma policies and procedures.</w:t>
      </w:r>
    </w:p>
    <w:p>
      <w:pPr>
        <w:pStyle w:val="Heading3"/>
        <w:numPr>
          <w:ilvl w:val="2"/>
          <w:numId w:val="17"/>
        </w:numPr>
        <w:ind w:hanging="0" w:start="0"/>
        <w:rPr/>
      </w:pPr>
      <w:r>
        <w:rPr/>
        <w:t>Store supporting documentation relating to Fixed Assets in electronic format on a shared drive with access for both the Service Provider and GlobalPharma once transaction is completed in the ERP system. Scan any paper documents to add as image. Provide coding of supporting documentation which ensures clear reference to ERP Fixed Asset entry.</w:t>
      </w:r>
    </w:p>
    <w:p>
      <w:pPr>
        <w:pStyle w:val="Heading3"/>
        <w:numPr>
          <w:ilvl w:val="2"/>
          <w:numId w:val="17"/>
        </w:numPr>
        <w:ind w:hanging="0" w:start="0"/>
        <w:rPr>
          <w:rFonts w:ascii="Arial" w:hAnsi="Arial" w:cs="Arial"/>
        </w:rPr>
      </w:pPr>
      <w:r>
        <w:rPr/>
        <w:t>Retrieve archived reports and documentation as requested by GlobalPharma.</w:t>
      </w:r>
    </w:p>
    <w:p>
      <w:pPr>
        <w:pStyle w:val="Heading3"/>
        <w:numPr>
          <w:ilvl w:val="2"/>
          <w:numId w:val="17"/>
        </w:numPr>
        <w:ind w:hanging="0" w:start="0"/>
        <w:rPr/>
      </w:pPr>
      <w:r>
        <w:rPr/>
        <w:t>Maintain documentation in accordance with GlobalPharma policies and procedures.</w:t>
      </w:r>
    </w:p>
    <w:p>
      <w:pPr>
        <w:pStyle w:val="Heading3"/>
        <w:numPr>
          <w:ilvl w:val="2"/>
          <w:numId w:val="17"/>
        </w:numPr>
        <w:ind w:hanging="0" w:start="0"/>
        <w:rPr/>
      </w:pPr>
      <w:r>
        <w:rPr/>
        <w:t>Dispose of documentation in accordance with government regulations and GlobalPharma policy guidelines.</w:t>
      </w:r>
    </w:p>
    <w:p>
      <w:pPr>
        <w:pStyle w:val="Formatvorlage1"/>
        <w:numPr>
          <w:ilvl w:val="0"/>
          <w:numId w:val="17"/>
        </w:numPr>
        <w:ind w:hanging="0" w:start="0"/>
        <w:rPr/>
      </w:pPr>
      <w:bookmarkStart w:id="8" w:name="__RefHeading___Toc157771663"/>
      <w:bookmarkEnd w:id="8"/>
      <w:r>
        <w:rPr/>
        <w:t>Third Party Materials</w:t>
      </w:r>
    </w:p>
    <w:p>
      <w:pPr>
        <w:pStyle w:val="Heading2"/>
        <w:numPr>
          <w:ilvl w:val="1"/>
          <w:numId w:val="17"/>
        </w:numPr>
        <w:ind w:hanging="0" w:start="0"/>
        <w:rPr/>
      </w:pPr>
      <w:r>
        <w:rPr/>
        <w:t>The Service Provider</w:t>
      </w:r>
      <w:r>
        <w:rPr>
          <w:rFonts w:cs="Times New Roman" w:ascii="Times New Roman" w:hAnsi="Times New Roman"/>
        </w:rPr>
        <w:t>’</w:t>
      </w:r>
      <w:r>
        <w:rPr/>
        <w:t>s responsibilities include, but are not limited to</w:t>
      </w:r>
    </w:p>
    <w:p>
      <w:pPr>
        <w:pStyle w:val="Heading2"/>
        <w:numPr>
          <w:ilvl w:val="1"/>
          <w:numId w:val="17"/>
        </w:numPr>
        <w:ind w:hanging="0" w:start="0"/>
        <w:rPr/>
      </w:pPr>
      <w:r>
        <w:rPr/>
        <w:t>Update with the assistance and the approval of GlobalPharma at least at every 6th (sixth) month of the Term of the Agreement the list of third party material in Exhibit 24 (Third Party Materials).</w:t>
      </w:r>
      <w:r>
        <w:rPr>
          <w:vertAlign w:val="superscript"/>
        </w:rPr>
      </w:r>
      <w:r>
        <w:rPr/>
      </w:r>
    </w:p>
    <w:p>
      <w:pPr>
        <w:pStyle w:val="Formatvorlage1"/>
        <w:numPr>
          <w:ilvl w:val="0"/>
          <w:numId w:val="17"/>
        </w:numPr>
        <w:ind w:hanging="0" w:start="0"/>
        <w:rPr/>
      </w:pPr>
      <w:bookmarkStart w:id="9" w:name="__RefHeading___Toc157771664"/>
      <w:bookmarkEnd w:id="9"/>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Heading2"/>
        <w:numPr>
          <w:ilvl w:val="1"/>
          <w:numId w:val="17"/>
        </w:numPr>
        <w:ind w:hanging="0" w:start="0"/>
        <w:rPr/>
      </w:pPr>
      <w:r>
        <w:rPr>
          <w:lang w:val="en-GB"/>
        </w:rPr>
        <w:t xml:space="preserve">Type I </w:t>
      </w:r>
      <w:r>
        <w:rPr/>
        <w:t>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7</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5">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22">
          <wp:simplePos x="0" y="0"/>
          <wp:positionH relativeFrom="column">
            <wp:posOffset>5686425</wp:posOffset>
          </wp:positionH>
          <wp:positionV relativeFrom="paragraph">
            <wp:posOffset>-31115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Bold;Times New Roman" w:hAnsi="Times New Roman Bold;Times New Roman" w:cs="Times New Roman Bold;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2">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0"/>
        <w:numId w:val="17"/>
      </w:numPr>
      <w:tabs>
        <w:tab w:val="clear" w:pos="720"/>
        <w:tab w:val="left" w:pos="851" w:leader="none"/>
      </w:tabs>
      <w:outlineLvl w:val="1"/>
    </w:pPr>
    <w:rPr>
      <w:bCs w:val="false"/>
      <w:iCs/>
      <w:caps w:val="false"/>
      <w:smallCaps w:val="false"/>
      <w:sz w:val="24"/>
      <w:szCs w:val="28"/>
    </w:rPr>
  </w:style>
  <w:style w:type="paragraph" w:styleId="Heading3">
    <w:name w:val="heading 3"/>
    <w:basedOn w:val="Heading2"/>
    <w:next w:val="TableText"/>
    <w:qFormat/>
    <w:pPr>
      <w:numPr>
        <w:ilvl w:val="0"/>
        <w:numId w:val="17"/>
      </w:numPr>
      <w:tabs>
        <w:tab w:val="clear" w:pos="851"/>
        <w:tab w:val="left" w:pos="1134" w:leader="none"/>
      </w:tabs>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sz w:val="18"/>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1">
    <w:name w:val="WW8Num13z1"/>
    <w:qFormat/>
    <w:rPr>
      <w:rFonts w:ascii="Times New Roman Bold;Times New Roman" w:hAnsi="Times New Roman Bold;Times New Roman" w:cs="Times New Roman Bold;Times New Roman"/>
      <w:b/>
      <w:i w:val="false"/>
      <w:sz w:val="24"/>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Bold;Times New Roman" w:hAnsi="Times New Roman Bold;Times New Roman" w:cs="Times New Roman Bold;Times New Roman"/>
      <w:b/>
      <w:i w:val="false"/>
      <w:sz w:val="22"/>
      <w:szCs w:val="22"/>
    </w:rPr>
  </w:style>
  <w:style w:type="character" w:styleId="WW8Num13z5">
    <w:name w:val="WW8Num13z5"/>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Times New Roman" w:hAnsi="Times New Roman" w:cs="Times New Roman"/>
      <w:b/>
      <w:i w:val="false"/>
      <w:sz w:val="24"/>
    </w:rPr>
  </w:style>
  <w:style w:type="character" w:styleId="WW8Num15z4">
    <w:name w:val="WW8Num15z4"/>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Bold;Times New Roman" w:hAnsi="Times New Roman Bold;Times New Roman" w:cs="Times New Roman"/>
      <w:b/>
      <w:i w:val="false"/>
      <w:color w:val="000000"/>
      <w:sz w:val="24"/>
    </w:rPr>
  </w:style>
  <w:style w:type="character" w:styleId="WW8Num17z1">
    <w:name w:val="WW8Num17z1"/>
    <w:qFormat/>
    <w:rPr>
      <w:rFonts w:ascii="Times New Roman Bold;Times New Roman" w:hAnsi="Times New Roman Bold;Times New Roman" w:cs="Times New Roman"/>
      <w:b/>
      <w:i w:val="false"/>
      <w:sz w:val="24"/>
    </w:rPr>
  </w:style>
  <w:style w:type="character" w:styleId="WW8Num17z2">
    <w:name w:val="WW8Num17z2"/>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z w:val="18"/>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color w:val="000000"/>
      <w:sz w:val="28"/>
      <w:szCs w:val="28"/>
    </w:rPr>
  </w:style>
  <w:style w:type="character" w:styleId="WW8Num22z1">
    <w:name w:val="WW8Num22z1"/>
    <w:qFormat/>
    <w:rPr>
      <w:rFonts w:ascii="Times New Roman" w:hAnsi="Times New Roman" w:cs="Times New Roman"/>
      <w:b w:val="false"/>
      <w:i w:val="false"/>
      <w:sz w:val="22"/>
    </w:rPr>
  </w:style>
  <w:style w:type="character" w:styleId="WW8Num22z4">
    <w:name w:val="WW8Num22z4"/>
    <w:qFormat/>
    <w:rPr/>
  </w:style>
  <w:style w:type="character" w:styleId="WW8Num23z0">
    <w:name w:val="WW8Num23z0"/>
    <w:qFormat/>
    <w:rPr/>
  </w:style>
  <w:style w:type="character" w:styleId="WW8Num23z1">
    <w:name w:val="WW8Num23z1"/>
    <w:qFormat/>
    <w:rPr>
      <w:sz w:val="18"/>
    </w:rPr>
  </w:style>
  <w:style w:type="character" w:styleId="WW8Num24z0">
    <w:name w:val="WW8Num24z0"/>
    <w:qFormat/>
    <w:rPr>
      <w:rFonts w:ascii="Times New Roman" w:hAnsi="Times New Roman" w:cs="Times New Roman"/>
      <w:b w:val="false"/>
      <w:i w:val="false"/>
      <w:color w:val="000000"/>
      <w:sz w:val="22"/>
    </w:rPr>
  </w:style>
  <w:style w:type="character" w:styleId="WW8Num24z1">
    <w:name w:val="WW8Num24z1"/>
    <w:qFormat/>
    <w:rPr>
      <w:rFonts w:ascii="Times New Roman Bold;Times New Roman" w:hAnsi="Times New Roman Bold;Times New Roman" w:cs="Times New Roman Bold;Times New Roman"/>
      <w:b/>
      <w:i w:val="false"/>
      <w:sz w:val="28"/>
      <w:szCs w:val="28"/>
    </w:rPr>
  </w:style>
  <w:style w:type="character" w:styleId="WW8Num24z2">
    <w:name w:val="WW8Num24z2"/>
    <w:qFormat/>
    <w:rPr>
      <w:rFonts w:ascii="Times New Roman" w:hAnsi="Times New Roman" w:cs="Times New Roman"/>
      <w:b w:val="false"/>
      <w:i w:val="false"/>
      <w:sz w:val="22"/>
    </w:rPr>
  </w:style>
  <w:style w:type="character" w:styleId="WW8Num24z4">
    <w:name w:val="WW8Num24z4"/>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
    <w:name w:val=" Char"/>
    <w:basedOn w:val="Absatz-Standardschriftart"/>
    <w:qFormat/>
    <w:rPr>
      <w:rFonts w:ascii="Times New Roman Bold;Times New Roman" w:hAnsi="Times New Roman Bold;Times New Roman" w:cs="Arial"/>
      <w:b/>
      <w:bCs/>
      <w:caps/>
      <w:kern w:val="2"/>
      <w:sz w:val="28"/>
      <w:szCs w:val="32"/>
      <w:lang w:val="en-US" w:bidi="ar-SA"/>
    </w:rPr>
  </w:style>
  <w:style w:type="character" w:styleId="WW-Char">
    <w:name w:val="WW- Char"/>
    <w:basedOn w:val="Char"/>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1"/>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2"/>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CharCharCharCharCharCharChar">
    <w:name w:val=" Char Char Char Char Char Char Char"/>
    <w:basedOn w:val="Normal"/>
    <w:qFormat/>
    <w:pPr>
      <w:spacing w:lineRule="exact" w:line="240" w:before="0" w:after="160"/>
    </w:pPr>
    <w:rPr>
      <w:rFonts w:ascii="Verdana" w:hAnsi="Verdana" w:cs="Verdana"/>
      <w:sz w:val="20"/>
      <w:szCs w:val="20"/>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2007-01-29T20:02:00Z</dcterms:created>
  <dc:creator>Bob Szambelan</dc:creator>
  <dc:description/>
  <cp:keywords>General Accounting</cp:keywords>
  <dc:language>en-US</dc:language>
  <cp:lastModifiedBy>Wenger Plattner</cp:lastModifiedBy>
  <cp:lastPrinted>2005-10-31T15:43:00Z</cp:lastPrinted>
  <dcterms:modified xsi:type="dcterms:W3CDTF">2007-01-29T20:02:00Z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