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el"/>
        <w:spacing w:before="240" w:after="240"/>
        <w:rPr>
          <w:rFonts w:ascii="Arial" w:hAnsi="Arial" w:cs="Arial"/>
        </w:rPr>
      </w:pPr>
      <w:r>
        <w:rPr>
          <w:rFonts w:cs="Arial" w:ascii="Arial" w:hAnsi="Arial"/>
        </w:rPr>
        <w:t>GlobalPharma</w:t>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t>Exhibit 2.4</w:t>
      </w:r>
    </w:p>
    <w:p>
      <w:pPr>
        <w:pStyle w:val="Titel"/>
        <w:rPr>
          <w:rFonts w:ascii="Arial" w:hAnsi="Arial" w:cs="Arial"/>
        </w:rPr>
      </w:pPr>
      <w:r>
        <w:rPr>
          <w:rFonts w:cs="Arial" w:ascii="Arial" w:hAnsi="Arial"/>
        </w:rPr>
        <w:t>Statement of work</w:t>
      </w:r>
    </w:p>
    <w:p>
      <w:pPr>
        <w:pStyle w:val="Titel"/>
        <w:rPr>
          <w:rFonts w:ascii="Arial" w:hAnsi="Arial" w:cs="Arial"/>
        </w:rPr>
      </w:pPr>
      <w:r>
        <w:rPr>
          <w:rFonts w:cs="Arial" w:ascii="Arial" w:hAnsi="Arial"/>
        </w:rPr>
        <w:t>Requisition to pay (RTP)</w:t>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tbl>
      <w:tblPr>
        <w:tblW w:w="10260" w:type="dxa"/>
        <w:jc w:val="start"/>
        <w:tblInd w:w="288" w:type="dxa"/>
        <w:tblLayout w:type="fixed"/>
        <w:tblCellMar>
          <w:top w:w="0" w:type="dxa"/>
          <w:start w:w="108" w:type="dxa"/>
          <w:bottom w:w="0" w:type="dxa"/>
          <w:end w:w="108" w:type="dxa"/>
        </w:tblCellMar>
      </w:tblPr>
      <w:tblGrid>
        <w:gridCol w:w="10260"/>
      </w:tblGrid>
      <w:tr>
        <w:trPr/>
        <w:tc>
          <w:tcPr>
            <w:tcW w:w="10260"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spacing w:before="120" w:after="120"/>
              <w:ind w:start="72" w:end="0"/>
              <w:jc w:val="both"/>
              <w:rPr/>
            </w:pPr>
            <w:r>
              <w:rPr/>
            </w:r>
          </w:p>
          <w:p>
            <w:pPr>
              <w:pStyle w:val="Normal"/>
              <w:ind w:start="72" w:end="0"/>
              <w:jc w:val="both"/>
              <w:rPr/>
            </w:pPr>
            <w:r>
              <w:rPr>
                <w:rFonts w:cs="Arial" w:ascii="Arial" w:hAnsi="Arial"/>
                <w:sz w:val="24"/>
              </w:rPr>
              <w:t>This document contains confidential and proprietary information of GlobalPharma AG. It is furnished for the performance of The Agreements only. Except with the express prior written permission of GlobalPharma AG, this document and the information contained herein may not be published, disclosed, or used for any other purpose.</w:t>
            </w:r>
          </w:p>
          <w:p>
            <w:pPr>
              <w:pStyle w:val="Normal"/>
              <w:spacing w:before="120" w:after="120"/>
              <w:jc w:val="both"/>
              <w:rPr>
                <w:rFonts w:ascii="Arial" w:hAnsi="Arial" w:cs="Arial"/>
                <w:sz w:val="24"/>
              </w:rPr>
            </w:pPr>
            <w:r>
              <w:rPr>
                <w:rFonts w:cs="Arial" w:ascii="Arial" w:hAnsi="Arial"/>
                <w:sz w:val="24"/>
              </w:rPr>
            </w:r>
          </w:p>
        </w:tc>
      </w:tr>
    </w:tbl>
    <w:p>
      <w:pPr>
        <w:pStyle w:val="Normal"/>
        <w:jc w:val="both"/>
        <w:rPr>
          <w:lang w:val="en-GB"/>
        </w:rPr>
      </w:pPr>
      <w:r>
        <w:rPr>
          <w:lang w:val="en-GB"/>
        </w:rPr>
      </w:r>
    </w:p>
    <w:p>
      <w:pPr>
        <w:pStyle w:val="Normal"/>
        <w:jc w:val="both"/>
        <w:rPr>
          <w:lang w:val="en-GB"/>
        </w:rPr>
      </w:pPr>
      <w:r>
        <w:rPr>
          <w:lang w:val="en-GB"/>
        </w:rPr>
      </w:r>
    </w:p>
    <w:p>
      <w:pPr>
        <w:pStyle w:val="Titel"/>
        <w:rPr>
          <w:sz w:val="22"/>
          <w:szCs w:val="20"/>
        </w:rPr>
      </w:pPr>
      <w:r>
        <w:rPr>
          <w:sz w:val="22"/>
          <w:szCs w:val="20"/>
        </w:rPr>
        <w:t>Table of Contents</w:t>
      </w:r>
    </w:p>
    <w:sdt>
      <w:sdtPr>
        <w:docPartObj>
          <w:docPartGallery w:val="Table of Contents"/>
          <w:docPartUnique w:val="true"/>
        </w:docPartObj>
      </w:sdtPr>
      <w:sdtContent>
        <w:p>
          <w:pPr>
            <w:pStyle w:val="TOC1"/>
            <w:tabs>
              <w:tab w:val="clear" w:pos="720"/>
              <w:tab w:val="left" w:pos="540" w:leader="none"/>
              <w:tab w:val="right" w:pos="10506" w:leader="dot"/>
            </w:tabs>
            <w:ind w:hanging="540" w:start="540" w:end="0"/>
            <w:rPr>
              <w:b w:val="false"/>
              <w:bCs w:val="false"/>
              <w:caps w:val="false"/>
              <w:smallCaps w:val="false"/>
              <w:sz w:val="24"/>
              <w:szCs w:val="24"/>
              <w:lang w:val="de-CH" w:eastAsia="en-US"/>
            </w:rPr>
          </w:pPr>
          <w:r>
            <w:fldChar w:fldCharType="begin"/>
          </w:r>
          <w:r>
            <w:rPr>
              <w:rStyle w:val="IndexLink"/>
              <w:smallCaps/>
              <w:lang w:val="en-US" w:eastAsia="en-US"/>
            </w:rPr>
            <w:instrText xml:space="preserve"> TOC \h \z \t "Formatvorlage1;1" </w:instrText>
          </w:r>
          <w:r>
            <w:rPr>
              <w:rStyle w:val="IndexLink"/>
              <w:smallCaps/>
              <w:lang w:val="en-US" w:eastAsia="en-US"/>
            </w:rPr>
            <w:fldChar w:fldCharType="separate"/>
          </w:r>
          <w:hyperlink w:anchor="__RefHeading___Toc157772557">
            <w:r>
              <w:rPr>
                <w:rStyle w:val="IndexLink"/>
                <w:smallCaps/>
                <w:lang w:val="en-US" w:eastAsia="en-US"/>
              </w:rPr>
              <w:t>1.</w:t>
            </w:r>
            <w:r>
              <w:rPr>
                <w:rStyle w:val="IndexLink"/>
                <w:b w:val="false"/>
                <w:bCs w:val="false"/>
                <w:caps w:val="false"/>
                <w:smallCaps w:val="false"/>
                <w:sz w:val="24"/>
                <w:szCs w:val="24"/>
                <w:lang w:val="de-CH" w:eastAsia="en-US"/>
              </w:rPr>
              <w:tab/>
            </w:r>
            <w:r>
              <w:rPr>
                <w:rStyle w:val="IndexLink"/>
                <w:smallCaps/>
                <w:lang w:val="en-US" w:eastAsia="en-US"/>
              </w:rPr>
              <w:t>Introduction</w:t>
              <w:tab/>
              <w:t>3</w:t>
            </w:r>
          </w:hyperlink>
        </w:p>
        <w:p>
          <w:pPr>
            <w:pStyle w:val="TOC1"/>
            <w:tabs>
              <w:tab w:val="clear" w:pos="720"/>
              <w:tab w:val="left" w:pos="540" w:leader="none"/>
              <w:tab w:val="right" w:pos="10506" w:leader="dot"/>
            </w:tabs>
            <w:ind w:hanging="540" w:start="540" w:end="0"/>
            <w:rPr>
              <w:b w:val="false"/>
              <w:bCs w:val="false"/>
              <w:caps w:val="false"/>
              <w:smallCaps w:val="false"/>
              <w:sz w:val="24"/>
              <w:szCs w:val="24"/>
              <w:lang w:val="de-CH" w:eastAsia="en-US"/>
            </w:rPr>
          </w:pPr>
          <w:hyperlink w:anchor="__RefHeading___Toc157772558">
            <w:r>
              <w:rPr>
                <w:rStyle w:val="IndexLink"/>
                <w:lang w:val="en-US" w:eastAsia="en-US"/>
              </w:rPr>
              <w:t>2.</w:t>
            </w:r>
            <w:r>
              <w:rPr>
                <w:rStyle w:val="IndexLink"/>
                <w:b w:val="false"/>
                <w:bCs w:val="false"/>
                <w:caps w:val="false"/>
                <w:smallCaps w:val="false"/>
                <w:sz w:val="24"/>
                <w:szCs w:val="24"/>
                <w:lang w:val="de-CH" w:eastAsia="en-US"/>
              </w:rPr>
              <w:tab/>
            </w:r>
            <w:r>
              <w:rPr>
                <w:rStyle w:val="IndexLink"/>
                <w:lang w:val="en-US" w:eastAsia="en-US"/>
              </w:rPr>
              <w:t>vendor Enablement, Catalogue Management, E-Sourcing, REporting, CC5, E-pro hotline</w:t>
              <w:tab/>
              <w:t>3</w:t>
            </w:r>
          </w:hyperlink>
        </w:p>
        <w:p>
          <w:pPr>
            <w:pStyle w:val="TOC1"/>
            <w:tabs>
              <w:tab w:val="clear" w:pos="720"/>
              <w:tab w:val="left" w:pos="540" w:leader="none"/>
              <w:tab w:val="right" w:pos="10506" w:leader="dot"/>
            </w:tabs>
            <w:ind w:hanging="540" w:start="540" w:end="0"/>
            <w:rPr>
              <w:b w:val="false"/>
              <w:bCs w:val="false"/>
              <w:caps w:val="false"/>
              <w:smallCaps w:val="false"/>
              <w:sz w:val="24"/>
              <w:szCs w:val="24"/>
              <w:lang w:val="de-CH" w:eastAsia="en-US"/>
            </w:rPr>
          </w:pPr>
          <w:hyperlink w:anchor="__RefHeading___Toc157772559">
            <w:r>
              <w:rPr>
                <w:rStyle w:val="IndexLink"/>
                <w:lang w:val="en-US" w:eastAsia="en-US"/>
              </w:rPr>
              <w:t>3.</w:t>
            </w:r>
            <w:r>
              <w:rPr>
                <w:rStyle w:val="IndexLink"/>
                <w:b w:val="false"/>
                <w:bCs w:val="false"/>
                <w:caps w:val="false"/>
                <w:smallCaps w:val="false"/>
                <w:sz w:val="24"/>
                <w:szCs w:val="24"/>
                <w:lang w:val="de-CH" w:eastAsia="en-US"/>
              </w:rPr>
              <w:tab/>
            </w:r>
            <w:r>
              <w:rPr>
                <w:rStyle w:val="IndexLink"/>
                <w:lang w:val="en-US" w:eastAsia="en-US"/>
              </w:rPr>
              <w:t>purchase transactions: requisitions, Purchase orders, change orders and Goods Receive Booking</w:t>
              <w:tab/>
              <w:t>5</w:t>
            </w:r>
          </w:hyperlink>
        </w:p>
        <w:p>
          <w:pPr>
            <w:pStyle w:val="TOC1"/>
            <w:tabs>
              <w:tab w:val="clear" w:pos="720"/>
              <w:tab w:val="left" w:pos="540" w:leader="none"/>
              <w:tab w:val="right" w:pos="10506" w:leader="dot"/>
            </w:tabs>
            <w:ind w:hanging="540" w:start="540" w:end="0"/>
            <w:rPr>
              <w:b w:val="false"/>
              <w:bCs w:val="false"/>
              <w:caps w:val="false"/>
              <w:smallCaps w:val="false"/>
              <w:sz w:val="24"/>
              <w:szCs w:val="24"/>
              <w:lang w:val="de-CH" w:eastAsia="en-US"/>
            </w:rPr>
          </w:pPr>
          <w:hyperlink w:anchor="__RefHeading___Toc157772560">
            <w:r>
              <w:rPr>
                <w:rStyle w:val="IndexLink"/>
                <w:lang w:val="en-US" w:eastAsia="en-US"/>
              </w:rPr>
              <w:t>4.</w:t>
            </w:r>
            <w:r>
              <w:rPr>
                <w:rStyle w:val="IndexLink"/>
                <w:b w:val="false"/>
                <w:bCs w:val="false"/>
                <w:caps w:val="false"/>
                <w:smallCaps w:val="false"/>
                <w:sz w:val="24"/>
                <w:szCs w:val="24"/>
                <w:lang w:val="de-CH" w:eastAsia="en-US"/>
              </w:rPr>
              <w:tab/>
            </w:r>
            <w:r>
              <w:rPr>
                <w:rStyle w:val="IndexLink"/>
                <w:lang w:val="en-US" w:eastAsia="en-US"/>
              </w:rPr>
              <w:t>Enquiry and Discrepancy Resolution</w:t>
              <w:tab/>
              <w:t>7</w:t>
            </w:r>
          </w:hyperlink>
        </w:p>
        <w:p>
          <w:pPr>
            <w:pStyle w:val="TOC1"/>
            <w:tabs>
              <w:tab w:val="clear" w:pos="720"/>
              <w:tab w:val="left" w:pos="540" w:leader="none"/>
              <w:tab w:val="right" w:pos="10506" w:leader="dot"/>
            </w:tabs>
            <w:ind w:hanging="540" w:start="540" w:end="0"/>
            <w:rPr>
              <w:b w:val="false"/>
              <w:bCs w:val="false"/>
              <w:caps w:val="false"/>
              <w:smallCaps w:val="false"/>
              <w:sz w:val="24"/>
              <w:szCs w:val="24"/>
              <w:lang w:val="de-CH" w:eastAsia="en-US"/>
            </w:rPr>
          </w:pPr>
          <w:hyperlink w:anchor="__RefHeading___Toc157772561">
            <w:r>
              <w:rPr>
                <w:rStyle w:val="IndexLink"/>
                <w:lang w:val="en-US" w:eastAsia="en-US"/>
              </w:rPr>
              <w:t>5.</w:t>
            </w:r>
            <w:r>
              <w:rPr>
                <w:rStyle w:val="IndexLink"/>
                <w:b w:val="false"/>
                <w:bCs w:val="false"/>
                <w:caps w:val="false"/>
                <w:smallCaps w:val="false"/>
                <w:sz w:val="24"/>
                <w:szCs w:val="24"/>
                <w:lang w:val="de-CH" w:eastAsia="en-US"/>
              </w:rPr>
              <w:tab/>
            </w:r>
            <w:r>
              <w:rPr>
                <w:rStyle w:val="IndexLink"/>
                <w:lang w:val="en-US" w:eastAsia="en-US"/>
              </w:rPr>
              <w:t>Third Party Material</w:t>
              <w:tab/>
              <w:t>8</w:t>
            </w:r>
          </w:hyperlink>
        </w:p>
        <w:p>
          <w:pPr>
            <w:pStyle w:val="TOC1"/>
            <w:tabs>
              <w:tab w:val="clear" w:pos="720"/>
              <w:tab w:val="left" w:pos="540" w:leader="none"/>
              <w:tab w:val="right" w:pos="10506" w:leader="dot"/>
            </w:tabs>
            <w:ind w:hanging="540" w:start="540" w:end="0"/>
            <w:rPr>
              <w:sz w:val="24"/>
              <w:szCs w:val="24"/>
              <w:lang w:val="de-CH" w:eastAsia="en-US"/>
            </w:rPr>
          </w:pPr>
          <w:hyperlink w:anchor="__RefHeading___Toc157772562">
            <w:r>
              <w:rPr>
                <w:rStyle w:val="IndexLink"/>
                <w:b w:val="false"/>
                <w:bCs w:val="false"/>
                <w:caps w:val="false"/>
                <w:smallCaps w:val="false"/>
                <w:lang w:val="en-US" w:eastAsia="en-US"/>
              </w:rPr>
              <w:t>6.</w:t>
            </w:r>
            <w:r>
              <w:rPr>
                <w:rStyle w:val="IndexLink"/>
                <w:b w:val="false"/>
                <w:bCs w:val="false"/>
                <w:caps w:val="false"/>
                <w:smallCaps w:val="false"/>
                <w:sz w:val="24"/>
                <w:szCs w:val="24"/>
                <w:lang w:val="de-CH" w:eastAsia="en-US"/>
              </w:rPr>
              <w:tab/>
            </w:r>
            <w:r>
              <w:rPr>
                <w:rStyle w:val="IndexLink"/>
                <w:b w:val="false"/>
                <w:bCs w:val="false"/>
                <w:caps w:val="false"/>
                <w:smallCaps w:val="false"/>
                <w:lang w:val="en-US" w:eastAsia="en-US"/>
              </w:rPr>
              <w:t>IP Rights Listing</w:t>
              <w:tab/>
              <w:t>8</w:t>
            </w:r>
          </w:hyperlink>
          <w:r>
            <w:rPr>
              <w:rStyle w:val="IndexLink"/>
              <w:smallCaps w:val="false"/>
              <w:caps w:val="false"/>
              <w:b w:val="false"/>
              <w:bCs w:val="false"/>
              <w:lang w:val="en-US" w:eastAsia="en-US"/>
            </w:rPr>
            <w:fldChar w:fldCharType="end"/>
          </w:r>
        </w:p>
      </w:sdtContent>
    </w:sdt>
    <w:p>
      <w:pPr>
        <w:pStyle w:val="Normal"/>
        <w:tabs>
          <w:tab w:val="clear" w:pos="720"/>
          <w:tab w:val="left" w:pos="360" w:leader="none"/>
          <w:tab w:val="left" w:pos="540" w:leader="none"/>
        </w:tabs>
        <w:ind w:hanging="540" w:start="540" w:end="0"/>
        <w:jc w:val="both"/>
        <w:rPr>
          <w:b/>
          <w:bCs/>
          <w:caps/>
          <w:sz w:val="20"/>
          <w:szCs w:val="20"/>
          <w:lang w:val="de-CH" w:eastAsia="en-US"/>
        </w:rPr>
      </w:pPr>
      <w:r>
        <w:rPr>
          <w:b/>
          <w:bCs/>
          <w:caps/>
          <w:sz w:val="20"/>
          <w:szCs w:val="20"/>
          <w:lang w:val="de-CH" w:eastAsia="en-US"/>
        </w:rPr>
      </w:r>
      <w:r>
        <w:br w:type="page"/>
      </w:r>
    </w:p>
    <w:p>
      <w:pPr>
        <w:pStyle w:val="Formatvorlage1"/>
        <w:numPr>
          <w:ilvl w:val="0"/>
          <w:numId w:val="17"/>
        </w:numPr>
        <w:ind w:hanging="0" w:start="0"/>
        <w:rPr/>
      </w:pPr>
      <w:bookmarkStart w:id="0" w:name="__RefHeading___Toc157772557"/>
      <w:bookmarkEnd w:id="0"/>
      <w:r>
        <w:rPr/>
        <w:t>Introduction</w:t>
      </w:r>
    </w:p>
    <w:p>
      <w:pPr>
        <w:pStyle w:val="Heading2"/>
        <w:numPr>
          <w:ilvl w:val="1"/>
          <w:numId w:val="17"/>
        </w:numPr>
        <w:ind w:hanging="0" w:start="0"/>
        <w:rPr/>
      </w:pPr>
      <w:r>
        <w:rPr/>
        <w:t>The Service Provider’s responsibilities include:</w:t>
      </w:r>
    </w:p>
    <w:p>
      <w:pPr>
        <w:pStyle w:val="Heading2"/>
        <w:numPr>
          <w:ilvl w:val="1"/>
          <w:numId w:val="17"/>
        </w:numPr>
        <w:ind w:hanging="0" w:start="0"/>
        <w:rPr>
          <w:rFonts w:ascii="Arial" w:hAnsi="Arial" w:cs="Arial"/>
        </w:rPr>
      </w:pPr>
      <w:r>
        <w:rPr/>
        <w:t>Perform all services, tasks, obligations and responsibilities described in this Exhibit at or above applicable Service Levels and in accordance with the terms of the Agreement as of the Commencement Date unless otherwise specified.</w:t>
      </w:r>
    </w:p>
    <w:p>
      <w:pPr>
        <w:pStyle w:val="Heading2"/>
        <w:numPr>
          <w:ilvl w:val="1"/>
          <w:numId w:val="17"/>
        </w:numPr>
        <w:ind w:hanging="0" w:start="0"/>
        <w:rPr>
          <w:rFonts w:ascii="Arial" w:hAnsi="Arial" w:cs="Arial"/>
        </w:rPr>
      </w:pPr>
      <w:r>
        <w:rPr/>
        <w:t>As part of the Services and the Base Charges, and at no additional charge, fee, cost or expense to GlobalPharma, the Service Provider shall provide all of the services described in this Exhibit including all in-scope activities performed by Affected Employees.</w:t>
      </w:r>
    </w:p>
    <w:p>
      <w:pPr>
        <w:pStyle w:val="Formatvorlage1"/>
        <w:numPr>
          <w:ilvl w:val="0"/>
          <w:numId w:val="17"/>
        </w:numPr>
        <w:ind w:hanging="505" w:start="505" w:end="0"/>
        <w:rPr/>
      </w:pPr>
      <w:bookmarkStart w:id="1" w:name="__RefHeading___Toc157772558"/>
      <w:bookmarkEnd w:id="1"/>
      <w:r>
        <w:rPr/>
        <w:t>vendor Enablement, Catalogue Management, E-Sourcing, REporting, CC5, E-pro hotline</w:t>
      </w:r>
    </w:p>
    <w:p>
      <w:pPr>
        <w:pStyle w:val="Heading2"/>
        <w:numPr>
          <w:ilvl w:val="1"/>
          <w:numId w:val="17"/>
        </w:numPr>
        <w:ind w:hanging="0" w:start="0"/>
        <w:rPr>
          <w:lang w:val="en-GB"/>
        </w:rPr>
      </w:pPr>
      <w:r>
        <w:rPr>
          <w:lang w:val="en-GB"/>
        </w:rPr>
        <w:t>The Service Provider has the following responsibilities:</w:t>
      </w:r>
    </w:p>
    <w:p>
      <w:pPr>
        <w:pStyle w:val="Heading3"/>
        <w:numPr>
          <w:ilvl w:val="2"/>
          <w:numId w:val="17"/>
        </w:numPr>
        <w:rPr>
          <w:rFonts w:ascii="Arial" w:hAnsi="Arial" w:cs="Arial"/>
          <w:lang w:val="en-GB"/>
        </w:rPr>
      </w:pPr>
      <w:r>
        <w:rPr/>
        <w:t>To enable vendors to receive electronic purchase orders and submit eInvoicing. Inform and if necessary, instruct any new supplier in registering in the Ariba Supplier Network (ASN) and provide support on how to work with its functionalities via an agreed Help Desk facility.</w:t>
      </w:r>
    </w:p>
    <w:p>
      <w:pPr>
        <w:pStyle w:val="Heading3"/>
        <w:numPr>
          <w:ilvl w:val="2"/>
          <w:numId w:val="17"/>
        </w:numPr>
        <w:rPr/>
      </w:pPr>
      <w:r>
        <w:rPr/>
        <w:t>Work with GlobalPharma and vendors to create, enable, test, upload, maintain, cleanse, deploy and manage GlobalPharma -specific catalogues/rate cards, including integrated electronic catalogues/ rate cards for applicable goods and services in order to ensure and validate real time change updates of content and pricing accuracy (“Catalogue Management”).</w:t>
      </w:r>
    </w:p>
    <w:p>
      <w:pPr>
        <w:pStyle w:val="Heading4"/>
        <w:numPr>
          <w:ilvl w:val="3"/>
          <w:numId w:val="17"/>
        </w:numPr>
        <w:ind w:hanging="1077" w:start="1077"/>
        <w:rPr/>
      </w:pPr>
      <w:r>
        <w:rPr/>
        <w:t>Zurich (serving Zurich, UK, Italy, Germany and Spain CPO): Catalogue Management transition delayed until end 2007 (operation start January 2008).</w:t>
      </w:r>
    </w:p>
    <w:p>
      <w:pPr>
        <w:pStyle w:val="Heading3"/>
        <w:numPr>
          <w:ilvl w:val="2"/>
          <w:numId w:val="17"/>
        </w:numPr>
        <w:rPr/>
      </w:pPr>
      <w:r>
        <w:rPr/>
        <w:t>Resolve catalogue content and pricing issues and price deviations with vendors in accordance with GlobalPharma policy and procedure. In addition perform auditing against catalogue content and supplier contracts.</w:t>
      </w:r>
    </w:p>
    <w:p>
      <w:pPr>
        <w:pStyle w:val="Heading4"/>
        <w:numPr>
          <w:ilvl w:val="3"/>
          <w:numId w:val="17"/>
        </w:numPr>
        <w:ind w:hanging="1077" w:start="1077"/>
        <w:rPr/>
      </w:pPr>
      <w:r>
        <w:rPr/>
        <w:t>Zurich (serving Zurich, UK, Italy, Germany and Spain CPO): Catalogue Management transition delayed until end 2007.</w:t>
      </w:r>
    </w:p>
    <w:p>
      <w:pPr>
        <w:pStyle w:val="Heading4"/>
        <w:numPr>
          <w:ilvl w:val="3"/>
          <w:numId w:val="17"/>
        </w:numPr>
        <w:ind w:hanging="1077" w:start="1077"/>
        <w:rPr>
          <w:rFonts w:ascii="Arial" w:hAnsi="Arial" w:cs="Arial"/>
        </w:rPr>
      </w:pPr>
      <w:r>
        <w:rPr/>
        <w:t>France and Spain TechOps: No electronic catalogues. GlobalPharma Development division is managing manual catalogues to prepare requisitions. Out of scope.</w:t>
      </w:r>
    </w:p>
    <w:p>
      <w:pPr>
        <w:pStyle w:val="Heading4"/>
        <w:numPr>
          <w:ilvl w:val="3"/>
          <w:numId w:val="17"/>
        </w:numPr>
        <w:ind w:hanging="1077" w:start="1077"/>
        <w:rPr>
          <w:rFonts w:ascii="Arial" w:hAnsi="Arial" w:cs="Arial"/>
        </w:rPr>
      </w:pPr>
      <w:r>
        <w:rPr/>
        <w:t>US: Electronic catalogues outsourced to Third Party (Infosys).</w:t>
      </w:r>
    </w:p>
    <w:p>
      <w:pPr>
        <w:pStyle w:val="Heading3"/>
        <w:numPr>
          <w:ilvl w:val="2"/>
          <w:numId w:val="17"/>
        </w:numPr>
        <w:rPr/>
      </w:pPr>
      <w:r>
        <w:rPr/>
        <w:t>Assess whether it is more beneficial to terminate the outsourcing contract with third parties and provide those services instead or continue the existing contract with third party (mutual agreed on a cost/benefit case prepared by Service Provider).</w:t>
      </w:r>
    </w:p>
    <w:p>
      <w:pPr>
        <w:pStyle w:val="Heading3"/>
        <w:numPr>
          <w:ilvl w:val="2"/>
          <w:numId w:val="17"/>
        </w:numPr>
        <w:rPr/>
      </w:pPr>
      <w:r>
        <w:rPr/>
        <w:t>Convert non-catalog items into catalog or supplier punchouts.</w:t>
      </w:r>
    </w:p>
    <w:p>
      <w:pPr>
        <w:pStyle w:val="Heading3"/>
        <w:numPr>
          <w:ilvl w:val="2"/>
          <w:numId w:val="17"/>
        </w:numPr>
        <w:rPr>
          <w:lang w:bidi="en-US"/>
        </w:rPr>
      </w:pPr>
      <w:r>
        <w:rPr>
          <w:lang w:val="en-GB"/>
        </w:rPr>
        <w:t>Standardise the request forms and set up a format to obtain information from suppliers.</w:t>
      </w:r>
    </w:p>
    <w:p>
      <w:pPr>
        <w:pStyle w:val="Heading3"/>
        <w:numPr>
          <w:ilvl w:val="2"/>
          <w:numId w:val="17"/>
        </w:numPr>
        <w:rPr>
          <w:lang w:val="en-GB"/>
        </w:rPr>
      </w:pPr>
      <w:r>
        <w:rPr>
          <w:lang w:val="en-GB"/>
        </w:rPr>
        <w:t>Check whether the supplier already exists for any other GlobalPharma site/system if required by GlobalPharma.</w:t>
      </w:r>
    </w:p>
    <w:p>
      <w:pPr>
        <w:pStyle w:val="Heading3"/>
        <w:numPr>
          <w:ilvl w:val="2"/>
          <w:numId w:val="17"/>
        </w:numPr>
        <w:rPr/>
      </w:pPr>
      <w:r>
        <w:rPr/>
        <w:t>On-boarding of suppliers and monitoring of supplier data to CC5 requirements.</w:t>
      </w:r>
    </w:p>
    <w:p>
      <w:pPr>
        <w:pStyle w:val="Heading3"/>
        <w:numPr>
          <w:ilvl w:val="2"/>
          <w:numId w:val="17"/>
        </w:numPr>
        <w:rPr/>
      </w:pPr>
      <w:r>
        <w:rPr/>
        <w:t>Provision of E-Sourcing supplier enablement and training including:</w:t>
      </w:r>
    </w:p>
    <w:p>
      <w:pPr>
        <w:pStyle w:val="Heading3"/>
        <w:numPr>
          <w:ilvl w:val="2"/>
          <w:numId w:val="24"/>
        </w:numPr>
        <w:spacing w:before="120" w:after="120"/>
        <w:ind w:hanging="357" w:start="1434" w:end="0"/>
        <w:rPr>
          <w:rFonts w:ascii="Arial" w:hAnsi="Arial" w:cs="Arial"/>
        </w:rPr>
      </w:pPr>
      <w:r>
        <w:rPr/>
        <w:t>to provide requirement data and upload into e-sourcing tool and preparing for launch of ERFx (EMPTORIS from GlobalPharma) in order to support GlobalPharma in building e-sourcing (ERFx) events as required,</w:t>
      </w:r>
    </w:p>
    <w:p>
      <w:pPr>
        <w:pStyle w:val="Heading3"/>
        <w:numPr>
          <w:ilvl w:val="2"/>
          <w:numId w:val="24"/>
        </w:numPr>
        <w:spacing w:before="120" w:after="120"/>
        <w:ind w:hanging="357" w:start="1434" w:end="0"/>
        <w:rPr/>
      </w:pPr>
      <w:r>
        <w:rPr/>
        <w:t>to undertake supplier and GlobalPharma training and registration as required,</w:t>
      </w:r>
    </w:p>
    <w:p>
      <w:pPr>
        <w:pStyle w:val="Heading3"/>
        <w:numPr>
          <w:ilvl w:val="2"/>
          <w:numId w:val="24"/>
        </w:numPr>
        <w:spacing w:before="120" w:after="120"/>
        <w:ind w:hanging="357" w:start="1434" w:end="0"/>
        <w:rPr/>
      </w:pPr>
      <w:r>
        <w:rPr/>
        <w:t>to provide and undertake e-sourcing 1st and 2nd level support and training,</w:t>
      </w:r>
    </w:p>
    <w:p>
      <w:pPr>
        <w:pStyle w:val="Heading3"/>
        <w:numPr>
          <w:ilvl w:val="2"/>
          <w:numId w:val="24"/>
        </w:numPr>
        <w:spacing w:before="120" w:after="120"/>
        <w:ind w:hanging="357" w:start="1434" w:end="0"/>
        <w:rPr/>
      </w:pPr>
      <w:r>
        <w:rPr/>
        <w:t xml:space="preserve">to provide end user e-sourcing </w:t>
      </w:r>
      <w:r>
        <w:rPr>
          <w:lang w:bidi="en-US"/>
        </w:rPr>
        <w:t>EMPTORIS, e-RFx and e-Auctions</w:t>
      </w:r>
      <w:r>
        <w:rPr/>
        <w:t xml:space="preserve"> specific Help Desk and hot line support, including language capability in English, French, German, Spanish and Italian for the system and operation as required.</w:t>
      </w:r>
    </w:p>
    <w:p>
      <w:pPr>
        <w:pStyle w:val="Heading4"/>
        <w:numPr>
          <w:ilvl w:val="3"/>
          <w:numId w:val="17"/>
        </w:numPr>
        <w:ind w:hanging="1077" w:start="1077"/>
        <w:rPr/>
      </w:pPr>
      <w:r>
        <w:rPr/>
        <w:t>Spain: Local e-sourcing tool in place. EMPTORIS used only for e-auctions.</w:t>
      </w:r>
    </w:p>
    <w:p>
      <w:pPr>
        <w:pStyle w:val="Heading3"/>
        <w:numPr>
          <w:ilvl w:val="2"/>
          <w:numId w:val="17"/>
        </w:numPr>
        <w:rPr/>
      </w:pPr>
      <w:r>
        <w:rPr/>
        <w:t>Provide call handling with reasonable response time in order to meet current help desk service.</w:t>
      </w:r>
    </w:p>
    <w:p>
      <w:pPr>
        <w:pStyle w:val="Heading3"/>
        <w:numPr>
          <w:ilvl w:val="2"/>
          <w:numId w:val="17"/>
        </w:numPr>
        <w:rPr>
          <w:lang w:bidi="en-US"/>
        </w:rPr>
      </w:pPr>
      <w:r>
        <w:rPr>
          <w:lang w:bidi="en-US"/>
        </w:rPr>
        <w:t>Provide the same Helpdesk/hotline services from both hubs (EU&amp;US).</w:t>
      </w:r>
    </w:p>
    <w:p>
      <w:pPr>
        <w:pStyle w:val="Heading3"/>
        <w:numPr>
          <w:ilvl w:val="2"/>
          <w:numId w:val="17"/>
        </w:numPr>
        <w:rPr/>
      </w:pPr>
      <w:r>
        <w:rPr/>
        <w:t>Provide and undertake Ariba e-pro and other existing workflow systems 1st and 2nd level support and training including:</w:t>
      </w:r>
    </w:p>
    <w:p>
      <w:pPr>
        <w:pStyle w:val="Heading3"/>
        <w:numPr>
          <w:ilvl w:val="2"/>
          <w:numId w:val="19"/>
        </w:numPr>
        <w:spacing w:before="120" w:after="120"/>
        <w:ind w:hanging="357" w:start="1434" w:end="0"/>
        <w:rPr/>
      </w:pPr>
      <w:r>
        <w:rPr/>
        <w:t>to maintain of all master data (catalog, vendor, user) and transactional data (purchase requisitions and orders),</w:t>
      </w:r>
    </w:p>
    <w:p>
      <w:pPr>
        <w:pStyle w:val="Heading3"/>
        <w:numPr>
          <w:ilvl w:val="2"/>
          <w:numId w:val="19"/>
        </w:numPr>
        <w:spacing w:before="120" w:after="120"/>
        <w:ind w:hanging="357" w:start="1434" w:end="0"/>
        <w:rPr/>
      </w:pPr>
      <w:r>
        <w:rPr/>
        <w:t>to project manage system and functionality changes in the systems which are related to the requisition to pay process,</w:t>
      </w:r>
    </w:p>
    <w:p>
      <w:pPr>
        <w:pStyle w:val="Heading3"/>
        <w:numPr>
          <w:ilvl w:val="2"/>
          <w:numId w:val="19"/>
        </w:numPr>
        <w:spacing w:before="120" w:after="120"/>
        <w:ind w:hanging="357" w:start="1434" w:end="0"/>
        <w:rPr/>
      </w:pPr>
      <w:r>
        <w:rPr/>
        <w:t>to ensure order transmission to suppliers,</w:t>
      </w:r>
    </w:p>
    <w:p>
      <w:pPr>
        <w:pStyle w:val="Heading3"/>
        <w:numPr>
          <w:ilvl w:val="2"/>
          <w:numId w:val="19"/>
        </w:numPr>
        <w:spacing w:before="120" w:after="120"/>
        <w:ind w:hanging="357" w:start="1434" w:end="0"/>
        <w:rPr/>
      </w:pPr>
      <w:r>
        <w:rPr/>
        <w:t>to monitor that interfaces between systems (e.g. Ariba to SAP, e-catalogues to SAP) are working properly. Initiate interface issue resolution and ask for support of GlobalPharma department if required. Follow up on any interface issue resolution.</w:t>
      </w:r>
    </w:p>
    <w:p>
      <w:pPr>
        <w:pStyle w:val="Heading3"/>
        <w:numPr>
          <w:ilvl w:val="2"/>
          <w:numId w:val="19"/>
        </w:numPr>
        <w:spacing w:before="120" w:after="120"/>
        <w:ind w:hanging="357" w:start="1434" w:end="0"/>
        <w:rPr/>
      </w:pPr>
      <w:r>
        <w:rPr/>
        <w:t>to monitor daily operations and undertake corrective actions,</w:t>
      </w:r>
    </w:p>
    <w:p>
      <w:pPr>
        <w:pStyle w:val="Heading3"/>
        <w:numPr>
          <w:ilvl w:val="2"/>
          <w:numId w:val="19"/>
        </w:numPr>
        <w:spacing w:before="120" w:after="120"/>
        <w:ind w:hanging="357" w:start="1434" w:end="0"/>
        <w:rPr/>
      </w:pPr>
      <w:r>
        <w:rPr/>
        <w:t>to maintain documentation,</w:t>
      </w:r>
    </w:p>
    <w:p>
      <w:pPr>
        <w:pStyle w:val="Heading3"/>
        <w:numPr>
          <w:ilvl w:val="2"/>
          <w:numId w:val="19"/>
        </w:numPr>
        <w:spacing w:before="120" w:after="120"/>
        <w:ind w:hanging="357" w:start="1434" w:end="0"/>
        <w:rPr/>
      </w:pPr>
      <w:r>
        <w:rPr/>
        <w:t>to collaborate with 3</w:t>
      </w:r>
      <w:r>
        <w:rPr>
          <w:vertAlign w:val="superscript"/>
        </w:rPr>
        <w:t>rd</w:t>
      </w:r>
      <w:r>
        <w:rPr/>
        <w:t xml:space="preserve"> line support and end user support.</w:t>
      </w:r>
    </w:p>
    <w:p>
      <w:pPr>
        <w:pStyle w:val="Heading3"/>
        <w:numPr>
          <w:ilvl w:val="2"/>
          <w:numId w:val="17"/>
        </w:numPr>
        <w:rPr/>
      </w:pPr>
      <w:r>
        <w:rPr/>
        <w:t>Undertake and manage vendor master creation and maintenance. Update and input data universal numbering system numbers and requesting Dun &amp; Bradstreet reports as requested by GlobalPharma in SAP or other systems as required.</w:t>
      </w:r>
    </w:p>
    <w:p>
      <w:pPr>
        <w:pStyle w:val="Heading3"/>
        <w:numPr>
          <w:ilvl w:val="2"/>
          <w:numId w:val="17"/>
        </w:numPr>
        <w:rPr/>
      </w:pPr>
      <w:r>
        <w:rPr/>
        <w:t xml:space="preserve">Deliver standard reporting (number and type of reports applicable as indicated in </w:t>
      </w:r>
      <w:r>
        <w:rPr>
          <w:b/>
        </w:rPr>
        <w:t>Attachment 13-A</w:t>
      </w:r>
      <w:r>
        <w:rPr/>
        <w:t xml:space="preserve"> to the extent provided by the in-scope FTEs)</w:t>
      </w:r>
    </w:p>
    <w:p>
      <w:pPr>
        <w:pStyle w:val="Formatvorlage1"/>
        <w:numPr>
          <w:ilvl w:val="0"/>
          <w:numId w:val="17"/>
        </w:numPr>
        <w:ind w:hanging="505" w:start="505" w:end="0"/>
        <w:rPr/>
      </w:pPr>
      <w:bookmarkStart w:id="2" w:name="__RefHeading___Toc157772559"/>
      <w:bookmarkEnd w:id="2"/>
      <w:r>
        <w:rPr/>
        <w:t>purchase transactions: requisitions, Purchase orders, change orders and Goods Receive Booking</w:t>
      </w:r>
    </w:p>
    <w:p>
      <w:pPr>
        <w:pStyle w:val="Heading2"/>
        <w:numPr>
          <w:ilvl w:val="1"/>
          <w:numId w:val="17"/>
        </w:numPr>
        <w:ind w:hanging="0" w:start="0"/>
        <w:rPr>
          <w:lang w:val="en-GB"/>
        </w:rPr>
      </w:pPr>
      <w:r>
        <w:rPr>
          <w:lang w:val="en-GB"/>
        </w:rPr>
        <w:t>The Service Provider has the following responsibilities:</w:t>
      </w:r>
    </w:p>
    <w:p>
      <w:pPr>
        <w:pStyle w:val="Heading3"/>
        <w:numPr>
          <w:ilvl w:val="2"/>
          <w:numId w:val="17"/>
        </w:numPr>
        <w:rPr/>
      </w:pPr>
      <w:r>
        <w:rPr/>
        <w:t>Receive and review requisitions and source documentation (electronic and paper) for completeness, accuracy, and policy and procedure compliance prior to processing as may be requested by GlobalPharma.</w:t>
      </w:r>
    </w:p>
    <w:p>
      <w:pPr>
        <w:pStyle w:val="Heading3"/>
        <w:numPr>
          <w:ilvl w:val="2"/>
          <w:numId w:val="17"/>
        </w:numPr>
        <w:rPr/>
      </w:pPr>
      <w:r>
        <w:rPr>
          <w:lang w:bidi="en-US"/>
        </w:rPr>
        <w:t>Scan received Requisition material and supporting documents.</w:t>
      </w:r>
    </w:p>
    <w:p>
      <w:pPr>
        <w:pStyle w:val="Heading3"/>
        <w:numPr>
          <w:ilvl w:val="2"/>
          <w:numId w:val="17"/>
        </w:numPr>
        <w:rPr>
          <w:rFonts w:ascii="Arial" w:hAnsi="Arial" w:cs="Arial"/>
        </w:rPr>
      </w:pPr>
      <w:r>
        <w:rPr/>
        <w:t>Resolve incomplete, inaccurate information and non-compliance issues. This includes, completing bid evaluation sheets, escalating non-compliance issues, and re-routing requisitions or returning them to GlobalPharma to address the same in accordance with established GlobalPharma policies and procedures.</w:t>
      </w:r>
    </w:p>
    <w:p>
      <w:pPr>
        <w:pStyle w:val="Heading3"/>
        <w:numPr>
          <w:ilvl w:val="2"/>
          <w:numId w:val="17"/>
        </w:numPr>
        <w:rPr/>
      </w:pPr>
      <w:r>
        <w:rPr/>
        <w:t>Prepare documents for processing (manual or electronic files) and entry into the system.</w:t>
      </w:r>
    </w:p>
    <w:p>
      <w:pPr>
        <w:pStyle w:val="Heading4"/>
        <w:numPr>
          <w:ilvl w:val="3"/>
          <w:numId w:val="17"/>
        </w:numPr>
        <w:ind w:hanging="1077" w:start="1077"/>
        <w:rPr>
          <w:rFonts w:ascii="Arial" w:hAnsi="Arial" w:cs="Arial"/>
        </w:rPr>
      </w:pPr>
      <w:r>
        <w:rPr/>
        <w:t>Zurich, Italy, UK, Germany CPO, Spain CPO: Partly done by end user in Ariba. All other documentation is to be entered by Service Provider (Project underway to allow end-users to attach documents to requisition).</w:t>
      </w:r>
    </w:p>
    <w:p>
      <w:pPr>
        <w:pStyle w:val="Heading4"/>
        <w:numPr>
          <w:ilvl w:val="3"/>
          <w:numId w:val="17"/>
        </w:numPr>
        <w:ind w:hanging="1077" w:start="1077"/>
        <w:rPr>
          <w:rFonts w:ascii="Arial" w:hAnsi="Arial" w:cs="Arial"/>
        </w:rPr>
      </w:pPr>
      <w:r>
        <w:rPr/>
        <w:t>France: Manual process. The Service Provider will receive electronic or paper information regarding requisition and source documents from the requester for entry into the system.</w:t>
      </w:r>
    </w:p>
    <w:p>
      <w:pPr>
        <w:pStyle w:val="Heading4"/>
        <w:numPr>
          <w:ilvl w:val="3"/>
          <w:numId w:val="17"/>
        </w:numPr>
        <w:ind w:hanging="1077" w:start="1077"/>
        <w:rPr/>
      </w:pPr>
      <w:r>
        <w:rPr/>
        <w:t>France: Work with GlobalPharma to enable smooth transition of the process related services from legacy systems to new systems.</w:t>
      </w:r>
    </w:p>
    <w:p>
      <w:pPr>
        <w:pStyle w:val="Heading3"/>
        <w:numPr>
          <w:ilvl w:val="2"/>
          <w:numId w:val="17"/>
        </w:numPr>
        <w:rPr>
          <w:rFonts w:ascii="Arial" w:hAnsi="Arial" w:eastAsia="MS Mincho;ＭＳ 明朝" w:cs="Arial"/>
          <w:i/>
          <w:i/>
          <w:sz w:val="20"/>
          <w:szCs w:val="20"/>
          <w:lang w:eastAsia="ja-JP"/>
        </w:rPr>
      </w:pPr>
      <w:r>
        <w:rPr/>
        <w:t>Record receipt and source documentation, coordinate storage, filing and remote retrieval functionality of requisition source documents (requisition, approval docs, etc.) based upon established requirements with GlobalPharma. For almost every purchase there is currently a paper based source which is archived.</w:t>
      </w:r>
    </w:p>
    <w:p>
      <w:pPr>
        <w:pStyle w:val="Heading3"/>
        <w:numPr>
          <w:ilvl w:val="2"/>
          <w:numId w:val="17"/>
        </w:numPr>
        <w:rPr/>
      </w:pPr>
      <w:r>
        <w:rPr/>
        <w:t>Obtain requisitions approvals and signatures.</w:t>
      </w:r>
    </w:p>
    <w:p>
      <w:pPr>
        <w:pStyle w:val="Heading4"/>
        <w:numPr>
          <w:ilvl w:val="3"/>
          <w:numId w:val="17"/>
        </w:numPr>
        <w:ind w:hanging="1077" w:start="1077"/>
        <w:rPr/>
      </w:pPr>
      <w:r>
        <w:rPr/>
        <w:t>Zurich, US, Italy, UK, Germany: Automated through Ariba. Process exceptions according to the policies and procedures of GlobalPharma.</w:t>
      </w:r>
    </w:p>
    <w:p>
      <w:pPr>
        <w:pStyle w:val="Heading4"/>
        <w:numPr>
          <w:ilvl w:val="3"/>
          <w:numId w:val="17"/>
        </w:numPr>
        <w:ind w:hanging="1077" w:start="1077"/>
        <w:rPr/>
      </w:pPr>
      <w:r>
        <w:rPr/>
        <w:t>France: Currently a manual sign off of PO. The Service Provider would seek manual sign off of purchase orders per fax, email, etc.</w:t>
      </w:r>
    </w:p>
    <w:p>
      <w:pPr>
        <w:pStyle w:val="Heading4"/>
        <w:numPr>
          <w:ilvl w:val="3"/>
          <w:numId w:val="17"/>
        </w:numPr>
        <w:ind w:hanging="1077" w:start="1077"/>
        <w:rPr/>
      </w:pPr>
      <w:r>
        <w:rPr/>
        <w:t>Spain CPO: Workflow in ARIBA except for travel requisitions. No manual signature.</w:t>
      </w:r>
    </w:p>
    <w:p>
      <w:pPr>
        <w:pStyle w:val="Heading3"/>
        <w:numPr>
          <w:ilvl w:val="2"/>
          <w:numId w:val="17"/>
        </w:numPr>
        <w:rPr/>
      </w:pPr>
      <w:r>
        <w:rPr/>
        <w:t>Create purchase orders from complete, accurate and fully approved requisitions.</w:t>
      </w:r>
    </w:p>
    <w:p>
      <w:pPr>
        <w:pStyle w:val="Heading4"/>
        <w:numPr>
          <w:ilvl w:val="3"/>
          <w:numId w:val="17"/>
        </w:numPr>
        <w:ind w:hanging="1077" w:start="1077"/>
        <w:rPr/>
      </w:pPr>
      <w:r>
        <w:rPr/>
        <w:t>Zurich, US, Italy, UK, Germany: Automated through Ariba/SAP. No activity required for Service Provider in regular processes. However monitoring is required due to potential Ariba-SAP interface issues. Ensuring exceptions are resolved.</w:t>
      </w:r>
    </w:p>
    <w:p>
      <w:pPr>
        <w:pStyle w:val="Heading4"/>
        <w:numPr>
          <w:ilvl w:val="3"/>
          <w:numId w:val="17"/>
        </w:numPr>
        <w:ind w:hanging="1077" w:start="1077"/>
        <w:rPr/>
      </w:pPr>
      <w:r>
        <w:rPr/>
        <w:t>France: Purchase requisition flows through SAP Workflow. Turn the purchase requisition into a purchase order manually in SAP after Service Provider has reviewed the Purchase Requisition according to policies and procedures of GlobalPharma.</w:t>
      </w:r>
    </w:p>
    <w:p>
      <w:pPr>
        <w:pStyle w:val="Heading3"/>
        <w:numPr>
          <w:ilvl w:val="2"/>
          <w:numId w:val="17"/>
        </w:numPr>
        <w:rPr/>
      </w:pPr>
      <w:r>
        <w:rPr/>
        <w:t>Issue purchase orders to vendors as may be required by GlobalPharma.</w:t>
      </w:r>
    </w:p>
    <w:p>
      <w:pPr>
        <w:pStyle w:val="Heading4"/>
        <w:numPr>
          <w:ilvl w:val="3"/>
          <w:numId w:val="17"/>
        </w:numPr>
        <w:ind w:hanging="1077" w:start="1077"/>
        <w:rPr/>
      </w:pPr>
      <w:r>
        <w:rPr/>
        <w:t>Zurich, US, Italy, UK, Germany: Automated through Ariba/SAP. Monitoring of ASN (Ariba Supplier Network) and fax servers is required due to potential technical issues (fax machines not in function, etc.). Ensuring exceptions are resolved.</w:t>
      </w:r>
    </w:p>
    <w:p>
      <w:pPr>
        <w:pStyle w:val="Heading4"/>
        <w:numPr>
          <w:ilvl w:val="3"/>
          <w:numId w:val="17"/>
        </w:numPr>
        <w:ind w:hanging="1077" w:start="1077"/>
        <w:rPr/>
      </w:pPr>
      <w:r>
        <w:rPr/>
        <w:t>France: The Service Provider will receive purchase orders via SAP. The Service Provider will print POs out and fax them to the suppliers.</w:t>
      </w:r>
    </w:p>
    <w:p>
      <w:pPr>
        <w:pStyle w:val="Heading4"/>
        <w:numPr>
          <w:ilvl w:val="3"/>
          <w:numId w:val="17"/>
        </w:numPr>
        <w:ind w:hanging="1077" w:start="1077"/>
        <w:rPr>
          <w:rFonts w:ascii="Arial" w:hAnsi="Arial" w:cs="Arial"/>
          <w:lang w:val="en-GB"/>
        </w:rPr>
      </w:pPr>
      <w:r>
        <w:rPr/>
        <w:t>Spain and UK Techops: The Service Provider will print and manually fax or mail purchase orders to the suppliers.</w:t>
      </w:r>
    </w:p>
    <w:p>
      <w:pPr>
        <w:pStyle w:val="Heading3"/>
        <w:numPr>
          <w:ilvl w:val="2"/>
          <w:numId w:val="17"/>
        </w:numPr>
        <w:rPr/>
      </w:pPr>
      <w:r>
        <w:rPr>
          <w:lang w:val="en-GB"/>
        </w:rPr>
        <w:t>Handle change order requests, including reviewing and validating receipt of all necessary approvals. Obtain change order signatures from GlobalPharma and issue change orders to vendors according to policies and procedures of GlobalPharma.</w:t>
      </w:r>
    </w:p>
    <w:p>
      <w:pPr>
        <w:pStyle w:val="Heading4"/>
        <w:numPr>
          <w:ilvl w:val="3"/>
          <w:numId w:val="17"/>
        </w:numPr>
        <w:ind w:hanging="1077" w:start="1077"/>
        <w:rPr>
          <w:rFonts w:ascii="Arial" w:hAnsi="Arial" w:cs="Arial"/>
        </w:rPr>
      </w:pPr>
      <w:r>
        <w:rPr/>
        <w:t>Zurich, Spain CPO, Italy, UK: Automated through Ariba/SAP. GlobalPharma requester currently processes change orders. The Service Provider will process certain change orders in SAP due to Ariba release issues.</w:t>
      </w:r>
    </w:p>
    <w:p>
      <w:pPr>
        <w:pStyle w:val="Heading4"/>
        <w:numPr>
          <w:ilvl w:val="3"/>
          <w:numId w:val="17"/>
        </w:numPr>
        <w:ind w:hanging="1077" w:start="1077"/>
        <w:rPr/>
      </w:pPr>
      <w:r>
        <w:rPr/>
        <w:t>US: Automated through Ariba/SAP. GlobalPharma requester currently completes change orders. Monitoring is required due to approval flow changes. Ensuring exceptions are resolved. Provide end-user support with regard to the actual preparation and processing of the change order.</w:t>
      </w:r>
    </w:p>
    <w:p>
      <w:pPr>
        <w:pStyle w:val="Heading4"/>
        <w:numPr>
          <w:ilvl w:val="3"/>
          <w:numId w:val="17"/>
        </w:numPr>
        <w:ind w:hanging="1077" w:start="1077"/>
        <w:rPr>
          <w:rFonts w:ascii="Arial" w:hAnsi="Arial" w:cs="Arial"/>
          <w:lang w:val="en-GB"/>
        </w:rPr>
      </w:pPr>
      <w:r>
        <w:rPr/>
        <w:t>France: The Service Provider will handle a manual process. Receive information from requester about goods received and enter into SAP or extend delivery date in SAP.</w:t>
      </w:r>
    </w:p>
    <w:p>
      <w:pPr>
        <w:pStyle w:val="Heading4"/>
        <w:numPr>
          <w:ilvl w:val="3"/>
          <w:numId w:val="17"/>
        </w:numPr>
        <w:ind w:hanging="1077" w:start="1077"/>
        <w:rPr/>
      </w:pPr>
      <w:r>
        <w:rPr/>
        <w:t>Spain TechOps: Out of scope.</w:t>
      </w:r>
    </w:p>
    <w:p>
      <w:pPr>
        <w:pStyle w:val="Heading4"/>
        <w:numPr>
          <w:ilvl w:val="3"/>
          <w:numId w:val="17"/>
        </w:numPr>
        <w:ind w:hanging="1077" w:start="1077"/>
        <w:rPr/>
      </w:pPr>
      <w:r>
        <w:rPr/>
        <w:t>Germany: The Service Provider will receive order changes per fax/email and enter order changes in SAP.</w:t>
      </w:r>
    </w:p>
    <w:p>
      <w:pPr>
        <w:pStyle w:val="Heading3"/>
        <w:numPr>
          <w:ilvl w:val="2"/>
          <w:numId w:val="17"/>
        </w:numPr>
        <w:rPr>
          <w:rFonts w:ascii="Arial" w:hAnsi="Arial" w:cs="Arial"/>
          <w:lang w:val="en-GB"/>
        </w:rPr>
      </w:pPr>
      <w:r>
        <w:rPr>
          <w:lang w:val="en-GB"/>
        </w:rPr>
        <w:t>Handle purchase order cancellations, including working with vendors to cancel open orders and returns.</w:t>
      </w:r>
    </w:p>
    <w:p>
      <w:pPr>
        <w:pStyle w:val="Heading3"/>
        <w:numPr>
          <w:ilvl w:val="2"/>
          <w:numId w:val="17"/>
        </w:numPr>
        <w:rPr>
          <w:rFonts w:ascii="Arial" w:hAnsi="Arial" w:cs="Arial"/>
          <w:lang w:val="en-GB"/>
        </w:rPr>
      </w:pPr>
      <w:r>
        <w:rPr/>
        <w:t>US, Zurich: Automated through Ariba/SAP. Done by GlobalPharma requester. Monitoring is required. Ensuring exceptions are resolved.</w:t>
      </w:r>
      <w:r>
        <w:rPr>
          <w:lang w:val="en-GB"/>
        </w:rPr>
      </w:r>
      <w:r>
        <w:rPr/>
      </w:r>
    </w:p>
    <w:p>
      <w:pPr>
        <w:pStyle w:val="Heading4"/>
        <w:numPr>
          <w:ilvl w:val="3"/>
          <w:numId w:val="17"/>
        </w:numPr>
        <w:ind w:hanging="1077" w:start="1077"/>
        <w:rPr>
          <w:lang w:val="en-GB"/>
        </w:rPr>
      </w:pPr>
      <w:r>
        <w:rPr>
          <w:lang w:val="en-GB"/>
        </w:rPr>
        <w:t>France, Italy, Spain, UK, Germany: The Service Provider will process cancellations manually after having received information from the requester via fax/email.</w:t>
      </w:r>
    </w:p>
    <w:p>
      <w:pPr>
        <w:pStyle w:val="Heading3"/>
        <w:numPr>
          <w:ilvl w:val="2"/>
          <w:numId w:val="17"/>
        </w:numPr>
        <w:rPr>
          <w:lang w:val="en-GB"/>
        </w:rPr>
      </w:pPr>
      <w:r>
        <w:rPr>
          <w:lang w:val="en-GB"/>
        </w:rPr>
        <w:t>Enter Goods Received Notes based on information from requester and/or delivery documents from the vendor.</w:t>
      </w:r>
    </w:p>
    <w:p>
      <w:pPr>
        <w:pStyle w:val="Heading4"/>
        <w:numPr>
          <w:ilvl w:val="3"/>
          <w:numId w:val="17"/>
        </w:numPr>
        <w:ind w:hanging="1077" w:start="1077"/>
        <w:rPr>
          <w:lang w:val="en-GB"/>
        </w:rPr>
      </w:pPr>
      <w:r>
        <w:rPr>
          <w:lang w:val="en-GB"/>
        </w:rPr>
        <w:t>Zurich, US and Italy: Out of scope. Goods Received Notes are entered by requester directly into Ariba</w:t>
      </w:r>
      <w:r>
        <w:rPr/>
      </w:r>
      <w:r>
        <w:rPr>
          <w:lang w:val="en-GB"/>
        </w:rPr>
      </w:r>
    </w:p>
    <w:p>
      <w:pPr>
        <w:pStyle w:val="Heading3"/>
        <w:numPr>
          <w:ilvl w:val="2"/>
          <w:numId w:val="17"/>
        </w:numPr>
        <w:rPr/>
      </w:pPr>
      <w:r>
        <w:rPr/>
        <w:t>Regular Purchase Orders Delivery Date follow up is needed for order to ensure that all goods/Services will arrive on time. The Service Provider has to check with suppliers and inform buyers in case of any delay/issue.</w:t>
      </w:r>
    </w:p>
    <w:p>
      <w:pPr>
        <w:pStyle w:val="Heading4"/>
        <w:numPr>
          <w:ilvl w:val="3"/>
          <w:numId w:val="17"/>
        </w:numPr>
        <w:ind w:hanging="1077" w:start="1077"/>
        <w:rPr/>
      </w:pPr>
      <w:r>
        <w:rPr/>
        <w:t>US, Zurich, UK, Germany, France, Italy: Out of scope.</w:t>
      </w:r>
    </w:p>
    <w:p>
      <w:pPr>
        <w:pStyle w:val="Formatvorlage1"/>
        <w:numPr>
          <w:ilvl w:val="0"/>
          <w:numId w:val="17"/>
        </w:numPr>
        <w:ind w:hanging="505" w:start="505" w:end="0"/>
        <w:rPr/>
      </w:pPr>
      <w:bookmarkStart w:id="3" w:name="__RefHeading___Toc157772560"/>
      <w:bookmarkEnd w:id="3"/>
      <w:r>
        <w:rPr/>
        <w:t>Enquiry and Discrepancy Resolution</w:t>
      </w:r>
    </w:p>
    <w:p>
      <w:pPr>
        <w:pStyle w:val="Heading2"/>
        <w:numPr>
          <w:ilvl w:val="1"/>
          <w:numId w:val="17"/>
        </w:numPr>
        <w:ind w:hanging="0" w:start="0"/>
        <w:rPr>
          <w:lang w:val="en-GB"/>
        </w:rPr>
      </w:pPr>
      <w:r>
        <w:rPr>
          <w:lang w:val="en-GB"/>
        </w:rPr>
        <w:t>The Service Provider has the following responsibilities:</w:t>
      </w:r>
    </w:p>
    <w:p>
      <w:pPr>
        <w:pStyle w:val="Heading3"/>
        <w:numPr>
          <w:ilvl w:val="2"/>
          <w:numId w:val="17"/>
        </w:numPr>
        <w:rPr>
          <w:lang w:val="en-GB"/>
        </w:rPr>
      </w:pPr>
      <w:r>
        <w:rPr>
          <w:lang w:val="en-GB"/>
        </w:rPr>
        <w:t>Set up a help desk line to receive all queries from GlobalPharma users and route those to the relevant Service Provider resource based on the origination of the call.</w:t>
      </w:r>
    </w:p>
    <w:p>
      <w:pPr>
        <w:pStyle w:val="Heading3"/>
        <w:numPr>
          <w:ilvl w:val="2"/>
          <w:numId w:val="17"/>
        </w:numPr>
        <w:rPr>
          <w:lang w:val="en-GB"/>
        </w:rPr>
      </w:pPr>
      <w:r>
        <w:rPr/>
        <w:t>Respond to and resolve any incoming general GlobalPharma enquiries and issues of vendors both related to suppliers and purchase orders and to enquiries, which relate to purchase orders, invoices (usually with A/P) and ordered and received goods and services (usually with requester/warehouse)</w:t>
      </w:r>
    </w:p>
    <w:p>
      <w:pPr>
        <w:pStyle w:val="Heading3"/>
        <w:numPr>
          <w:ilvl w:val="2"/>
          <w:numId w:val="17"/>
        </w:numPr>
        <w:rPr>
          <w:lang w:val="en-GB"/>
        </w:rPr>
      </w:pPr>
      <w:r>
        <w:rPr/>
        <w:t>Provide Help Desk and Hot Line support with the required language capability in English, French, German, Spanish and Italian for the system and operation as required (incl. interface to A/P and goods receipt).</w:t>
      </w:r>
    </w:p>
    <w:p>
      <w:pPr>
        <w:pStyle w:val="Heading3"/>
        <w:numPr>
          <w:ilvl w:val="2"/>
          <w:numId w:val="17"/>
        </w:numPr>
        <w:rPr/>
      </w:pPr>
      <w:r>
        <w:rPr>
          <w:lang w:val="en-GB"/>
        </w:rPr>
        <w:t>Handle incoming queries throughout the Requisition to Pay cycle by providing a 2-level help desk support. Level 1 (L1) help desk would be to support incoming queries on maintaining catalogues, creating/modifying PO’s, P-card admin, goods receipt, invoice matching support.  The L2 helpdesk would include support on technical aspec</w:t>
      </w:r>
      <w:r>
        <w:rPr/>
        <w:t>ts and issues like master data and user setup, script based testing, Reports (structured query language (“SQL”)), purchasing workflow, system access to users, data and table maintenance, reporting on continuous improvement opportunities and Liaison with L3, if necessary.</w:t>
      </w:r>
    </w:p>
    <w:p>
      <w:pPr>
        <w:pStyle w:val="Heading3"/>
        <w:numPr>
          <w:ilvl w:val="2"/>
          <w:numId w:val="17"/>
        </w:numPr>
        <w:rPr/>
      </w:pPr>
      <w:r>
        <w:rPr/>
        <w:t>Document an issue escalation matrix with current service levels and current resolution times during the transition and obtain sign off from GlobalPharma.</w:t>
      </w:r>
    </w:p>
    <w:p>
      <w:pPr>
        <w:pStyle w:val="Heading3"/>
        <w:numPr>
          <w:ilvl w:val="2"/>
          <w:numId w:val="17"/>
        </w:numPr>
        <w:rPr>
          <w:rFonts w:ascii="Arial" w:hAnsi="Arial" w:cs="Arial"/>
          <w:b/>
          <w:lang w:val="en-GB"/>
        </w:rPr>
      </w:pPr>
      <w:r>
        <w:rPr/>
        <w:t>Escalate any query which cannot be handled by Service Provider to the concerned GlobalPharma personnel via email / telephone.</w:t>
      </w:r>
    </w:p>
    <w:p>
      <w:pPr>
        <w:pStyle w:val="Heading3"/>
        <w:numPr>
          <w:ilvl w:val="2"/>
          <w:numId w:val="17"/>
        </w:numPr>
        <w:rPr>
          <w:lang w:val="en-GB"/>
        </w:rPr>
      </w:pPr>
      <w:r>
        <w:rPr>
          <w:lang w:val="en-GB"/>
        </w:rPr>
        <w:t>Monitor and report on performance metrics on a regular basis along the agreed Critical Service Levels and Key Measures.</w:t>
      </w:r>
    </w:p>
    <w:p>
      <w:pPr>
        <w:pStyle w:val="Formatvorlage1"/>
        <w:numPr>
          <w:ilvl w:val="0"/>
          <w:numId w:val="17"/>
        </w:numPr>
        <w:ind w:hanging="505" w:start="505" w:end="0"/>
        <w:rPr/>
      </w:pPr>
      <w:bookmarkStart w:id="4" w:name="__RefHeading___Toc157772561"/>
      <w:bookmarkEnd w:id="4"/>
      <w:r>
        <w:rPr/>
        <w:t>Third Party Material</w:t>
      </w:r>
    </w:p>
    <w:p>
      <w:pPr>
        <w:pStyle w:val="Heading2"/>
        <w:numPr>
          <w:ilvl w:val="1"/>
          <w:numId w:val="17"/>
        </w:numPr>
        <w:ind w:hanging="0" w:start="0"/>
        <w:rPr/>
      </w:pPr>
      <w:r>
        <w:rPr/>
        <w:t>The Service Provider</w:t>
      </w:r>
      <w:r>
        <w:rPr>
          <w:rFonts w:cs="Times New Roman" w:ascii="Times New Roman" w:hAnsi="Times New Roman"/>
        </w:rPr>
        <w:t>’</w:t>
      </w:r>
      <w:r>
        <w:rPr/>
        <w:t xml:space="preserve">s </w:t>
      </w:r>
      <w:r>
        <w:rPr>
          <w:lang w:val="en-GB"/>
        </w:rPr>
        <w:t>responsibilities</w:t>
      </w:r>
      <w:r>
        <w:rPr/>
        <w:t xml:space="preserve"> include, but are not limited to</w:t>
      </w:r>
    </w:p>
    <w:p>
      <w:pPr>
        <w:pStyle w:val="Heading2"/>
        <w:numPr>
          <w:ilvl w:val="1"/>
          <w:numId w:val="17"/>
        </w:numPr>
        <w:ind w:hanging="0" w:start="0"/>
        <w:rPr/>
      </w:pPr>
      <w:r>
        <w:rPr/>
        <w:t>Update with the assistance and the approval of GlobalPharma at least at every 6th (sixth) month of the Term of the Agreement the list of third party material in Exhibit 24 (Third Party Materials).</w:t>
      </w:r>
      <w:r>
        <w:rPr>
          <w:lang w:val="en-GB"/>
        </w:rPr>
      </w:r>
      <w:r>
        <w:rPr/>
      </w:r>
      <w:r>
        <w:rPr>
          <w:vertAlign w:val="superscript"/>
        </w:rPr>
      </w:r>
      <w:r>
        <w:rPr/>
      </w:r>
    </w:p>
    <w:p>
      <w:pPr>
        <w:pStyle w:val="Formatvorlage1"/>
        <w:numPr>
          <w:ilvl w:val="0"/>
          <w:numId w:val="17"/>
        </w:numPr>
        <w:ind w:hanging="505" w:start="505" w:end="0"/>
        <w:rPr/>
      </w:pPr>
      <w:bookmarkStart w:id="5" w:name="__RefHeading___Toc157772562"/>
      <w:bookmarkEnd w:id="5"/>
      <w:r>
        <w:rPr/>
        <w:t>IP Rights Listing</w:t>
      </w:r>
    </w:p>
    <w:p>
      <w:pPr>
        <w:pStyle w:val="Normal"/>
        <w:rPr/>
      </w:pPr>
      <w:r>
        <w:rPr>
          <w:lang w:val="en-GB"/>
        </w:rPr>
        <w:t xml:space="preserve">The Parties will list below, as updated periodically </w:t>
      </w:r>
      <w:r>
        <w:rPr/>
        <w:t>at least at every 6</w:t>
      </w:r>
      <w:r>
        <w:rPr>
          <w:vertAlign w:val="superscript"/>
        </w:rPr>
        <w:t>th</w:t>
      </w:r>
      <w:r>
        <w:rPr/>
        <w:t xml:space="preserve"> (sixth) month </w:t>
      </w:r>
      <w:r>
        <w:rPr>
          <w:lang w:val="en-GB"/>
        </w:rPr>
        <w:t>of the Term of The Agreement, Materials developed under The Agreement as described in clause 7.3.1 of the MSA:</w:t>
      </w:r>
    </w:p>
    <w:p>
      <w:pPr>
        <w:pStyle w:val="Heading2"/>
        <w:numPr>
          <w:ilvl w:val="1"/>
          <w:numId w:val="17"/>
        </w:numPr>
        <w:ind w:hanging="0" w:start="0"/>
        <w:rPr/>
      </w:pPr>
      <w:r>
        <w:rPr>
          <w:lang w:val="en-GB"/>
        </w:rPr>
        <w:t xml:space="preserve">Type I </w:t>
      </w:r>
      <w:r>
        <w:rPr/>
        <w:t>Materials</w:t>
      </w:r>
    </w:p>
    <w:tbl>
      <w:tblPr>
        <w:tblW w:w="9211" w:type="dxa"/>
        <w:jc w:val="start"/>
        <w:tblInd w:w="0" w:type="dxa"/>
        <w:tblLayout w:type="fixed"/>
        <w:tblCellMar>
          <w:top w:w="0" w:type="dxa"/>
          <w:start w:w="108" w:type="dxa"/>
          <w:bottom w:w="0" w:type="dxa"/>
          <w:end w:w="108" w:type="dxa"/>
        </w:tblCellMar>
      </w:tblPr>
      <w:tblGrid>
        <w:gridCol w:w="1668"/>
        <w:gridCol w:w="7543"/>
      </w:tblGrid>
      <w:tr>
        <w:trPr/>
        <w:tc>
          <w:tcPr>
            <w:tcW w:w="1668"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Title / Name</w:t>
            </w:r>
          </w:p>
        </w:tc>
        <w:tc>
          <w:tcPr>
            <w:tcW w:w="7543"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Description</w:t>
            </w:r>
          </w:p>
        </w:tc>
      </w:tr>
      <w:tr>
        <w:trPr/>
        <w:tc>
          <w:tcPr>
            <w:tcW w:w="1668"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c>
          <w:tcPr>
            <w:tcW w:w="7543"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r>
    </w:tbl>
    <w:p>
      <w:pPr>
        <w:pStyle w:val="Heading2"/>
        <w:numPr>
          <w:ilvl w:val="1"/>
          <w:numId w:val="17"/>
        </w:numPr>
        <w:ind w:hanging="0" w:start="0"/>
        <w:rPr/>
      </w:pPr>
      <w:r>
        <w:rPr>
          <w:lang w:val="en-GB"/>
        </w:rPr>
        <w:t>Type II Materials</w:t>
      </w:r>
    </w:p>
    <w:tbl>
      <w:tblPr>
        <w:tblW w:w="9211" w:type="dxa"/>
        <w:jc w:val="start"/>
        <w:tblInd w:w="0" w:type="dxa"/>
        <w:tblLayout w:type="fixed"/>
        <w:tblCellMar>
          <w:top w:w="0" w:type="dxa"/>
          <w:start w:w="108" w:type="dxa"/>
          <w:bottom w:w="0" w:type="dxa"/>
          <w:end w:w="108" w:type="dxa"/>
        </w:tblCellMar>
      </w:tblPr>
      <w:tblGrid>
        <w:gridCol w:w="1668"/>
        <w:gridCol w:w="7543"/>
      </w:tblGrid>
      <w:tr>
        <w:trPr/>
        <w:tc>
          <w:tcPr>
            <w:tcW w:w="1668"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Title / Name</w:t>
            </w:r>
          </w:p>
        </w:tc>
        <w:tc>
          <w:tcPr>
            <w:tcW w:w="7543"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Description</w:t>
            </w:r>
          </w:p>
        </w:tc>
      </w:tr>
      <w:tr>
        <w:trPr/>
        <w:tc>
          <w:tcPr>
            <w:tcW w:w="1668"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c>
          <w:tcPr>
            <w:tcW w:w="7543"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r>
    </w:tbl>
    <w:p>
      <w:pPr>
        <w:pStyle w:val="Heading2"/>
        <w:numPr>
          <w:ilvl w:val="1"/>
          <w:numId w:val="17"/>
        </w:numPr>
        <w:ind w:hanging="0" w:start="0"/>
        <w:rPr/>
      </w:pPr>
      <w:r>
        <w:rPr>
          <w:lang w:val="en-GB"/>
        </w:rPr>
        <w:t>Type III Materials</w:t>
      </w:r>
    </w:p>
    <w:tbl>
      <w:tblPr>
        <w:tblW w:w="9211" w:type="dxa"/>
        <w:jc w:val="start"/>
        <w:tblInd w:w="0" w:type="dxa"/>
        <w:tblLayout w:type="fixed"/>
        <w:tblCellMar>
          <w:top w:w="0" w:type="dxa"/>
          <w:start w:w="108" w:type="dxa"/>
          <w:bottom w:w="0" w:type="dxa"/>
          <w:end w:w="108" w:type="dxa"/>
        </w:tblCellMar>
      </w:tblPr>
      <w:tblGrid>
        <w:gridCol w:w="1668"/>
        <w:gridCol w:w="7543"/>
      </w:tblGrid>
      <w:tr>
        <w:trPr/>
        <w:tc>
          <w:tcPr>
            <w:tcW w:w="1668"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Title / Name</w:t>
            </w:r>
          </w:p>
        </w:tc>
        <w:tc>
          <w:tcPr>
            <w:tcW w:w="7543"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Description</w:t>
            </w:r>
          </w:p>
        </w:tc>
      </w:tr>
      <w:tr>
        <w:trPr/>
        <w:tc>
          <w:tcPr>
            <w:tcW w:w="1668"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c>
          <w:tcPr>
            <w:tcW w:w="7543"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r>
    </w:tbl>
    <w:p>
      <w:pPr>
        <w:pStyle w:val="Heading2"/>
        <w:numPr>
          <w:ilvl w:val="1"/>
          <w:numId w:val="17"/>
        </w:numPr>
        <w:ind w:hanging="0" w:start="0"/>
        <w:rPr/>
      </w:pPr>
      <w:r>
        <w:rPr>
          <w:lang w:val="en-GB"/>
        </w:rPr>
        <w:t>Type IV Materials</w:t>
      </w:r>
    </w:p>
    <w:tbl>
      <w:tblPr>
        <w:tblW w:w="9211" w:type="dxa"/>
        <w:jc w:val="start"/>
        <w:tblInd w:w="0" w:type="dxa"/>
        <w:tblLayout w:type="fixed"/>
        <w:tblCellMar>
          <w:top w:w="0" w:type="dxa"/>
          <w:start w:w="108" w:type="dxa"/>
          <w:bottom w:w="0" w:type="dxa"/>
          <w:end w:w="108" w:type="dxa"/>
        </w:tblCellMar>
      </w:tblPr>
      <w:tblGrid>
        <w:gridCol w:w="1668"/>
        <w:gridCol w:w="7543"/>
      </w:tblGrid>
      <w:tr>
        <w:trPr/>
        <w:tc>
          <w:tcPr>
            <w:tcW w:w="1668"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Title / Name</w:t>
            </w:r>
          </w:p>
        </w:tc>
        <w:tc>
          <w:tcPr>
            <w:tcW w:w="7543"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Description</w:t>
            </w:r>
          </w:p>
        </w:tc>
      </w:tr>
      <w:tr>
        <w:trPr/>
        <w:tc>
          <w:tcPr>
            <w:tcW w:w="1668"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c>
          <w:tcPr>
            <w:tcW w:w="7543"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r>
    </w:tbl>
    <w:p>
      <w:pPr>
        <w:pStyle w:val="Normal"/>
        <w:rPr/>
      </w:pPr>
      <w:r>
        <w:rPr/>
      </w:r>
    </w:p>
    <w:p>
      <w:pPr>
        <w:pStyle w:val="TableText"/>
        <w:spacing w:before="120" w:after="120"/>
        <w:rPr/>
      </w:pPr>
      <w:r>
        <w:rPr/>
      </w:r>
    </w:p>
    <w:sectPr>
      <w:headerReference w:type="default" r:id="rId2"/>
      <w:footerReference w:type="default" r:id="rId3"/>
      <w:type w:val="nextPage"/>
      <w:pgSz w:w="12240" w:h="15840"/>
      <w:pgMar w:left="862" w:right="862" w:gutter="0" w:header="720" w:top="2516" w:footer="329" w:bottom="1418"/>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Verdan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jc w:val="center"/>
      <w:rPr>
        <w:rFonts w:ascii="Arial" w:hAnsi="Arial" w:cs="Arial"/>
        <w:sz w:val="20"/>
        <w:szCs w:val="22"/>
      </w:rPr>
    </w:pPr>
    <w:r>
      <w:rPr>
        <w:rFonts w:cs="Arial" w:ascii="Arial" w:hAnsi="Arial"/>
        <w:sz w:val="20"/>
        <w:szCs w:val="22"/>
      </w:rPr>
      <w:t>GlobalPharma and ServicePro Confidential</w:t>
    </w:r>
  </w:p>
  <w:p>
    <w:pPr>
      <w:pStyle w:val="Footer"/>
      <w:spacing w:before="120" w:after="120"/>
      <w:jc w:val="center"/>
      <w:rPr>
        <w:rFonts w:ascii="Arial" w:hAnsi="Arial" w:cs="Arial"/>
        <w:sz w:val="20"/>
        <w:szCs w:val="22"/>
      </w:rPr>
    </w:pPr>
    <w:r>
      <w:rPr>
        <w:rFonts w:cs="Arial" w:ascii="Arial" w:hAnsi="Arial"/>
        <w:sz w:val="20"/>
        <w:szCs w:val="22"/>
      </w:rPr>
      <w:fldChar w:fldCharType="begin"/>
    </w:r>
    <w:r>
      <w:rPr>
        <w:sz w:val="20"/>
        <w:szCs w:val="22"/>
        <w:rFonts w:cs="Arial" w:ascii="Arial" w:hAnsi="Arial"/>
      </w:rPr>
      <w:instrText xml:space="preserve"> PAGE </w:instrText>
    </w:r>
    <w:r>
      <w:rPr>
        <w:sz w:val="20"/>
        <w:szCs w:val="22"/>
        <w:rFonts w:cs="Arial" w:ascii="Arial" w:hAnsi="Arial"/>
      </w:rPr>
      <w:fldChar w:fldCharType="separate"/>
    </w:r>
    <w:r>
      <w:rPr>
        <w:sz w:val="20"/>
        <w:szCs w:val="22"/>
        <w:rFonts w:cs="Arial" w:ascii="Arial" w:hAnsi="Arial"/>
      </w:rPr>
      <w:t>9</w:t>
    </w:r>
    <w:r>
      <w:rPr>
        <w:sz w:val="20"/>
        <w:szCs w:val="22"/>
        <w:rFonts w:cs="Arial" w:ascii="Arial" w:hAnsi="Arial"/>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120"/>
      <w:rPr/>
    </w:pPr>
    <w:r>
      <w:rPr/>
      <w:drawing>
        <wp:anchor behindDoc="1" distT="0" distB="0" distL="114935" distR="114935" simplePos="0" locked="0" layoutInCell="1" allowOverlap="1" relativeHeight="19">
          <wp:simplePos x="0" y="0"/>
          <wp:positionH relativeFrom="column">
            <wp:posOffset>7886700</wp:posOffset>
          </wp:positionH>
          <wp:positionV relativeFrom="paragraph">
            <wp:posOffset>45720</wp:posOffset>
          </wp:positionV>
          <wp:extent cx="1028700" cy="385445"/>
          <wp:effectExtent l="0" t="0" r="0" b="0"/>
          <wp:wrapNone/>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drawing>
        <wp:anchor behindDoc="1" distT="0" distB="0" distL="114935" distR="114935" simplePos="0" locked="0" layoutInCell="1" allowOverlap="1" relativeHeight="28">
          <wp:simplePos x="0" y="0"/>
          <wp:positionH relativeFrom="column">
            <wp:posOffset>5665470</wp:posOffset>
          </wp:positionH>
          <wp:positionV relativeFrom="paragraph">
            <wp:posOffset>-19050</wp:posOffset>
          </wp:positionV>
          <wp:extent cx="1028700" cy="385445"/>
          <wp:effectExtent l="0" t="0" r="0" b="0"/>
          <wp:wrapNone/>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2"/>
                  <a:srcRect l="-36" t="-93" r="-36" b="-93"/>
                  <a:stretch>
                    <a:fillRect/>
                  </a:stretch>
                </pic:blipFill>
                <pic:spPr bwMode="auto">
                  <a:xfrm>
                    <a:off x="0" y="0"/>
                    <a:ext cx="1028700" cy="385445"/>
                  </a:xfrm>
                  <a:prstGeom prst="rect">
                    <a:avLst/>
                  </a:prstGeom>
                  <a:noFill/>
                </pic:spPr>
              </pic:pic>
            </a:graphicData>
          </a:graphic>
        </wp:anchor>
      </w:drawing>
      <w:drawing>
        <wp:inline distT="0" distB="0" distL="0" distR="0">
          <wp:extent cx="1371600" cy="34798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3"/>
                  <a:srcRect l="-24" t="-104" r="-24" b="-104"/>
                  <a:stretch>
                    <a:fillRect/>
                  </a:stretch>
                </pic:blipFill>
                <pic:spPr bwMode="auto">
                  <a:xfrm>
                    <a:off x="0" y="0"/>
                    <a:ext cx="1371600" cy="347980"/>
                  </a:xfrm>
                  <a:prstGeom prst="rect">
                    <a:avLst/>
                  </a:prstGeom>
                  <a:noFill/>
                </pic:spPr>
              </pic:pic>
            </a:graphicData>
          </a:graphic>
        </wp:inline>
      </w:drawing>
    </w:r>
  </w:p>
  <w:p>
    <w:pPr>
      <w:pStyle w:val="Header"/>
      <w:pBdr>
        <w:bottom w:val="single" w:sz="4" w:space="1" w:color="000000"/>
      </w:pBdr>
      <w:tabs>
        <w:tab w:val="clear" w:pos="14400"/>
        <w:tab w:val="right" w:pos="9360" w:leader="none"/>
        <w:tab w:val="right" w:pos="14760" w:leader="none"/>
      </w:tabs>
      <w:spacing w:before="120" w:after="120"/>
      <w:rPr/>
    </w:pP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1440"/>
        </w:tabs>
        <w:ind w:start="1440" w:hanging="360"/>
      </w:pPr>
    </w:lvl>
  </w:abstractNum>
  <w:abstractNum w:abstractNumId="3">
    <w:lvl w:ilvl="0">
      <w:start w:val="1"/>
      <w:numFmt w:val="decimal"/>
      <w:lvlText w:val="%1."/>
      <w:lvlJc w:val="start"/>
      <w:pPr>
        <w:tabs>
          <w:tab w:val="num" w:pos="1080"/>
        </w:tabs>
        <w:ind w:start="1080" w:hanging="360"/>
      </w:pPr>
    </w:lvl>
  </w:abstractNum>
  <w:abstractNum w:abstractNumId="4">
    <w:lvl w:ilvl="0">
      <w:start w:val="1"/>
      <w:numFmt w:val="decimal"/>
      <w:lvlText w:val="%1."/>
      <w:lvlJc w:val="start"/>
      <w:pPr>
        <w:tabs>
          <w:tab w:val="num" w:pos="720"/>
        </w:tabs>
        <w:ind w:start="720" w:hanging="360"/>
      </w:pPr>
    </w:lvl>
  </w:abstractNum>
  <w:abstractNum w:abstractNumId="5">
    <w:lvl w:ilvl="0">
      <w:start w:val="1"/>
      <w:numFmt w:val="bullet"/>
      <w:lvlText w:val=""/>
      <w:lvlJc w:val="start"/>
      <w:pPr>
        <w:tabs>
          <w:tab w:val="num" w:pos="1440"/>
        </w:tabs>
        <w:ind w:start="1440" w:hanging="360"/>
      </w:pPr>
      <w:rPr>
        <w:rFonts w:ascii="Symbol" w:hAnsi="Symbol" w:cs="Symbol" w:hint="default"/>
      </w:rPr>
    </w:lvl>
  </w:abstractNum>
  <w:abstractNum w:abstractNumId="6">
    <w:lvl w:ilvl="0">
      <w:start w:val="1"/>
      <w:numFmt w:val="bullet"/>
      <w:lvlText w:val=""/>
      <w:lvlJc w:val="start"/>
      <w:pPr>
        <w:tabs>
          <w:tab w:val="num" w:pos="1080"/>
        </w:tabs>
        <w:ind w:start="1080" w:hanging="360"/>
      </w:pPr>
      <w:rPr>
        <w:rFonts w:ascii="Symbol" w:hAnsi="Symbol" w:cs="Symbol" w:hint="default"/>
      </w:rPr>
    </w:lvl>
  </w:abstractNum>
  <w:abstractNum w:abstractNumId="7">
    <w:lvl w:ilvl="0">
      <w:start w:val="1"/>
      <w:numFmt w:val="decimal"/>
      <w:lvlText w:val="%1."/>
      <w:lvlJc w:val="start"/>
      <w:pPr>
        <w:tabs>
          <w:tab w:val="num" w:pos="360"/>
        </w:tabs>
        <w:ind w:start="360" w:hanging="360"/>
      </w:pPr>
    </w:lvl>
  </w:abstractNum>
  <w:abstractNum w:abstractNumId="8">
    <w:lvl w:ilvl="0">
      <w:start w:val="1"/>
      <w:numFmt w:val="decimal"/>
      <w:lvlText w:val="%1."/>
      <w:lvlJc w:val="start"/>
      <w:pPr>
        <w:tabs>
          <w:tab w:val="num" w:pos="720"/>
        </w:tabs>
        <w:ind w:start="720" w:hanging="504"/>
      </w:pPr>
      <w:rPr>
        <w:sz w:val="22"/>
        <w:i w:val="false"/>
        <w:b w:val="false"/>
        <w:rFonts w:ascii="Times New Roman" w:hAnsi="Times New Roman" w:cs="Times New Roman"/>
        <w:color w:val="000000"/>
      </w:rPr>
    </w:lvl>
    <w:lvl w:ilvl="1">
      <w:start w:val="1"/>
      <w:numFmt w:val="decimal"/>
      <w:lvlText w:val="%1.%2."/>
      <w:lvlJc w:val="start"/>
      <w:pPr>
        <w:tabs>
          <w:tab w:val="num" w:pos="720"/>
        </w:tabs>
        <w:ind w:start="720" w:hanging="504"/>
      </w:pPr>
      <w:rPr>
        <w:sz w:val="22"/>
        <w:i w:val="false"/>
        <w:b w:val="false"/>
        <w:rFonts w:ascii="Times New Roman" w:hAnsi="Times New Roman" w:cs="Times New Roman"/>
      </w:rPr>
    </w:lvl>
    <w:lvl w:ilvl="2">
      <w:start w:val="1"/>
      <w:numFmt w:val="decimal"/>
      <w:lvlText w:val="%1.%2.%3."/>
      <w:lvlJc w:val="start"/>
      <w:pPr>
        <w:tabs>
          <w:tab w:val="num" w:pos="1296"/>
        </w:tabs>
        <w:ind w:start="1296" w:hanging="1080"/>
      </w:pPr>
      <w:rPr>
        <w:sz w:val="22"/>
        <w:i w:val="false"/>
        <w:b w:val="false"/>
        <w:rFonts w:ascii="Times New Roman" w:hAnsi="Times New Roman" w:cs="Times New Roman"/>
      </w:rPr>
    </w:lvl>
    <w:lvl w:ilvl="3">
      <w:start w:val="1"/>
      <w:numFmt w:val="decimal"/>
      <w:lvlText w:val="%1.%2.%3.%4."/>
      <w:lvlJc w:val="start"/>
      <w:pPr>
        <w:tabs>
          <w:tab w:val="num" w:pos="1296"/>
        </w:tabs>
        <w:ind w:start="1296" w:hanging="1080"/>
      </w:pPr>
      <w:rPr>
        <w:sz w:val="22"/>
        <w:i w:val="false"/>
        <w:b w:val="false"/>
        <w:rFonts w:ascii="Times New Roman" w:hAnsi="Times New Roman" w:cs="Times New Roman"/>
      </w:rPr>
    </w:lvl>
    <w:lvl w:ilvl="4">
      <w:start w:val="1"/>
      <w:numFmt w:val="upperLetter"/>
      <w:lvlText w:val="%5."/>
      <w:lvlJc w:val="start"/>
      <w:pPr>
        <w:tabs>
          <w:tab w:val="num" w:pos="1296"/>
        </w:tabs>
        <w:ind w:start="1296" w:hanging="576"/>
      </w:pPr>
      <w:rPr/>
    </w:lvl>
    <w:lvl w:ilvl="5">
      <w:start w:val="1"/>
      <w:numFmt w:val="decimal"/>
      <w:lvlText w:val="%6."/>
      <w:lvlJc w:val="start"/>
      <w:pPr>
        <w:tabs>
          <w:tab w:val="num" w:pos="1296"/>
        </w:tabs>
        <w:ind w:start="1296" w:hanging="576"/>
      </w:pPr>
      <w:rPr/>
    </w:lvl>
    <w:lvl w:ilvl="6">
      <w:start w:val="1"/>
      <w:numFmt w:val="lowerLetter"/>
      <w:lvlText w:val="%7."/>
      <w:lvlJc w:val="start"/>
      <w:pPr>
        <w:tabs>
          <w:tab w:val="num" w:pos="1728"/>
        </w:tabs>
        <w:ind w:start="1728" w:hanging="432"/>
      </w:pPr>
      <w:rPr/>
    </w:lvl>
    <w:lvl w:ilvl="7">
      <w:start w:val="1"/>
      <w:numFmt w:val="lowerRoman"/>
      <w:lvlText w:val="%8.)"/>
      <w:lvlJc w:val="start"/>
      <w:pPr>
        <w:tabs>
          <w:tab w:val="num" w:pos="1728"/>
        </w:tabs>
        <w:ind w:start="1728" w:hanging="432"/>
      </w:pPr>
      <w:rPr/>
    </w:lvl>
    <w:lvl w:ilvl="8">
      <w:start w:val="1"/>
      <w:numFmt w:val="none"/>
      <w:suff w:val="nothing"/>
      <w:lvlText w:val=""/>
      <w:lvlJc w:val="start"/>
      <w:pPr>
        <w:tabs>
          <w:tab w:val="num" w:pos="360"/>
        </w:tabs>
        <w:ind w:start="0" w:hanging="0"/>
      </w:pPr>
      <w:rPr/>
    </w:lvl>
  </w:abstractNum>
  <w:abstractNum w:abstractNumId="9">
    <w:lvl w:ilvl="0">
      <w:start w:val="1"/>
      <w:numFmt w:val="bullet"/>
      <w:lvlText w:val=""/>
      <w:lvlJc w:val="start"/>
      <w:pPr>
        <w:tabs>
          <w:tab w:val="num" w:pos="1800"/>
        </w:tabs>
        <w:ind w:start="1800" w:hanging="360"/>
      </w:pPr>
      <w:rPr>
        <w:rFonts w:ascii="Symbol" w:hAnsi="Symbol" w:cs="Symbol" w:hint="default"/>
      </w:rPr>
    </w:lvl>
  </w:abstractNum>
  <w:abstractNum w:abstractNumId="10">
    <w:lvl w:ilvl="0">
      <w:start w:val="1"/>
      <w:numFmt w:val="decimal"/>
      <w:lvlText w:val="%1."/>
      <w:lvlJc w:val="start"/>
      <w:pPr>
        <w:tabs>
          <w:tab w:val="num" w:pos="1627"/>
        </w:tabs>
        <w:ind w:start="1627" w:hanging="547"/>
      </w:pPr>
      <w:rPr>
        <w:sz w:val="22"/>
        <w:i w:val="false"/>
        <w:b w:val="false"/>
        <w:rFonts w:ascii="Times New Roman" w:hAnsi="Times New Roman" w:cs="Times New Roman"/>
        <w:color w:val="000000"/>
      </w:rPr>
    </w:lvl>
    <w:lvl w:ilvl="1">
      <w:start w:val="1"/>
      <w:numFmt w:val="decimal"/>
      <w:lvlText w:val="%1.%2."/>
      <w:lvlJc w:val="start"/>
      <w:pPr>
        <w:tabs>
          <w:tab w:val="num" w:pos="2160"/>
        </w:tabs>
        <w:ind w:start="2160" w:hanging="893"/>
      </w:pPr>
      <w:rPr>
        <w:sz w:val="22"/>
        <w:i w:val="false"/>
        <w:b w:val="false"/>
        <w:rFonts w:ascii="Times New Roman" w:hAnsi="Times New Roman" w:cs="Times New Roman"/>
      </w:rPr>
    </w:lvl>
    <w:lvl w:ilvl="2">
      <w:start w:val="1"/>
      <w:numFmt w:val="decimal"/>
      <w:lvlText w:val="%1.%2.%3."/>
      <w:lvlJc w:val="start"/>
      <w:pPr>
        <w:tabs>
          <w:tab w:val="num" w:pos="2707"/>
        </w:tabs>
        <w:ind w:start="2707" w:hanging="1080"/>
      </w:pPr>
      <w:rPr>
        <w:sz w:val="22"/>
        <w:i w:val="false"/>
        <w:b w:val="false"/>
        <w:rFonts w:ascii="Times New Roman" w:hAnsi="Times New Roman" w:cs="Times New Roman"/>
      </w:rPr>
    </w:lvl>
    <w:lvl w:ilvl="3">
      <w:start w:val="1"/>
      <w:numFmt w:val="decimal"/>
      <w:lvlText w:val="%1.%2.%3.%4"/>
      <w:lvlJc w:val="start"/>
      <w:pPr>
        <w:tabs>
          <w:tab w:val="num" w:pos="3240"/>
        </w:tabs>
        <w:ind w:start="3240" w:hanging="1613"/>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11">
    <w:lvl w:ilvl="0">
      <w:start w:val="1"/>
      <w:numFmt w:val="bullet"/>
      <w:lvlText w:val=""/>
      <w:lvlJc w:val="start"/>
      <w:pPr>
        <w:tabs>
          <w:tab w:val="num" w:pos="1800"/>
        </w:tabs>
        <w:ind w:start="1800" w:hanging="360"/>
      </w:pPr>
      <w:rPr>
        <w:rFonts w:ascii="Symbol" w:hAnsi="Symbol" w:cs="Symbol" w:hint="default"/>
      </w:rPr>
    </w:lvl>
  </w:abstractNum>
  <w:abstractNum w:abstractNumId="12">
    <w:lvl w:ilvl="0">
      <w:start w:val="1"/>
      <w:numFmt w:val="bullet"/>
      <w:lvlText w:val=""/>
      <w:lvlJc w:val="start"/>
      <w:pPr>
        <w:tabs>
          <w:tab w:val="num" w:pos="1080"/>
        </w:tabs>
        <w:ind w:start="1080" w:hanging="360"/>
      </w:pPr>
      <w:rPr>
        <w:rFonts w:ascii="Symbol" w:hAnsi="Symbol" w:cs="Symbol" w:hint="default"/>
      </w:rPr>
    </w:lvl>
  </w:abstractNum>
  <w:abstractNum w:abstractNumId="13">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4"/>
        <w:i w:val="false"/>
        <w:b/>
        <w:rFonts w:ascii="Times New Roman Bold;Times New Roman" w:hAnsi="Times New Roman Bold;Times New Roman" w:cs="Times New Roman Bold;Times New Roman"/>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Bold;Times New Roman" w:hAnsi="Times New Roman Bold;Times New Roman" w:cs="Times New Roman Bold;Times New Roman"/>
      </w:rPr>
    </w:lvl>
    <w:lvl w:ilvl="4">
      <w:start w:val="1"/>
      <w:numFmt w:val="decimal"/>
      <w:lvlText w:val="%1.%2.%3.%4.%5"/>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4">
    <w:lvl w:ilvl="0">
      <w:start w:val="1"/>
      <w:numFmt w:val="bullet"/>
      <w:lvlText w:val=""/>
      <w:lvlJc w:val="start"/>
      <w:pPr>
        <w:tabs>
          <w:tab w:val="num" w:pos="2707"/>
        </w:tabs>
        <w:ind w:start="2707" w:hanging="547"/>
      </w:pPr>
      <w:rPr>
        <w:rFonts w:ascii="Symbol" w:hAnsi="Symbol" w:cs="Symbol" w:hint="default"/>
      </w:rPr>
    </w:lvl>
  </w:abstractNum>
  <w:abstractNum w:abstractNumId="15">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6">
    <w:lvl w:ilvl="0">
      <w:start w:val="1"/>
      <w:numFmt w:val="bullet"/>
      <w:lvlText w:val=""/>
      <w:lvlJc w:val="start"/>
      <w:pPr>
        <w:tabs>
          <w:tab w:val="num" w:pos="720"/>
        </w:tabs>
        <w:ind w:start="720" w:hanging="360"/>
      </w:pPr>
      <w:rPr>
        <w:rFonts w:ascii="Symbol" w:hAnsi="Symbol" w:cs="Symbol" w:hint="default"/>
      </w:rPr>
    </w:lvl>
  </w:abstractNum>
  <w:abstractNum w:abstractNumId="17">
    <w:lvl w:ilvl="0">
      <w:start w:val="1"/>
      <w:numFmt w:val="decimal"/>
      <w:lvlText w:val="%1."/>
      <w:lvlJc w:val="start"/>
      <w:pPr>
        <w:tabs>
          <w:tab w:val="num" w:pos="504"/>
        </w:tabs>
        <w:ind w:start="504" w:hanging="504"/>
      </w:pPr>
      <w:rPr>
        <w:sz w:val="24"/>
        <w:i w:val="false"/>
        <w:b/>
        <w:rFonts w:ascii="Times New Roman Bold;Times New Roman" w:hAnsi="Times New Roman Bold;Times New Roman" w:cs="Times New Roman"/>
        <w:color w:val="000000"/>
      </w:rPr>
    </w:lvl>
    <w:lvl w:ilvl="1">
      <w:start w:val="1"/>
      <w:numFmt w:val="decimal"/>
      <w:lvlText w:val="%1.%2."/>
      <w:lvlJc w:val="start"/>
      <w:pPr>
        <w:tabs>
          <w:tab w:val="num" w:pos="504"/>
        </w:tabs>
        <w:ind w:start="504" w:hanging="504"/>
      </w:pPr>
      <w:rPr>
        <w:sz w:val="24"/>
        <w:i w:val="false"/>
        <w:b/>
        <w:rFonts w:ascii="Times New Roman Bold;Times New Roman" w:hAnsi="Times New Roman Bold;Times New Roman" w:cs="Times New Roman"/>
      </w:rPr>
    </w:lvl>
    <w:lvl w:ilvl="2">
      <w:start w:val="1"/>
      <w:numFmt w:val="decimal"/>
      <w:lvlText w:val="%1.%2.%3."/>
      <w:lvlJc w:val="start"/>
      <w:pPr>
        <w:tabs>
          <w:tab w:val="num" w:pos="1080"/>
        </w:tabs>
        <w:ind w:start="1080" w:hanging="1080"/>
      </w:pPr>
      <w:rPr>
        <w:sz w:val="22"/>
        <w:i w:val="false"/>
        <w:b w:val="false"/>
        <w:rFonts w:ascii="Times New Roman" w:hAnsi="Times New Roman" w:cs="Times New Roman"/>
        <w:lang w:val="en-GB"/>
      </w:rPr>
    </w:lvl>
    <w:lvl w:ilvl="3">
      <w:start w:val="1"/>
      <w:numFmt w:val="decimal"/>
      <w:lvlText w:val="%1.%2.%3.%4."/>
      <w:lvlJc w:val="start"/>
      <w:pPr>
        <w:tabs>
          <w:tab w:val="num" w:pos="1080"/>
        </w:tabs>
        <w:ind w:start="1080" w:hanging="1080"/>
      </w:pPr>
      <w:rPr>
        <w:sz w:val="22"/>
        <w:i w:val="false"/>
        <w:b w:val="false"/>
        <w:rFonts w:ascii="Times New Roman" w:hAnsi="Times New Roman" w:cs="Times New Roman"/>
      </w:rPr>
    </w:lvl>
    <w:lvl w:ilvl="4">
      <w:start w:val="1"/>
      <w:numFmt w:val="upperLetter"/>
      <w:lvlText w:val="%5."/>
      <w:lvlJc w:val="start"/>
      <w:pPr>
        <w:tabs>
          <w:tab w:val="num" w:pos="1080"/>
        </w:tabs>
        <w:ind w:start="1080" w:hanging="576"/>
      </w:pPr>
      <w:rPr/>
    </w:lvl>
    <w:lvl w:ilvl="5">
      <w:start w:val="1"/>
      <w:numFmt w:val="decimal"/>
      <w:lvlText w:val="%6."/>
      <w:lvlJc w:val="start"/>
      <w:pPr>
        <w:tabs>
          <w:tab w:val="num" w:pos="1080"/>
        </w:tabs>
        <w:ind w:start="1080" w:hanging="576"/>
      </w:pPr>
      <w:rPr/>
    </w:lvl>
    <w:lvl w:ilvl="6">
      <w:start w:val="1"/>
      <w:numFmt w:val="lowerLetter"/>
      <w:lvlText w:val="%7."/>
      <w:lvlJc w:val="start"/>
      <w:pPr>
        <w:tabs>
          <w:tab w:val="num" w:pos="1512"/>
        </w:tabs>
        <w:ind w:start="1512" w:hanging="432"/>
      </w:pPr>
      <w:rPr/>
    </w:lvl>
    <w:lvl w:ilvl="7">
      <w:start w:val="1"/>
      <w:numFmt w:val="lowerRoman"/>
      <w:lvlText w:val="%8.)"/>
      <w:lvlJc w:val="start"/>
      <w:pPr>
        <w:tabs>
          <w:tab w:val="num" w:pos="1512"/>
        </w:tabs>
        <w:ind w:start="1512" w:hanging="432"/>
      </w:pPr>
      <w:rPr/>
    </w:lvl>
    <w:lvl w:ilvl="8">
      <w:start w:val="1"/>
      <w:numFmt w:val="none"/>
      <w:suff w:val="nothing"/>
      <w:lvlText w:val=""/>
      <w:lvlJc w:val="start"/>
      <w:pPr>
        <w:tabs>
          <w:tab w:val="num" w:pos="144"/>
        </w:tabs>
        <w:ind w:start="216" w:hanging="0"/>
      </w:pPr>
      <w:rPr/>
    </w:lvl>
  </w:abstractNum>
  <w:abstractNum w:abstractNumId="18">
    <w:lvl w:ilvl="0">
      <w:start w:val="1"/>
      <w:numFmt w:val="bullet"/>
      <w:lvlText w:val=""/>
      <w:lvlJc w:val="start"/>
      <w:pPr>
        <w:tabs>
          <w:tab w:val="num" w:pos="1440"/>
        </w:tabs>
        <w:ind w:start="1440" w:hanging="360"/>
      </w:pPr>
      <w:rPr>
        <w:rFonts w:ascii="Symbol" w:hAnsi="Symbol" w:cs="Symbol" w:hint="default"/>
      </w:rPr>
    </w:lvl>
  </w:abstractNum>
  <w:abstractNum w:abstractNumId="19">
    <w:lvl w:ilvl="0">
      <w:start w:val="1"/>
      <w:numFmt w:val="decimal"/>
      <w:lvlText w:val="%1."/>
      <w:lvlJc w:val="start"/>
      <w:pPr>
        <w:tabs>
          <w:tab w:val="num" w:pos="504"/>
        </w:tabs>
        <w:ind w:start="504" w:hanging="504"/>
      </w:pPr>
      <w:rPr>
        <w:sz w:val="24"/>
        <w:i w:val="false"/>
        <w:b/>
        <w:rFonts w:ascii="Times New Roman Bold;Times New Roman" w:hAnsi="Times New Roman Bold;Times New Roman" w:cs="Times New Roman"/>
        <w:color w:val="000000"/>
      </w:rPr>
    </w:lvl>
    <w:lvl w:ilvl="1">
      <w:start w:val="1"/>
      <w:numFmt w:val="decimal"/>
      <w:lvlText w:val="%1.%2."/>
      <w:lvlJc w:val="start"/>
      <w:pPr>
        <w:tabs>
          <w:tab w:val="num" w:pos="504"/>
        </w:tabs>
        <w:ind w:start="504" w:hanging="504"/>
      </w:pPr>
      <w:rPr>
        <w:sz w:val="24"/>
        <w:i w:val="false"/>
        <w:b/>
        <w:rFonts w:ascii="Times New Roman Bold;Times New Roman" w:hAnsi="Times New Roman Bold;Times New Roman" w:cs="Times New Roman"/>
      </w:rPr>
    </w:lvl>
    <w:lvl w:ilvl="2">
      <w:start w:val="1"/>
      <w:numFmt w:val="bullet"/>
      <w:lvlText w:val=""/>
      <w:lvlJc w:val="start"/>
      <w:pPr>
        <w:tabs>
          <w:tab w:val="num" w:pos="360"/>
        </w:tabs>
        <w:ind w:start="360" w:hanging="360"/>
      </w:pPr>
      <w:rPr>
        <w:rFonts w:ascii="Wingdings" w:hAnsi="Wingdings" w:cs="Wingdings" w:hint="default"/>
        <w:sz w:val="24"/>
        <w:i w:val="false"/>
        <w:b/>
        <w:color w:val="000000"/>
      </w:rPr>
    </w:lvl>
    <w:lvl w:ilvl="3">
      <w:start w:val="1"/>
      <w:numFmt w:val="decimal"/>
      <w:lvlText w:val="%1.%2.%3.%4."/>
      <w:lvlJc w:val="start"/>
      <w:pPr>
        <w:tabs>
          <w:tab w:val="num" w:pos="1080"/>
        </w:tabs>
        <w:ind w:start="1080" w:hanging="1080"/>
      </w:pPr>
      <w:rPr>
        <w:sz w:val="22"/>
        <w:i w:val="false"/>
        <w:b w:val="false"/>
        <w:rFonts w:ascii="Times New Roman" w:hAnsi="Times New Roman" w:cs="Times New Roman"/>
      </w:rPr>
    </w:lvl>
    <w:lvl w:ilvl="4">
      <w:start w:val="1"/>
      <w:numFmt w:val="upperLetter"/>
      <w:lvlText w:val="%5."/>
      <w:lvlJc w:val="start"/>
      <w:pPr>
        <w:tabs>
          <w:tab w:val="num" w:pos="1080"/>
        </w:tabs>
        <w:ind w:start="1080" w:hanging="576"/>
      </w:pPr>
      <w:rPr/>
    </w:lvl>
    <w:lvl w:ilvl="5">
      <w:start w:val="1"/>
      <w:numFmt w:val="decimal"/>
      <w:lvlText w:val="%6."/>
      <w:lvlJc w:val="start"/>
      <w:pPr>
        <w:tabs>
          <w:tab w:val="num" w:pos="1080"/>
        </w:tabs>
        <w:ind w:start="1080" w:hanging="576"/>
      </w:pPr>
      <w:rPr/>
    </w:lvl>
    <w:lvl w:ilvl="6">
      <w:start w:val="1"/>
      <w:numFmt w:val="lowerLetter"/>
      <w:lvlText w:val="%7."/>
      <w:lvlJc w:val="start"/>
      <w:pPr>
        <w:tabs>
          <w:tab w:val="num" w:pos="1512"/>
        </w:tabs>
        <w:ind w:start="1512" w:hanging="432"/>
      </w:pPr>
      <w:rPr/>
    </w:lvl>
    <w:lvl w:ilvl="7">
      <w:start w:val="1"/>
      <w:numFmt w:val="lowerRoman"/>
      <w:lvlText w:val="%8.)"/>
      <w:lvlJc w:val="start"/>
      <w:pPr>
        <w:tabs>
          <w:tab w:val="num" w:pos="1512"/>
        </w:tabs>
        <w:ind w:start="1512" w:hanging="432"/>
      </w:pPr>
      <w:rPr/>
    </w:lvl>
    <w:lvl w:ilvl="8">
      <w:start w:val="1"/>
      <w:numFmt w:val="none"/>
      <w:suff w:val="nothing"/>
      <w:lvlText w:val=""/>
      <w:lvlJc w:val="start"/>
      <w:pPr>
        <w:tabs>
          <w:tab w:val="num" w:pos="144"/>
        </w:tabs>
        <w:ind w:start="216" w:hanging="0"/>
      </w:pPr>
      <w:rPr/>
    </w:lvl>
  </w:abstractNum>
  <w:abstractNum w:abstractNumId="20">
    <w:lvl w:ilvl="0">
      <w:start w:val="1"/>
      <w:numFmt w:val="bullet"/>
      <w:lvlText w:val=""/>
      <w:lvlJc w:val="start"/>
      <w:pPr>
        <w:tabs>
          <w:tab w:val="num" w:pos="1627"/>
        </w:tabs>
        <w:ind w:start="1627" w:hanging="547"/>
      </w:pPr>
      <w:rPr>
        <w:rFonts w:ascii="Symbol" w:hAnsi="Symbol" w:cs="Symbol" w:hint="default"/>
      </w:rPr>
    </w:lvl>
  </w:abstractNum>
  <w:abstractNum w:abstractNumId="21">
    <w:lvl w:ilvl="0">
      <w:start w:val="1"/>
      <w:numFmt w:val="bullet"/>
      <w:lvlText w:val=""/>
      <w:lvlJc w:val="start"/>
      <w:pPr>
        <w:tabs>
          <w:tab w:val="num" w:pos="2160"/>
        </w:tabs>
        <w:ind w:start="2160" w:hanging="533"/>
      </w:pPr>
      <w:rPr>
        <w:rFonts w:ascii="Symbol" w:hAnsi="Symbol" w:cs="Symbol" w:hint="default"/>
      </w:rPr>
    </w:lvl>
  </w:abstractNum>
  <w:abstractNum w:abstractNumId="22">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4.%2"/>
      <w:lvlJc w:val="start"/>
      <w:pPr>
        <w:tabs>
          <w:tab w:val="num" w:pos="1008"/>
        </w:tabs>
        <w:ind w:start="1008" w:hanging="619"/>
      </w:pPr>
      <w:rPr>
        <w:sz w:val="28"/>
        <w:i w:val="false"/>
        <w:b/>
        <w:szCs w:val="28"/>
        <w:rFonts w:ascii="Times New Roman Bold;Times New Roman" w:hAnsi="Times New Roman Bold;Times New Roman" w:cs="Times New Roman Bold;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23">
    <w:lvl w:ilvl="0">
      <w:start w:val="1"/>
      <w:numFmt w:val="bullet"/>
      <w:lvlText w:val=""/>
      <w:lvlJc w:val="start"/>
      <w:pPr>
        <w:tabs>
          <w:tab w:val="num" w:pos="3240"/>
        </w:tabs>
        <w:ind w:start="3240" w:hanging="533"/>
      </w:pPr>
      <w:rPr>
        <w:rFonts w:ascii="Symbol" w:hAnsi="Symbol" w:cs="Symbol" w:hint="default"/>
      </w:rPr>
    </w:lvl>
  </w:abstractNum>
  <w:abstractNum w:abstractNumId="24">
    <w:lvl w:ilvl="0">
      <w:start w:val="1"/>
      <w:numFmt w:val="decimal"/>
      <w:lvlText w:val="%1."/>
      <w:lvlJc w:val="start"/>
      <w:pPr>
        <w:tabs>
          <w:tab w:val="num" w:pos="504"/>
        </w:tabs>
        <w:ind w:start="504" w:hanging="504"/>
      </w:pPr>
      <w:rPr>
        <w:sz w:val="24"/>
        <w:i w:val="false"/>
        <w:b/>
        <w:rFonts w:ascii="Times New Roman Bold;Times New Roman" w:hAnsi="Times New Roman Bold;Times New Roman" w:cs="Times New Roman"/>
        <w:color w:val="000000"/>
      </w:rPr>
    </w:lvl>
    <w:lvl w:ilvl="1">
      <w:start w:val="1"/>
      <w:numFmt w:val="decimal"/>
      <w:lvlText w:val="%1.%2."/>
      <w:lvlJc w:val="start"/>
      <w:pPr>
        <w:tabs>
          <w:tab w:val="num" w:pos="504"/>
        </w:tabs>
        <w:ind w:start="504" w:hanging="504"/>
      </w:pPr>
      <w:rPr>
        <w:sz w:val="24"/>
        <w:i w:val="false"/>
        <w:b/>
        <w:rFonts w:ascii="Times New Roman Bold;Times New Roman" w:hAnsi="Times New Roman Bold;Times New Roman" w:cs="Times New Roman"/>
      </w:rPr>
    </w:lvl>
    <w:lvl w:ilvl="2">
      <w:start w:val="1"/>
      <w:numFmt w:val="bullet"/>
      <w:lvlText w:val=""/>
      <w:lvlJc w:val="start"/>
      <w:pPr>
        <w:tabs>
          <w:tab w:val="num" w:pos="360"/>
        </w:tabs>
        <w:ind w:start="360" w:hanging="360"/>
      </w:pPr>
      <w:rPr>
        <w:rFonts w:ascii="Wingdings" w:hAnsi="Wingdings" w:cs="Wingdings" w:hint="default"/>
        <w:sz w:val="24"/>
        <w:i w:val="false"/>
        <w:b/>
        <w:color w:val="000000"/>
      </w:rPr>
    </w:lvl>
    <w:lvl w:ilvl="3">
      <w:start w:val="1"/>
      <w:numFmt w:val="decimal"/>
      <w:lvlText w:val="%1.%2.%3.%4."/>
      <w:lvlJc w:val="start"/>
      <w:pPr>
        <w:tabs>
          <w:tab w:val="num" w:pos="1080"/>
        </w:tabs>
        <w:ind w:start="1080" w:hanging="1080"/>
      </w:pPr>
      <w:rPr>
        <w:sz w:val="22"/>
        <w:i w:val="false"/>
        <w:b w:val="false"/>
        <w:rFonts w:ascii="Times New Roman" w:hAnsi="Times New Roman" w:cs="Times New Roman"/>
      </w:rPr>
    </w:lvl>
    <w:lvl w:ilvl="4">
      <w:start w:val="1"/>
      <w:numFmt w:val="upperLetter"/>
      <w:lvlText w:val="%5."/>
      <w:lvlJc w:val="start"/>
      <w:pPr>
        <w:tabs>
          <w:tab w:val="num" w:pos="1080"/>
        </w:tabs>
        <w:ind w:start="1080" w:hanging="576"/>
      </w:pPr>
      <w:rPr/>
    </w:lvl>
    <w:lvl w:ilvl="5">
      <w:start w:val="1"/>
      <w:numFmt w:val="decimal"/>
      <w:lvlText w:val="%6."/>
      <w:lvlJc w:val="start"/>
      <w:pPr>
        <w:tabs>
          <w:tab w:val="num" w:pos="1080"/>
        </w:tabs>
        <w:ind w:start="1080" w:hanging="576"/>
      </w:pPr>
      <w:rPr/>
    </w:lvl>
    <w:lvl w:ilvl="6">
      <w:start w:val="1"/>
      <w:numFmt w:val="lowerLetter"/>
      <w:lvlText w:val="%7."/>
      <w:lvlJc w:val="start"/>
      <w:pPr>
        <w:tabs>
          <w:tab w:val="num" w:pos="1512"/>
        </w:tabs>
        <w:ind w:start="1512" w:hanging="432"/>
      </w:pPr>
      <w:rPr/>
    </w:lvl>
    <w:lvl w:ilvl="7">
      <w:start w:val="1"/>
      <w:numFmt w:val="lowerRoman"/>
      <w:lvlText w:val="%8.)"/>
      <w:lvlJc w:val="start"/>
      <w:pPr>
        <w:tabs>
          <w:tab w:val="num" w:pos="1512"/>
        </w:tabs>
        <w:ind w:start="1512" w:hanging="432"/>
      </w:pPr>
      <w:rPr/>
    </w:lvl>
    <w:lvl w:ilvl="8">
      <w:start w:val="1"/>
      <w:numFmt w:val="none"/>
      <w:suff w:val="nothing"/>
      <w:lvlText w:val=""/>
      <w:lvlJc w:val="start"/>
      <w:pPr>
        <w:tabs>
          <w:tab w:val="num" w:pos="144"/>
        </w:tabs>
        <w:ind w:start="216"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zoom w:val="bestFit" w:percent="2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TableText"/>
    <w:qFormat/>
    <w:pPr>
      <w:keepNext w:val="true"/>
      <w:keepLines/>
      <w:numPr>
        <w:ilvl w:val="0"/>
        <w:numId w:val="17"/>
      </w:numPr>
      <w:spacing w:before="48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TableText"/>
    <w:qFormat/>
    <w:pPr>
      <w:numPr>
        <w:ilvl w:val="0"/>
        <w:numId w:val="17"/>
      </w:numPr>
      <w:tabs>
        <w:tab w:val="clear" w:pos="720"/>
        <w:tab w:val="left" w:pos="851" w:leader="none"/>
      </w:tabs>
      <w:outlineLvl w:val="1"/>
    </w:pPr>
    <w:rPr>
      <w:bCs w:val="false"/>
      <w:iCs/>
      <w:caps w:val="false"/>
      <w:smallCaps w:val="false"/>
      <w:sz w:val="24"/>
      <w:szCs w:val="28"/>
    </w:rPr>
  </w:style>
  <w:style w:type="paragraph" w:styleId="Heading3">
    <w:name w:val="heading 3"/>
    <w:basedOn w:val="Heading2"/>
    <w:next w:val="TableText"/>
    <w:qFormat/>
    <w:pPr>
      <w:keepNext w:val="false"/>
      <w:keepLines w:val="false"/>
      <w:numPr>
        <w:ilvl w:val="0"/>
        <w:numId w:val="17"/>
      </w:numPr>
      <w:tabs>
        <w:tab w:val="clear" w:pos="851"/>
        <w:tab w:val="left" w:pos="1134" w:leader="none"/>
      </w:tabs>
      <w:spacing w:before="240" w:after="240"/>
      <w:ind w:hanging="1077" w:start="1077" w:end="0"/>
      <w:outlineLvl w:val="2"/>
    </w:pPr>
    <w:rPr>
      <w:rFonts w:ascii="Times New Roman" w:hAnsi="Times New Roman" w:cs="Times New Roman"/>
      <w:b w:val="false"/>
      <w:bCs/>
      <w:szCs w:val="26"/>
    </w:rPr>
  </w:style>
  <w:style w:type="paragraph" w:styleId="Heading4">
    <w:name w:val="heading 4"/>
    <w:basedOn w:val="Heading3"/>
    <w:next w:val="TableText"/>
    <w:qFormat/>
    <w:pPr>
      <w:numPr>
        <w:ilvl w:val="0"/>
        <w:numId w:val="17"/>
      </w:numPr>
      <w:spacing w:before="120" w:after="0"/>
      <w:outlineLvl w:val="3"/>
    </w:pPr>
    <w:rPr>
      <w:bCs w:val="false"/>
      <w:i/>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Cs w:val="22"/>
    </w:rPr>
  </w:style>
  <w:style w:type="paragraph" w:styleId="Heading7">
    <w:name w:val="heading 7"/>
    <w:basedOn w:val="Normal"/>
    <w:next w:val="Normal"/>
    <w:qFormat/>
    <w:pPr>
      <w:numPr>
        <w:ilvl w:val="6"/>
        <w:numId w:val="1"/>
      </w:numPr>
      <w:spacing w:before="240" w:after="60"/>
      <w:outlineLvl w:val="6"/>
    </w:pPr>
    <w:rPr>
      <w:sz w:val="24"/>
    </w:rPr>
  </w:style>
  <w:style w:type="paragraph" w:styleId="Heading8">
    <w:name w:val="heading 8"/>
    <w:basedOn w:val="Normal"/>
    <w:next w:val="Normal"/>
    <w:qFormat/>
    <w:pPr>
      <w:numPr>
        <w:ilvl w:val="7"/>
        <w:numId w:val="1"/>
      </w:numPr>
      <w:spacing w:before="240" w:after="60"/>
      <w:outlineLvl w:val="7"/>
    </w:pPr>
    <w:rPr>
      <w:i/>
      <w:iCs/>
      <w:sz w:val="24"/>
    </w:rPr>
  </w:style>
  <w:style w:type="paragraph" w:styleId="Heading9">
    <w:name w:val="heading 9"/>
    <w:basedOn w:val="Normal"/>
    <w:next w:val="Normal"/>
    <w:qFormat/>
    <w:pPr>
      <w:numPr>
        <w:ilvl w:val="8"/>
        <w:numId w:val="1"/>
      </w:numPr>
      <w:spacing w:before="240" w:after="60"/>
      <w:outlineLvl w:val="8"/>
    </w:pPr>
    <w:rPr>
      <w:rFonts w:ascii="Arial" w:hAnsi="Arial" w:cs="Arial"/>
      <w:szCs w:val="22"/>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7z0">
    <w:name w:val="WW8Num7z0"/>
    <w:qFormat/>
    <w:rPr>
      <w:rFonts w:ascii="Times New Roman" w:hAnsi="Times New Roman" w:cs="Times New Roman"/>
      <w:b w:val="false"/>
      <w:i w:val="false"/>
      <w:color w:val="000000"/>
      <w:sz w:val="22"/>
    </w:rPr>
  </w:style>
  <w:style w:type="character" w:styleId="WW8Num7z1">
    <w:name w:val="WW8Num7z1"/>
    <w:qFormat/>
    <w:rPr>
      <w:rFonts w:ascii="Times New Roman" w:hAnsi="Times New Roman" w:cs="Times New Roman"/>
      <w:b w:val="false"/>
      <w:i w:val="false"/>
      <w:sz w:val="22"/>
    </w:rPr>
  </w:style>
  <w:style w:type="character" w:styleId="WW8Num7z4">
    <w:name w:val="WW8Num7z4"/>
    <w:qFormat/>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Times New Roman" w:hAnsi="Times New Roman" w:cs="Times New Roman"/>
      <w:b w:val="false"/>
      <w:i w:val="false"/>
      <w:color w:val="000000"/>
      <w:sz w:val="22"/>
    </w:rPr>
  </w:style>
  <w:style w:type="character" w:styleId="WW8Num9z1">
    <w:name w:val="WW8Num9z1"/>
    <w:qFormat/>
    <w:rPr>
      <w:rFonts w:ascii="Times New Roman" w:hAnsi="Times New Roman" w:cs="Times New Roman"/>
      <w:b w:val="false"/>
      <w:i w:val="false"/>
      <w:sz w:val="22"/>
    </w:rPr>
  </w:style>
  <w:style w:type="character" w:styleId="WW8Num9z4">
    <w:name w:val="WW8Num9z4"/>
    <w:qFormat/>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style>
  <w:style w:type="character" w:styleId="WW8Num11z1">
    <w:name w:val="WW8Num11z1"/>
    <w:qFormat/>
    <w:rPr>
      <w:sz w:val="18"/>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Times New Roman Bold;Times New Roman" w:hAnsi="Times New Roman Bold;Times New Roman" w:cs="Times New Roman Bold;Times New Roman"/>
      <w:b/>
      <w:i w:val="false"/>
      <w:sz w:val="28"/>
    </w:rPr>
  </w:style>
  <w:style w:type="character" w:styleId="WW8Num13z1">
    <w:name w:val="WW8Num13z1"/>
    <w:qFormat/>
    <w:rPr>
      <w:rFonts w:ascii="Times New Roman Bold;Times New Roman" w:hAnsi="Times New Roman Bold;Times New Roman" w:cs="Times New Roman Bold;Times New Roman"/>
      <w:b/>
      <w:i w:val="false"/>
      <w:sz w:val="24"/>
    </w:rPr>
  </w:style>
  <w:style w:type="character" w:styleId="WW8Num13z2">
    <w:name w:val="WW8Num13z2"/>
    <w:qFormat/>
    <w:rPr>
      <w:rFonts w:ascii="Times New Roman" w:hAnsi="Times New Roman" w:cs="Times New Roman"/>
      <w:b/>
      <w:i w:val="false"/>
      <w:sz w:val="24"/>
    </w:rPr>
  </w:style>
  <w:style w:type="character" w:styleId="WW8Num13z4">
    <w:name w:val="WW8Num13z4"/>
    <w:qFormat/>
    <w:rPr>
      <w:rFonts w:ascii="Times New Roman Bold;Times New Roman" w:hAnsi="Times New Roman Bold;Times New Roman" w:cs="Times New Roman Bold;Times New Roman"/>
      <w:b/>
      <w:i w:val="false"/>
      <w:sz w:val="22"/>
      <w:szCs w:val="22"/>
    </w:rPr>
  </w:style>
  <w:style w:type="character" w:styleId="WW8Num13z5">
    <w:name w:val="WW8Num13z5"/>
    <w:qFormat/>
    <w:rPr>
      <w:rFonts w:ascii="Times New Roman" w:hAnsi="Times New Roman" w:cs="Times New Roman"/>
      <w:b w:val="false"/>
      <w:i w:val="false"/>
      <w:sz w:val="22"/>
    </w:rPr>
  </w:style>
  <w:style w:type="character" w:styleId="WW8Num13z8">
    <w:name w:val="WW8Num13z8"/>
    <w:qFormat/>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Times New Roman Bold;Times New Roman" w:hAnsi="Times New Roman Bold;Times New Roman" w:cs="Times New Roman Bold;Times New Roman"/>
      <w:b/>
      <w:i w:val="false"/>
      <w:sz w:val="28"/>
    </w:rPr>
  </w:style>
  <w:style w:type="character" w:styleId="WW8Num15z2">
    <w:name w:val="WW8Num15z2"/>
    <w:qFormat/>
    <w:rPr>
      <w:rFonts w:ascii="Times New Roman" w:hAnsi="Times New Roman" w:cs="Times New Roman"/>
      <w:b/>
      <w:i w:val="false"/>
      <w:sz w:val="24"/>
    </w:rPr>
  </w:style>
  <w:style w:type="character" w:styleId="WW8Num15z4">
    <w:name w:val="WW8Num15z4"/>
    <w:qFormat/>
    <w:rPr>
      <w:rFonts w:ascii="Times New Roman" w:hAnsi="Times New Roman" w:cs="Times New Roman"/>
      <w:b w:val="false"/>
      <w:i w:val="false"/>
      <w:sz w:val="22"/>
    </w:rPr>
  </w:style>
  <w:style w:type="character" w:styleId="WW8Num15z8">
    <w:name w:val="WW8Num15z8"/>
    <w:qFormat/>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Times New Roman Bold;Times New Roman" w:hAnsi="Times New Roman Bold;Times New Roman" w:cs="Times New Roman"/>
      <w:b/>
      <w:i w:val="false"/>
      <w:color w:val="000000"/>
      <w:sz w:val="24"/>
    </w:rPr>
  </w:style>
  <w:style w:type="character" w:styleId="WW8Num17z1">
    <w:name w:val="WW8Num17z1"/>
    <w:qFormat/>
    <w:rPr>
      <w:rFonts w:ascii="Times New Roman Bold;Times New Roman" w:hAnsi="Times New Roman Bold;Times New Roman" w:cs="Times New Roman"/>
      <w:b/>
      <w:i w:val="false"/>
      <w:sz w:val="24"/>
    </w:rPr>
  </w:style>
  <w:style w:type="character" w:styleId="WW8Num17z2">
    <w:name w:val="WW8Num17z2"/>
    <w:qFormat/>
    <w:rPr>
      <w:rFonts w:ascii="Times New Roman" w:hAnsi="Times New Roman" w:cs="Times New Roman"/>
      <w:b w:val="false"/>
      <w:i w:val="false"/>
      <w:sz w:val="22"/>
      <w:lang w:val="en-GB"/>
    </w:rPr>
  </w:style>
  <w:style w:type="character" w:styleId="WW8Num17z3">
    <w:name w:val="WW8Num17z3"/>
    <w:qFormat/>
    <w:rPr>
      <w:rFonts w:ascii="Times New Roman" w:hAnsi="Times New Roman" w:cs="Times New Roman"/>
      <w:b w:val="false"/>
      <w:i w:val="false"/>
      <w:sz w:val="22"/>
    </w:rPr>
  </w:style>
  <w:style w:type="character" w:styleId="WW8Num17z4">
    <w:name w:val="WW8Num17z4"/>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sz w:val="18"/>
    </w:rPr>
  </w:style>
  <w:style w:type="character" w:styleId="WW8Num20z0">
    <w:name w:val="WW8Num20z0"/>
    <w:qFormat/>
    <w:rPr>
      <w:rFonts w:ascii="Times New Roman Bold;Times New Roman" w:hAnsi="Times New Roman Bold;Times New Roman" w:cs="Times New Roman"/>
      <w:b/>
      <w:i w:val="false"/>
      <w:color w:val="000000"/>
      <w:sz w:val="24"/>
    </w:rPr>
  </w:style>
  <w:style w:type="character" w:styleId="WW8Num20z1">
    <w:name w:val="WW8Num20z1"/>
    <w:qFormat/>
    <w:rPr>
      <w:rFonts w:ascii="Times New Roman Bold;Times New Roman" w:hAnsi="Times New Roman Bold;Times New Roman" w:cs="Times New Roman"/>
      <w:b/>
      <w:i w:val="false"/>
      <w:sz w:val="24"/>
    </w:rPr>
  </w:style>
  <w:style w:type="character" w:styleId="WW8Num20z2">
    <w:name w:val="WW8Num20z2"/>
    <w:qFormat/>
    <w:rPr>
      <w:rFonts w:ascii="Wingdings" w:hAnsi="Wingdings" w:cs="Wingdings"/>
      <w:b/>
      <w:i w:val="false"/>
      <w:color w:val="000000"/>
      <w:sz w:val="24"/>
    </w:rPr>
  </w:style>
  <w:style w:type="character" w:styleId="WW8Num20z3">
    <w:name w:val="WW8Num20z3"/>
    <w:qFormat/>
    <w:rPr>
      <w:rFonts w:ascii="Times New Roman" w:hAnsi="Times New Roman" w:cs="Times New Roman"/>
      <w:b w:val="false"/>
      <w:i w:val="false"/>
      <w:sz w:val="22"/>
    </w:rPr>
  </w:style>
  <w:style w:type="character" w:styleId="WW8Num20z4">
    <w:name w:val="WW8Num20z4"/>
    <w:qFormat/>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Times New Roman Bold;Times New Roman" w:hAnsi="Times New Roman Bold;Times New Roman" w:cs="Times New Roman Bold;Times New Roman"/>
      <w:b/>
      <w:i w:val="false"/>
      <w:color w:val="000000"/>
      <w:sz w:val="28"/>
      <w:szCs w:val="28"/>
    </w:rPr>
  </w:style>
  <w:style w:type="character" w:styleId="WW8Num23z1">
    <w:name w:val="WW8Num23z1"/>
    <w:qFormat/>
    <w:rPr>
      <w:rFonts w:ascii="Times New Roman" w:hAnsi="Times New Roman" w:cs="Times New Roman"/>
      <w:b w:val="false"/>
      <w:i w:val="false"/>
      <w:sz w:val="22"/>
    </w:rPr>
  </w:style>
  <w:style w:type="character" w:styleId="WW8Num23z4">
    <w:name w:val="WW8Num23z4"/>
    <w:qFormat/>
    <w:rPr/>
  </w:style>
  <w:style w:type="character" w:styleId="WW8Num24z0">
    <w:name w:val="WW8Num24z0"/>
    <w:qFormat/>
    <w:rPr/>
  </w:style>
  <w:style w:type="character" w:styleId="WW8Num24z1">
    <w:name w:val="WW8Num24z1"/>
    <w:qFormat/>
    <w:rPr>
      <w:sz w:val="18"/>
    </w:rPr>
  </w:style>
  <w:style w:type="character" w:styleId="WW8Num25z0">
    <w:name w:val="WW8Num25z0"/>
    <w:qFormat/>
    <w:rPr>
      <w:rFonts w:ascii="Times New Roman" w:hAnsi="Times New Roman" w:cs="Times New Roman"/>
      <w:b w:val="false"/>
      <w:i w:val="false"/>
      <w:color w:val="000000"/>
      <w:sz w:val="22"/>
    </w:rPr>
  </w:style>
  <w:style w:type="character" w:styleId="WW8Num25z1">
    <w:name w:val="WW8Num25z1"/>
    <w:qFormat/>
    <w:rPr>
      <w:rFonts w:ascii="Times New Roman Bold;Times New Roman" w:hAnsi="Times New Roman Bold;Times New Roman" w:cs="Times New Roman Bold;Times New Roman"/>
      <w:b/>
      <w:i w:val="false"/>
      <w:sz w:val="28"/>
      <w:szCs w:val="28"/>
    </w:rPr>
  </w:style>
  <w:style w:type="character" w:styleId="WW8Num25z2">
    <w:name w:val="WW8Num25z2"/>
    <w:qFormat/>
    <w:rPr>
      <w:rFonts w:ascii="Times New Roman" w:hAnsi="Times New Roman" w:cs="Times New Roman"/>
      <w:b w:val="false"/>
      <w:i w:val="false"/>
      <w:sz w:val="22"/>
    </w:rPr>
  </w:style>
  <w:style w:type="character" w:styleId="WW8Num25z4">
    <w:name w:val="WW8Num25z4"/>
    <w:qFormat/>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style>
  <w:style w:type="character" w:styleId="WW8Num28z0">
    <w:name w:val="WW8Num28z0"/>
    <w:qFormat/>
    <w:rPr>
      <w:rFonts w:ascii="Times New Roman Bold;Times New Roman" w:hAnsi="Times New Roman Bold;Times New Roman" w:cs="Times New Roman"/>
      <w:b/>
      <w:i w:val="false"/>
      <w:color w:val="000000"/>
      <w:sz w:val="24"/>
    </w:rPr>
  </w:style>
  <w:style w:type="character" w:styleId="WW8Num28z1">
    <w:name w:val="WW8Num28z1"/>
    <w:qFormat/>
    <w:rPr>
      <w:rFonts w:ascii="Times New Roman Bold;Times New Roman" w:hAnsi="Times New Roman Bold;Times New Roman" w:cs="Times New Roman"/>
      <w:b/>
      <w:i w:val="false"/>
      <w:sz w:val="24"/>
    </w:rPr>
  </w:style>
  <w:style w:type="character" w:styleId="WW8Num28z2">
    <w:name w:val="WW8Num28z2"/>
    <w:qFormat/>
    <w:rPr>
      <w:rFonts w:ascii="Wingdings" w:hAnsi="Wingdings" w:cs="Wingdings"/>
      <w:b/>
      <w:i w:val="false"/>
      <w:color w:val="000000"/>
      <w:sz w:val="24"/>
    </w:rPr>
  </w:style>
  <w:style w:type="character" w:styleId="WW8Num28z3">
    <w:name w:val="WW8Num28z3"/>
    <w:qFormat/>
    <w:rPr>
      <w:rFonts w:ascii="Times New Roman" w:hAnsi="Times New Roman" w:cs="Times New Roman"/>
      <w:b w:val="false"/>
      <w:i w:val="false"/>
      <w:sz w:val="22"/>
    </w:rPr>
  </w:style>
  <w:style w:type="character" w:styleId="WW8Num28z4">
    <w:name w:val="WW8Num28z4"/>
    <w:qFormat/>
    <w:rPr/>
  </w:style>
  <w:style w:type="character" w:styleId="Absatz-Standardschriftart">
    <w:name w:val="Absatz-Standardschriftart"/>
    <w:qFormat/>
    <w:rPr/>
  </w:style>
  <w:style w:type="character" w:styleId="Hyperlink">
    <w:name w:val="Hyperlink"/>
    <w:basedOn w:val="Absatz-Standardschriftart"/>
    <w:rPr>
      <w:color w:val="0000FF"/>
      <w:u w:val="single"/>
    </w:rPr>
  </w:style>
  <w:style w:type="character" w:styleId="Char">
    <w:name w:val=" Char"/>
    <w:basedOn w:val="Absatz-Standardschriftart"/>
    <w:qFormat/>
    <w:rPr>
      <w:rFonts w:ascii="Times New Roman Bold;Times New Roman" w:hAnsi="Times New Roman Bold;Times New Roman" w:cs="Arial"/>
      <w:b/>
      <w:bCs/>
      <w:caps/>
      <w:kern w:val="2"/>
      <w:sz w:val="28"/>
      <w:szCs w:val="32"/>
      <w:lang w:val="en-US" w:bidi="ar-SA"/>
    </w:rPr>
  </w:style>
  <w:style w:type="character" w:styleId="Char2">
    <w:name w:val=" Char2"/>
    <w:basedOn w:val="Char"/>
    <w:qFormat/>
    <w:rPr>
      <w:iCs/>
      <w:sz w:val="24"/>
      <w:szCs w:val="28"/>
    </w:rPr>
  </w:style>
  <w:style w:type="character" w:styleId="TableTextCharCharChar">
    <w:name w:val="Table Text Char Char Char"/>
    <w:basedOn w:val="Absatz-Standardschriftart"/>
    <w:qFormat/>
    <w:rPr>
      <w:sz w:val="22"/>
      <w:szCs w:val="24"/>
      <w:lang w:val="en-US" w:bidi="ar-SA"/>
    </w:rPr>
  </w:style>
  <w:style w:type="character" w:styleId="PageNumber">
    <w:name w:val="page number"/>
    <w:basedOn w:val="Absatz-Standardschriftart"/>
    <w:rPr/>
  </w:style>
  <w:style w:type="character" w:styleId="strikeout">
    <w:name w:val="strikeout"/>
    <w:basedOn w:val="Absatz-Standardschriftart"/>
    <w:qFormat/>
    <w:rPr>
      <w:strike w:val="false"/>
      <w:dstrike w:val="false"/>
      <w:color w:val="FF0000"/>
    </w:rPr>
  </w:style>
  <w:style w:type="character" w:styleId="Revised-NewChar">
    <w:name w:val="Revised - New Char"/>
    <w:basedOn w:val="Absatz-Standardschriftart"/>
    <w:qFormat/>
    <w:rPr>
      <w:rFonts w:ascii="Arial" w:hAnsi="Arial" w:cs="Arial"/>
      <w:b/>
      <w:color w:val="333399"/>
      <w:sz w:val="22"/>
      <w:szCs w:val="22"/>
      <w:lang w:val="en-US" w:bidi="ar-SA"/>
    </w:rPr>
  </w:style>
  <w:style w:type="character" w:styleId="TableTextChar">
    <w:name w:val="Table Text Char"/>
    <w:basedOn w:val="Absatz-Standardschriftart"/>
    <w:qFormat/>
    <w:rPr>
      <w:sz w:val="22"/>
      <w:szCs w:val="24"/>
      <w:lang w:val="en-US" w:bidi="ar-SA"/>
    </w:rPr>
  </w:style>
  <w:style w:type="character" w:styleId="Char1">
    <w:name w:val=" Char1"/>
    <w:basedOn w:val="Char2"/>
    <w:qFormat/>
    <w:rPr>
      <w:bCs/>
      <w:szCs w:val="26"/>
    </w:rPr>
  </w:style>
  <w:style w:type="character" w:styleId="CharChar">
    <w:name w:val=" Char Char"/>
    <w:basedOn w:val="Absatz-Standardschriftart"/>
    <w:qFormat/>
    <w:rPr>
      <w:rFonts w:ascii="Times New Roman Bold;Times New Roman" w:hAnsi="Times New Roman Bold;Times New Roman" w:cs="Arial"/>
      <w:b/>
      <w:bCs/>
      <w:iCs/>
      <w:caps/>
      <w:kern w:val="2"/>
      <w:sz w:val="24"/>
      <w:szCs w:val="26"/>
      <w:lang w:val="en-US" w:bidi="ar-SA"/>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180" w:after="18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680" w:leader="none"/>
        <w:tab w:val="center" w:pos="7200" w:leader="none"/>
        <w:tab w:val="right" w:pos="14400" w:leader="none"/>
      </w:tabs>
    </w:pPr>
    <w:rPr>
      <w:i/>
      <w:sz w:val="18"/>
    </w:rPr>
  </w:style>
  <w:style w:type="paragraph" w:styleId="Header">
    <w:name w:val="header"/>
    <w:basedOn w:val="Normal"/>
    <w:pPr>
      <w:tabs>
        <w:tab w:val="clear" w:pos="720"/>
        <w:tab w:val="right" w:pos="9360" w:leader="none"/>
        <w:tab w:val="right" w:pos="14400" w:leader="none"/>
      </w:tabs>
    </w:pPr>
    <w:rPr>
      <w:i/>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el">
    <w:name w:val="Titel"/>
    <w:basedOn w:val="Normal"/>
    <w:next w:val="Normal"/>
    <w:qFormat/>
    <w:pPr>
      <w:spacing w:before="240" w:after="240"/>
      <w:jc w:val="center"/>
      <w:outlineLvl w:val="0"/>
    </w:pPr>
    <w:rPr>
      <w:rFonts w:cs="Arial"/>
      <w:b/>
      <w:bCs/>
      <w:caps/>
      <w:kern w:val="2"/>
      <w:sz w:val="32"/>
      <w:szCs w:val="32"/>
    </w:rPr>
  </w:style>
  <w:style w:type="paragraph" w:styleId="TOC1">
    <w:name w:val="toc 1"/>
    <w:basedOn w:val="Normal"/>
    <w:next w:val="Normal"/>
    <w:pPr/>
    <w:rPr>
      <w:b/>
      <w:bCs/>
      <w:caps/>
      <w:sz w:val="20"/>
      <w:szCs w:val="20"/>
    </w:rPr>
  </w:style>
  <w:style w:type="paragraph" w:styleId="TOC2">
    <w:name w:val="toc 2"/>
    <w:basedOn w:val="Normal"/>
    <w:next w:val="Normal"/>
    <w:pPr>
      <w:spacing w:before="0" w:after="0"/>
      <w:ind w:hanging="0" w:start="220" w:end="0"/>
    </w:pPr>
    <w:rPr>
      <w:smallCaps/>
      <w:sz w:val="20"/>
      <w:szCs w:val="20"/>
    </w:rPr>
  </w:style>
  <w:style w:type="paragraph" w:styleId="TOC3">
    <w:name w:val="toc 3"/>
    <w:basedOn w:val="Normal"/>
    <w:next w:val="Normal"/>
    <w:pPr>
      <w:spacing w:before="0" w:after="0"/>
      <w:ind w:hanging="0" w:start="440" w:end="0"/>
    </w:pPr>
    <w:rPr>
      <w:i/>
      <w:iCs/>
      <w:sz w:val="20"/>
      <w:szCs w:val="20"/>
    </w:rPr>
  </w:style>
  <w:style w:type="paragraph" w:styleId="TOC4">
    <w:name w:val="toc 4"/>
    <w:basedOn w:val="Normal"/>
    <w:next w:val="Normal"/>
    <w:pPr>
      <w:spacing w:before="0" w:after="0"/>
      <w:ind w:hanging="0" w:start="660" w:end="0"/>
    </w:pPr>
    <w:rPr>
      <w:sz w:val="18"/>
      <w:szCs w:val="18"/>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spacing w:before="0" w:after="0"/>
      <w:ind w:hanging="0" w:start="880" w:end="0"/>
    </w:pPr>
    <w:rPr>
      <w:sz w:val="18"/>
      <w:szCs w:val="18"/>
    </w:rPr>
  </w:style>
  <w:style w:type="paragraph" w:styleId="TOC6">
    <w:name w:val="toc 6"/>
    <w:basedOn w:val="Normal"/>
    <w:next w:val="Normal"/>
    <w:pPr>
      <w:spacing w:before="0" w:after="0"/>
      <w:ind w:hanging="0" w:start="1100" w:end="0"/>
    </w:pPr>
    <w:rPr>
      <w:sz w:val="18"/>
      <w:szCs w:val="18"/>
    </w:rPr>
  </w:style>
  <w:style w:type="paragraph" w:styleId="TOC7">
    <w:name w:val="toc 7"/>
    <w:basedOn w:val="Normal"/>
    <w:next w:val="Normal"/>
    <w:pPr>
      <w:spacing w:before="0" w:after="0"/>
      <w:ind w:hanging="0" w:start="1320" w:end="0"/>
    </w:pPr>
    <w:rPr>
      <w:sz w:val="18"/>
      <w:szCs w:val="18"/>
    </w:rPr>
  </w:style>
  <w:style w:type="paragraph" w:styleId="TOC8">
    <w:name w:val="toc 8"/>
    <w:basedOn w:val="Normal"/>
    <w:next w:val="Normal"/>
    <w:pPr>
      <w:spacing w:before="0" w:after="0"/>
      <w:ind w:hanging="0" w:start="1540" w:end="0"/>
    </w:pPr>
    <w:rPr>
      <w:sz w:val="18"/>
      <w:szCs w:val="18"/>
    </w:rPr>
  </w:style>
  <w:style w:type="paragraph" w:styleId="TOC9">
    <w:name w:val="toc 9"/>
    <w:basedOn w:val="Normal"/>
    <w:next w:val="Normal"/>
    <w:pPr>
      <w:spacing w:before="0" w:after="0"/>
      <w:ind w:hanging="0" w:start="1760" w:end="0"/>
    </w:pPr>
    <w:rPr>
      <w:sz w:val="18"/>
      <w:szCs w:val="18"/>
    </w:rPr>
  </w:style>
  <w:style w:type="paragraph" w:styleId="Bullet1BodyText">
    <w:name w:val="Bullet 1 Body Text"/>
    <w:basedOn w:val="Normal"/>
    <w:qFormat/>
    <w:pPr>
      <w:numPr>
        <w:ilvl w:val="0"/>
        <w:numId w:val="9"/>
      </w:numPr>
      <w:spacing w:before="240" w:after="240"/>
    </w:pPr>
    <w:rPr/>
  </w:style>
  <w:style w:type="paragraph" w:styleId="TableLevel1Numbered">
    <w:name w:val="Table Level 1 Numbered"/>
    <w:basedOn w:val="Normal"/>
    <w:qFormat/>
    <w:pPr>
      <w:numPr>
        <w:ilvl w:val="0"/>
        <w:numId w:val="8"/>
      </w:numPr>
    </w:pPr>
    <w:rPr/>
  </w:style>
  <w:style w:type="paragraph" w:styleId="TableTextBullet">
    <w:name w:val="Table Text Bullet"/>
    <w:basedOn w:val="Normal"/>
    <w:qFormat/>
    <w:pPr>
      <w:numPr>
        <w:ilvl w:val="0"/>
        <w:numId w:val="16"/>
      </w:numPr>
    </w:pPr>
    <w:rPr/>
  </w:style>
  <w:style w:type="paragraph" w:styleId="Bullet1Table">
    <w:name w:val="Bullet 1 Table"/>
    <w:basedOn w:val="TableTextBullet"/>
    <w:next w:val="TableTextBullet"/>
    <w:qFormat/>
    <w:pPr>
      <w:numPr>
        <w:ilvl w:val="0"/>
        <w:numId w:val="16"/>
      </w:numPr>
    </w:pPr>
    <w:rPr/>
  </w:style>
  <w:style w:type="paragraph" w:styleId="Heading1Numbered">
    <w:name w:val="Heading 1 Numbered"/>
    <w:basedOn w:val="Normal"/>
    <w:next w:val="TableText"/>
    <w:qFormat/>
    <w:pPr>
      <w:keepNext w:val="true"/>
      <w:keepLines/>
      <w:spacing w:before="48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next w:val="TableText"/>
    <w:qFormat/>
    <w:pPr>
      <w:keepNext w:val="true"/>
      <w:keepLines/>
      <w:numPr>
        <w:ilvl w:val="0"/>
        <w:numId w:val="13"/>
      </w:numPr>
      <w:spacing w:before="240" w:after="240"/>
    </w:pPr>
    <w:rPr>
      <w:rFonts w:ascii="Times New Roman Bold;Times New Roman" w:hAnsi="Times New Roman Bold;Times New Roman" w:cs="Times New Roman Bold;Times New Roman"/>
      <w:b/>
      <w:sz w:val="24"/>
    </w:rPr>
  </w:style>
  <w:style w:type="paragraph" w:styleId="Heading3Numbered">
    <w:name w:val="Heading 3 Numbered"/>
    <w:basedOn w:val="Heading2Numbered"/>
    <w:next w:val="TableText"/>
    <w:qFormat/>
    <w:pPr>
      <w:numPr>
        <w:ilvl w:val="0"/>
        <w:numId w:val="13"/>
      </w:numPr>
    </w:pPr>
    <w:rPr/>
  </w:style>
  <w:style w:type="paragraph" w:styleId="Heading4Numbered">
    <w:name w:val="Heading 4 Numbered"/>
    <w:basedOn w:val="Normal"/>
    <w:next w:val="TableText"/>
    <w:qFormat/>
    <w:pPr>
      <w:keepNext w:val="true"/>
      <w:keepLines/>
      <w:numPr>
        <w:ilvl w:val="0"/>
        <w:numId w:val="13"/>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8"/>
      </w:numPr>
    </w:pPr>
    <w:rPr/>
  </w:style>
  <w:style w:type="paragraph" w:styleId="TableLevel3Numbered">
    <w:name w:val="Table Level 3 Numbered"/>
    <w:basedOn w:val="Normal"/>
    <w:qFormat/>
    <w:pPr>
      <w:numPr>
        <w:ilvl w:val="0"/>
        <w:numId w:val="8"/>
      </w:numPr>
    </w:pPr>
    <w:rPr/>
  </w:style>
  <w:style w:type="paragraph" w:styleId="TableLevel4Numbered">
    <w:name w:val="Table Level 4 Numbered"/>
    <w:basedOn w:val="Normal"/>
    <w:qFormat/>
    <w:pPr>
      <w:numPr>
        <w:ilvl w:val="0"/>
        <w:numId w:val="8"/>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10"/>
      </w:numPr>
      <w:spacing w:before="180" w:after="180"/>
    </w:pPr>
    <w:rPr/>
  </w:style>
  <w:style w:type="paragraph" w:styleId="BodyLevel2Numbered">
    <w:name w:val="Body Level 2 Numbered"/>
    <w:basedOn w:val="Normal"/>
    <w:qFormat/>
    <w:pPr>
      <w:numPr>
        <w:ilvl w:val="0"/>
        <w:numId w:val="10"/>
      </w:numPr>
      <w:spacing w:before="180" w:after="180"/>
    </w:pPr>
    <w:rPr/>
  </w:style>
  <w:style w:type="paragraph" w:styleId="BodyLevel3Numbered">
    <w:name w:val="Body Level 3 Numbered"/>
    <w:basedOn w:val="Normal"/>
    <w:qFormat/>
    <w:pPr>
      <w:numPr>
        <w:ilvl w:val="0"/>
        <w:numId w:val="10"/>
      </w:numPr>
      <w:spacing w:before="180" w:after="180"/>
    </w:pPr>
    <w:rPr/>
  </w:style>
  <w:style w:type="paragraph" w:styleId="BodyLevel4Numbered">
    <w:name w:val="Body Level 4 Numbered"/>
    <w:basedOn w:val="Normal"/>
    <w:qFormat/>
    <w:pPr>
      <w:numPr>
        <w:ilvl w:val="0"/>
        <w:numId w:val="10"/>
      </w:numPr>
      <w:spacing w:before="180" w:after="180"/>
    </w:pPr>
    <w:rPr/>
  </w:style>
  <w:style w:type="paragraph" w:styleId="BodyLevel1Text">
    <w:name w:val="Body Level 1 Text"/>
    <w:basedOn w:val="BodyText"/>
    <w:qFormat/>
    <w:pPr>
      <w:ind w:hanging="0" w:start="1620" w:end="0"/>
    </w:pPr>
    <w:rPr/>
  </w:style>
  <w:style w:type="paragraph" w:styleId="BodyLevel2Text">
    <w:name w:val="Body Level 2 Text"/>
    <w:basedOn w:val="BodyText"/>
    <w:qFormat/>
    <w:pPr>
      <w:ind w:hanging="0" w:start="2160" w:end="0"/>
    </w:pPr>
    <w:rPr/>
  </w:style>
  <w:style w:type="paragraph" w:styleId="BodyLevel3Text">
    <w:name w:val="Body Level 3 Text"/>
    <w:basedOn w:val="BodyText"/>
    <w:qFormat/>
    <w:pPr>
      <w:ind w:hanging="0" w:start="2700" w:end="0"/>
    </w:pPr>
    <w:rPr/>
  </w:style>
  <w:style w:type="paragraph" w:styleId="BodyLevel4Text">
    <w:name w:val="Body Level 4 Text"/>
    <w:basedOn w:val="BodyText"/>
    <w:qFormat/>
    <w:pPr>
      <w:ind w:hanging="0" w:start="3240" w:end="0"/>
    </w:pPr>
    <w:rPr/>
  </w:style>
  <w:style w:type="paragraph" w:styleId="Bullet1Level1">
    <w:name w:val="Bullet 1 Level 1"/>
    <w:basedOn w:val="Normal"/>
    <w:qFormat/>
    <w:pPr>
      <w:numPr>
        <w:ilvl w:val="0"/>
        <w:numId w:val="12"/>
      </w:numPr>
    </w:pPr>
    <w:rPr/>
  </w:style>
  <w:style w:type="paragraph" w:styleId="Level1Numbered">
    <w:name w:val="Level 1 Numbered"/>
    <w:basedOn w:val="Normal"/>
    <w:qFormat/>
    <w:pPr>
      <w:numPr>
        <w:ilvl w:val="0"/>
        <w:numId w:val="22"/>
      </w:numPr>
    </w:pPr>
    <w:rPr>
      <w:bCs/>
    </w:rPr>
  </w:style>
  <w:style w:type="paragraph" w:styleId="Sprechblasentext">
    <w:name w:val="Sprechblasentext"/>
    <w:basedOn w:val="Normal"/>
    <w:qFormat/>
    <w:pPr/>
    <w:rPr>
      <w:rFonts w:ascii="Tahoma" w:hAnsi="Tahoma" w:cs="Tahoma"/>
      <w:sz w:val="16"/>
      <w:szCs w:val="16"/>
    </w:rPr>
  </w:style>
  <w:style w:type="paragraph" w:styleId="TableTextCharChar">
    <w:name w:val="Table Text Char Char"/>
    <w:basedOn w:val="Normal"/>
    <w:qFormat/>
    <w:pPr/>
    <w:rPr/>
  </w:style>
  <w:style w:type="paragraph" w:styleId="StyleHeading1NumberedJustified">
    <w:name w:val="Style Heading 1 Numbered + Justified"/>
    <w:basedOn w:val="Heading1Numbered"/>
    <w:qFormat/>
    <w:pPr>
      <w:numPr>
        <w:ilvl w:val="0"/>
        <w:numId w:val="0"/>
      </w:numPr>
      <w:ind w:hanging="0" w:start="0" w:end="0"/>
      <w:jc w:val="both"/>
    </w:pPr>
    <w:rPr>
      <w:bCs/>
      <w:szCs w:val="20"/>
    </w:rPr>
  </w:style>
  <w:style w:type="paragraph" w:styleId="FootnoteText">
    <w:name w:val="footnote text"/>
    <w:basedOn w:val="Normal"/>
    <w:pPr>
      <w:keepLines/>
      <w:spacing w:before="0" w:after="240"/>
      <w:jc w:val="both"/>
    </w:pPr>
    <w:rPr>
      <w:sz w:val="20"/>
      <w:szCs w:val="20"/>
    </w:rPr>
  </w:style>
  <w:style w:type="paragraph" w:styleId="BodyTextBullet">
    <w:name w:val="Body Text Bullet"/>
    <w:basedOn w:val="Normal"/>
    <w:qFormat/>
    <w:pPr>
      <w:numPr>
        <w:ilvl w:val="0"/>
        <w:numId w:val="20"/>
      </w:numPr>
      <w:tabs>
        <w:tab w:val="clear" w:pos="720"/>
        <w:tab w:val="left" w:pos="1440" w:leader="none"/>
      </w:tabs>
      <w:ind w:hanging="360" w:start="1440" w:end="0"/>
    </w:pPr>
    <w:rPr/>
  </w:style>
  <w:style w:type="paragraph" w:styleId="BodyTextBulletL1">
    <w:name w:val="Body Text Bullet L1"/>
    <w:basedOn w:val="Normal"/>
    <w:qFormat/>
    <w:pPr>
      <w:numPr>
        <w:ilvl w:val="0"/>
        <w:numId w:val="21"/>
      </w:numPr>
      <w:ind w:hanging="360" w:start="0" w:end="0"/>
    </w:pPr>
    <w:rPr/>
  </w:style>
  <w:style w:type="paragraph" w:styleId="BodyTextBulletL2">
    <w:name w:val="Body Text Bullet L2"/>
    <w:basedOn w:val="Normal"/>
    <w:qFormat/>
    <w:pPr>
      <w:numPr>
        <w:ilvl w:val="0"/>
        <w:numId w:val="14"/>
      </w:numPr>
      <w:ind w:hanging="367" w:start="0" w:end="0"/>
    </w:pPr>
    <w:rPr/>
  </w:style>
  <w:style w:type="paragraph" w:styleId="BodyTextBulletL3">
    <w:name w:val="Body Text Bullet L3"/>
    <w:basedOn w:val="Normal"/>
    <w:qFormat/>
    <w:pPr>
      <w:numPr>
        <w:ilvl w:val="0"/>
        <w:numId w:val="23"/>
      </w:numPr>
      <w:ind w:hanging="360" w:start="0" w:end="0"/>
    </w:pPr>
    <w:rPr/>
  </w:style>
  <w:style w:type="paragraph" w:styleId="Datum">
    <w:name w:val="Datum"/>
    <w:basedOn w:val="Normal"/>
    <w:next w:val="Normal"/>
    <w:qFormat/>
    <w:pPr/>
    <w:rPr/>
  </w:style>
  <w:style w:type="paragraph" w:styleId="Head1-NoTOCor">
    <w:name w:val="Head 1 - No TOC or #"/>
    <w:basedOn w:val="Normal"/>
    <w:next w:val="TableText"/>
    <w:qFormat/>
    <w:pPr>
      <w:keepNext w:val="true"/>
      <w:keepLines/>
      <w:spacing w:before="240" w:after="240"/>
    </w:pPr>
    <w:rPr>
      <w:rFonts w:ascii="Times New Roman Bold;Times New Roman" w:hAnsi="Times New Roman Bold;Times New Roman" w:cs="Times New Roman Bold;Times New Roman"/>
      <w:b/>
      <w:caps/>
      <w:sz w:val="28"/>
      <w:szCs w:val="28"/>
    </w:rPr>
  </w:style>
  <w:style w:type="paragraph" w:styleId="Head1-NoTOC">
    <w:name w:val="Head 1 # - No TOC"/>
    <w:basedOn w:val="Heading1Numbered"/>
    <w:next w:val="BodyText"/>
    <w:qFormat/>
    <w:pPr>
      <w:numPr>
        <w:ilvl w:val="0"/>
        <w:numId w:val="15"/>
      </w:numPr>
    </w:pPr>
    <w:rPr/>
  </w:style>
  <w:style w:type="paragraph" w:styleId="Head2-NoTOCor">
    <w:name w:val="Head 2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8"/>
      <w:szCs w:val="28"/>
    </w:rPr>
  </w:style>
  <w:style w:type="paragraph" w:styleId="Head2-NoTOC">
    <w:name w:val="Head 2 # - No TOC"/>
    <w:basedOn w:val="Heading2Numbered"/>
    <w:next w:val="BodyText"/>
    <w:qFormat/>
    <w:pPr>
      <w:numPr>
        <w:ilvl w:val="0"/>
        <w:numId w:val="15"/>
      </w:numPr>
    </w:pPr>
    <w:rPr/>
  </w:style>
  <w:style w:type="paragraph" w:styleId="Head3-NoTOCor">
    <w:name w:val="Head 3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4"/>
    </w:rPr>
  </w:style>
  <w:style w:type="paragraph" w:styleId="Head3-NoTOC">
    <w:name w:val="Head 3 # - No TOC"/>
    <w:basedOn w:val="Heading3Numbered"/>
    <w:next w:val="BodyText"/>
    <w:qFormat/>
    <w:pPr>
      <w:numPr>
        <w:ilvl w:val="0"/>
        <w:numId w:val="15"/>
      </w:numPr>
    </w:pPr>
    <w:rPr/>
  </w:style>
  <w:style w:type="paragraph" w:styleId="Head4-NoTOCor">
    <w:name w:val="Head 4 - No TOC or #"/>
    <w:basedOn w:val="Heading4"/>
    <w:next w:val="TableText"/>
    <w:qFormat/>
    <w:pPr>
      <w:numPr>
        <w:ilvl w:val="0"/>
        <w:numId w:val="17"/>
      </w:numPr>
    </w:pPr>
    <w:rPr/>
  </w:style>
  <w:style w:type="paragraph" w:styleId="Head4-NoTOC">
    <w:name w:val="Head 4 # - No TOC"/>
    <w:basedOn w:val="Heading4Numbered"/>
    <w:next w:val="BodyText"/>
    <w:qFormat/>
    <w:pPr>
      <w:numPr>
        <w:ilvl w:val="0"/>
        <w:numId w:val="15"/>
      </w:numPr>
    </w:pPr>
    <w:rPr/>
  </w:style>
  <w:style w:type="paragraph" w:styleId="Aufzhlungszeichen">
    <w:name w:val="Aufzählungszeichen"/>
    <w:basedOn w:val="BodyTextBullet"/>
    <w:qFormat/>
    <w:pPr/>
    <w:rPr/>
  </w:style>
  <w:style w:type="paragraph" w:styleId="Aufzhlungszeichen2">
    <w:name w:val="Aufzählungszeichen 2"/>
    <w:basedOn w:val="BodyTextBulletL1"/>
    <w:qFormat/>
    <w:pPr/>
    <w:rPr/>
  </w:style>
  <w:style w:type="paragraph" w:styleId="TableLevel1-2Bullet">
    <w:name w:val="Table Level 1-2 Bullet"/>
    <w:basedOn w:val="Normal"/>
    <w:qFormat/>
    <w:pPr>
      <w:numPr>
        <w:ilvl w:val="0"/>
        <w:numId w:val="18"/>
      </w:numPr>
    </w:pPr>
    <w:rPr/>
  </w:style>
  <w:style w:type="paragraph" w:styleId="TableLevel1-2Indent">
    <w:name w:val="Table Level 1-2 Indent"/>
    <w:basedOn w:val="Normal"/>
    <w:qFormat/>
    <w:pPr>
      <w:ind w:hanging="0" w:start="720" w:end="0"/>
    </w:pPr>
    <w:rPr/>
  </w:style>
  <w:style w:type="paragraph" w:styleId="TableLevel5Numbered">
    <w:name w:val="Table Level 5 Numbered"/>
    <w:basedOn w:val="Normal"/>
    <w:qFormat/>
    <w:pPr>
      <w:numPr>
        <w:ilvl w:val="0"/>
        <w:numId w:val="8"/>
      </w:numPr>
    </w:pPr>
    <w:rPr/>
  </w:style>
  <w:style w:type="paragraph" w:styleId="TableLevel3-4Bullet">
    <w:name w:val="Table Level 3-4 Bullet"/>
    <w:basedOn w:val="Normal"/>
    <w:qFormat/>
    <w:pPr>
      <w:numPr>
        <w:ilvl w:val="0"/>
        <w:numId w:val="11"/>
      </w:numPr>
    </w:pPr>
    <w:rPr/>
  </w:style>
  <w:style w:type="paragraph" w:styleId="TableLevel3-4Indent">
    <w:name w:val="Table Level 3-4 Indent"/>
    <w:basedOn w:val="Normal"/>
    <w:qFormat/>
    <w:pPr>
      <w:ind w:hanging="0" w:start="1296" w:end="0"/>
    </w:pPr>
    <w:rPr/>
  </w:style>
  <w:style w:type="paragraph" w:styleId="Bullet1Body">
    <w:name w:val="Bullet 1 Body"/>
    <w:basedOn w:val="BodyTextBullet"/>
    <w:next w:val="BodyTextBullet"/>
    <w:qFormat/>
    <w:pPr/>
    <w:rPr/>
  </w:style>
  <w:style w:type="paragraph" w:styleId="TableLevel6Numbered">
    <w:name w:val="Table Level 6 Numbered"/>
    <w:basedOn w:val="Normal"/>
    <w:qFormat/>
    <w:pPr>
      <w:numPr>
        <w:ilvl w:val="0"/>
        <w:numId w:val="8"/>
      </w:numPr>
    </w:pPr>
    <w:rPr/>
  </w:style>
  <w:style w:type="paragraph" w:styleId="TableLevel7Numbered">
    <w:name w:val="Table Level 7 Numbered"/>
    <w:basedOn w:val="Normal"/>
    <w:qFormat/>
    <w:pPr>
      <w:numPr>
        <w:ilvl w:val="0"/>
        <w:numId w:val="8"/>
      </w:numPr>
    </w:pPr>
    <w:rPr/>
  </w:style>
  <w:style w:type="paragraph" w:styleId="TableLevel8Numbered">
    <w:name w:val="Table Level 8 Numbered"/>
    <w:basedOn w:val="Normal"/>
    <w:qFormat/>
    <w:pPr>
      <w:numPr>
        <w:ilvl w:val="0"/>
        <w:numId w:val="8"/>
      </w:numPr>
    </w:pPr>
    <w:rPr/>
  </w:style>
  <w:style w:type="paragraph" w:styleId="Listennummer">
    <w:name w:val="Listennummer"/>
    <w:basedOn w:val="Normal"/>
    <w:qFormat/>
    <w:pPr>
      <w:numPr>
        <w:ilvl w:val="0"/>
        <w:numId w:val="7"/>
      </w:numPr>
    </w:pPr>
    <w:rPr/>
  </w:style>
  <w:style w:type="paragraph" w:styleId="Listennummer2">
    <w:name w:val="Listennummer 2"/>
    <w:basedOn w:val="Normal"/>
    <w:qFormat/>
    <w:pPr>
      <w:numPr>
        <w:ilvl w:val="0"/>
        <w:numId w:val="4"/>
      </w:numPr>
    </w:pPr>
    <w:rPr/>
  </w:style>
  <w:style w:type="paragraph" w:styleId="Listennummer3">
    <w:name w:val="Listennummer 3"/>
    <w:basedOn w:val="Normal"/>
    <w:qFormat/>
    <w:pPr>
      <w:numPr>
        <w:ilvl w:val="0"/>
        <w:numId w:val="3"/>
      </w:numPr>
    </w:pPr>
    <w:rPr/>
  </w:style>
  <w:style w:type="paragraph" w:styleId="Listennummer4">
    <w:name w:val="Listennummer 4"/>
    <w:basedOn w:val="Normal"/>
    <w:qFormat/>
    <w:pPr>
      <w:numPr>
        <w:ilvl w:val="0"/>
        <w:numId w:val="2"/>
      </w:numPr>
    </w:pPr>
    <w:rPr/>
  </w:style>
  <w:style w:type="paragraph" w:styleId="Aufzhlungszeichen3">
    <w:name w:val="Aufzählungszeichen 3"/>
    <w:basedOn w:val="Normal"/>
    <w:qFormat/>
    <w:pPr>
      <w:numPr>
        <w:ilvl w:val="0"/>
        <w:numId w:val="6"/>
      </w:numPr>
    </w:pPr>
    <w:rPr/>
  </w:style>
  <w:style w:type="paragraph" w:styleId="Aufzhlungszeichen4">
    <w:name w:val="Aufzählungszeichen 4"/>
    <w:basedOn w:val="Normal"/>
    <w:qFormat/>
    <w:pPr>
      <w:numPr>
        <w:ilvl w:val="0"/>
        <w:numId w:val="5"/>
      </w:numPr>
    </w:pPr>
    <w:rPr/>
  </w:style>
  <w:style w:type="paragraph" w:styleId="Listenfortsetzung">
    <w:name w:val="Listenfortsetzung"/>
    <w:basedOn w:val="Normal"/>
    <w:qFormat/>
    <w:pPr>
      <w:ind w:hanging="0" w:start="360" w:end="0"/>
    </w:pPr>
    <w:rPr/>
  </w:style>
  <w:style w:type="paragraph" w:styleId="Listenfortsetzung2">
    <w:name w:val="Listenfortsetzung 2"/>
    <w:basedOn w:val="Normal"/>
    <w:qFormat/>
    <w:pPr>
      <w:ind w:hanging="0" w:start="720" w:end="0"/>
    </w:pPr>
    <w:rPr/>
  </w:style>
  <w:style w:type="paragraph" w:styleId="Listenfortsetzung3">
    <w:name w:val="Listenfortsetzung 3"/>
    <w:basedOn w:val="Normal"/>
    <w:qFormat/>
    <w:pPr>
      <w:ind w:hanging="0" w:start="1080" w:end="0"/>
    </w:pPr>
    <w:rPr/>
  </w:style>
  <w:style w:type="paragraph" w:styleId="Listenfortsetzung4">
    <w:name w:val="Listenfortsetzung 4"/>
    <w:basedOn w:val="Normal"/>
    <w:qFormat/>
    <w:pPr>
      <w:ind w:hanging="0" w:start="1440" w:end="0"/>
    </w:pPr>
    <w:rPr/>
  </w:style>
  <w:style w:type="paragraph" w:styleId="Revised-New">
    <w:name w:val="Revised - New"/>
    <w:basedOn w:val="Normal"/>
    <w:qFormat/>
    <w:pPr/>
    <w:rPr>
      <w:rFonts w:ascii="Arial" w:hAnsi="Arial" w:cs="Arial"/>
      <w:b/>
      <w:color w:val="333399"/>
      <w:szCs w:val="22"/>
    </w:rPr>
  </w:style>
  <w:style w:type="paragraph" w:styleId="Heading5Numbered">
    <w:name w:val="Heading 5 Numbered"/>
    <w:basedOn w:val="Normal"/>
    <w:qFormat/>
    <w:pPr>
      <w:numPr>
        <w:ilvl w:val="0"/>
        <w:numId w:val="13"/>
      </w:numPr>
    </w:pPr>
    <w:rPr>
      <w:b/>
    </w:rPr>
  </w:style>
  <w:style w:type="paragraph" w:styleId="TableRef">
    <w:name w:val="Table Ref #"/>
    <w:qFormat/>
    <w:pPr>
      <w:widowControl/>
      <w:bidi w:val="0"/>
      <w:spacing w:before="120" w:after="120"/>
    </w:pPr>
    <w:rPr>
      <w:rFonts w:ascii="Times New Roman" w:hAnsi="Times New Roman" w:eastAsia="Times New Roman" w:cs="Times New Roman"/>
      <w:color w:val="auto"/>
      <w:sz w:val="16"/>
      <w:szCs w:val="24"/>
      <w:lang w:val="en-US" w:bidi="ar-SA" w:eastAsia="zh-CN"/>
    </w:rPr>
  </w:style>
  <w:style w:type="paragraph" w:styleId="TableComplyColYN">
    <w:name w:val="Table Comply Col (Y/N)"/>
    <w:qFormat/>
    <w:pPr>
      <w:widowControl/>
      <w:bidi w:val="0"/>
      <w:spacing w:before="120" w:after="120"/>
      <w:jc w:val="center"/>
    </w:pPr>
    <w:rPr>
      <w:rFonts w:ascii="Times New Roman" w:hAnsi="Times New Roman" w:eastAsia="Times New Roman" w:cs="Times New Roman"/>
      <w:color w:val="auto"/>
      <w:sz w:val="22"/>
      <w:szCs w:val="24"/>
      <w:lang w:val="en-US" w:bidi="ar-SA" w:eastAsia="zh-CN"/>
    </w:rPr>
  </w:style>
  <w:style w:type="paragraph" w:styleId="TableTextItalic">
    <w:name w:val="Table Text Italic"/>
    <w:basedOn w:val="TableText"/>
    <w:qFormat/>
    <w:pPr/>
    <w:rPr>
      <w:i/>
    </w:rPr>
  </w:style>
  <w:style w:type="paragraph" w:styleId="ReverseIndent">
    <w:name w:val="Reverse Indent"/>
    <w:qFormat/>
    <w:pPr>
      <w:widowControl/>
      <w:bidi w:val="0"/>
      <w:spacing w:before="120" w:after="120"/>
      <w:ind w:hanging="504" w:start="720" w:end="0"/>
    </w:pPr>
    <w:rPr>
      <w:rFonts w:ascii="Times New Roman" w:hAnsi="Times New Roman" w:eastAsia="Times New Roman" w:cs="Times New Roman"/>
      <w:color w:val="auto"/>
      <w:sz w:val="22"/>
      <w:szCs w:val="24"/>
      <w:lang w:val="en-US" w:bidi="ar-SA" w:eastAsia="zh-CN"/>
    </w:rPr>
  </w:style>
  <w:style w:type="paragraph" w:styleId="CharCharCharChar">
    <w:name w:val=" Char Char Char Char"/>
    <w:basedOn w:val="Normal"/>
    <w:qFormat/>
    <w:pPr>
      <w:spacing w:lineRule="exact" w:line="240" w:before="0" w:after="160"/>
    </w:pPr>
    <w:rPr>
      <w:rFonts w:ascii="Verdana" w:hAnsi="Verdana" w:cs="Verdana"/>
      <w:sz w:val="20"/>
      <w:szCs w:val="20"/>
    </w:rPr>
  </w:style>
  <w:style w:type="paragraph" w:styleId="CharCharCharCharCharCharCharCharCharChar">
    <w:name w:val=" Char Char Char Char Char Char Char Char Char Char"/>
    <w:basedOn w:val="Normal"/>
    <w:qFormat/>
    <w:pPr>
      <w:spacing w:lineRule="exact" w:line="240" w:before="0" w:after="160"/>
      <w:jc w:val="both"/>
    </w:pPr>
    <w:rPr>
      <w:rFonts w:ascii="Arial" w:hAnsi="Arial" w:cs="Arial"/>
      <w:sz w:val="20"/>
      <w:szCs w:val="20"/>
    </w:rPr>
  </w:style>
  <w:style w:type="paragraph" w:styleId="TableRef1">
    <w:name w:val="Table Ref # +1"/>
    <w:basedOn w:val="TableRef"/>
    <w:qFormat/>
    <w:pPr/>
    <w:rPr>
      <w:lang w:val="en-GB"/>
    </w:rPr>
  </w:style>
  <w:style w:type="paragraph" w:styleId="CharCharCharCharCharCharChar">
    <w:name w:val=" Char Char Char Char Char Char Char"/>
    <w:basedOn w:val="Normal"/>
    <w:qFormat/>
    <w:pPr>
      <w:spacing w:lineRule="exact" w:line="240" w:before="0" w:after="160"/>
    </w:pPr>
    <w:rPr>
      <w:rFonts w:ascii="Verdana" w:hAnsi="Verdana" w:cs="Verdana"/>
      <w:sz w:val="20"/>
      <w:szCs w:val="20"/>
    </w:rPr>
  </w:style>
  <w:style w:type="paragraph" w:styleId="Char1CharCharCharCharChar">
    <w:name w:val="Char1 Char Char Char Char Char"/>
    <w:basedOn w:val="Normal"/>
    <w:qFormat/>
    <w:pPr>
      <w:spacing w:lineRule="exact" w:line="240" w:before="0" w:after="160"/>
      <w:jc w:val="both"/>
    </w:pPr>
    <w:rPr>
      <w:rFonts w:ascii="Arial" w:hAnsi="Arial" w:cs="Arial"/>
      <w:sz w:val="20"/>
      <w:szCs w:val="20"/>
    </w:rPr>
  </w:style>
  <w:style w:type="paragraph" w:styleId="Formatvorlage1">
    <w:name w:val="Formatvorlage1"/>
    <w:basedOn w:val="Heading1"/>
    <w:qFormat/>
    <w:pPr>
      <w:numPr>
        <w:ilvl w:val="0"/>
        <w:numId w:val="17"/>
      </w:numP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1.wmf"/><Relationship Id="rId3"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TPIRFP_v2A</Template>
  <TotalTime>0</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2007-01-29T20:00:00Z</dcterms:created>
  <dc:creator>Bob Szambelan</dc:creator>
  <dc:description/>
  <cp:keywords>General Accounting</cp:keywords>
  <dc:language>en-US</dc:language>
  <cp:lastModifiedBy>Wenger Plattner</cp:lastModifiedBy>
  <cp:lastPrinted>2005-10-31T15:43:00Z</cp:lastPrinted>
  <dcterms:modified xsi:type="dcterms:W3CDTF">2007-01-29T20:00:00Z</dcterms:modified>
  <cp:revision>2</cp:revision>
  <dc:subject>E2.8 - General Accounting</dc:subject>
  <dc:title>RFP8 - F&amp;A SOW</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
    <vt:lpwstr>G Woodstrom</vt:lpwstr>
  </property>
  <property fmtid="{D5CDD505-2E9C-101B-9397-08002B2CF9AE}" pid="3" name="Office">
    <vt:lpwstr>Houston, TX</vt:lpwstr>
  </property>
  <property fmtid="{D5CDD505-2E9C-101B-9397-08002B2CF9AE}" pid="4" name="Order">
    <vt:lpwstr>16000.0000000000</vt:lpwstr>
  </property>
  <property fmtid="{D5CDD505-2E9C-101B-9397-08002B2CF9AE}" pid="5" name="Project">
    <vt:lpwstr>RFP 8</vt:lpwstr>
  </property>
  <property fmtid="{D5CDD505-2E9C-101B-9397-08002B2CF9AE}" pid="6" name="Status">
    <vt:lpwstr>Draft</vt:lpwstr>
  </property>
  <property fmtid="{D5CDD505-2E9C-101B-9397-08002B2CF9AE}" pid="7" name="TPI_RefPrefix">
    <vt:lpwstr>E2.2 - A</vt:lpwstr>
  </property>
</Properties>
</file>