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2.5</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Accounts payables (AP)</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"Formatvorlage1;1;Formatvorlage2;2" </w:instrText>
          </w:r>
          <w:r>
            <w:rPr>
              <w:rStyle w:val="IndexLink"/>
              <w:smallCaps/>
              <w:lang w:val="en-US" w:eastAsia="en-US"/>
            </w:rPr>
            <w:fldChar w:fldCharType="separate"/>
          </w:r>
          <w:hyperlink w:anchor="__RefHeading___Toc157772945">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46">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2947">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Accounts Payable pROCESSING</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48">
            <w:r>
              <w:rPr>
                <w:rStyle w:val="IndexLink"/>
                <w:lang w:val="en-US" w:eastAsia="en-US"/>
              </w:rPr>
              <w:t>2.1.</w:t>
            </w:r>
            <w:r>
              <w:rPr>
                <w:rStyle w:val="IndexLink"/>
                <w:caps w:val="false"/>
                <w:smallCaps w:val="false"/>
                <w:sz w:val="24"/>
                <w:szCs w:val="24"/>
                <w:lang w:val="de-CH" w:eastAsia="en-US"/>
              </w:rPr>
              <w:tab/>
            </w:r>
            <w:r>
              <w:rPr>
                <w:rStyle w:val="IndexLink"/>
                <w:lang w:val="en-US" w:eastAsia="en-US"/>
              </w:rPr>
              <w:t>Manage Document Receipt and Scanning</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49">
            <w:r>
              <w:rPr>
                <w:rStyle w:val="IndexLink"/>
                <w:lang w:val="en-US" w:eastAsia="en-US"/>
              </w:rPr>
              <w:t>2.2.</w:t>
            </w:r>
            <w:r>
              <w:rPr>
                <w:rStyle w:val="IndexLink"/>
                <w:caps w:val="false"/>
                <w:smallCaps w:val="false"/>
                <w:sz w:val="24"/>
                <w:szCs w:val="24"/>
                <w:lang w:val="de-CH" w:eastAsia="en-US"/>
              </w:rPr>
              <w:tab/>
            </w:r>
            <w:r>
              <w:rPr>
                <w:rStyle w:val="IndexLink"/>
                <w:lang w:val="en-US" w:eastAsia="en-US"/>
              </w:rPr>
              <w:t>Verify and Process Invoices including T&amp;E</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0">
            <w:r>
              <w:rPr>
                <w:rStyle w:val="IndexLink"/>
                <w:lang w:val="en-US" w:eastAsia="en-US"/>
              </w:rPr>
              <w:t>2.3.</w:t>
            </w:r>
            <w:r>
              <w:rPr>
                <w:rStyle w:val="IndexLink"/>
                <w:caps w:val="false"/>
                <w:smallCaps w:val="false"/>
                <w:sz w:val="24"/>
                <w:szCs w:val="24"/>
                <w:lang w:val="de-CH" w:eastAsia="en-US"/>
              </w:rPr>
              <w:tab/>
            </w:r>
            <w:r>
              <w:rPr>
                <w:rStyle w:val="IndexLink"/>
                <w:lang w:val="en-US" w:eastAsia="en-US"/>
              </w:rPr>
              <w:t>Resolve Exceptions</w:t>
              <w:tab/>
              <w:t>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1">
            <w:r>
              <w:rPr>
                <w:rStyle w:val="IndexLink"/>
                <w:lang w:val="en-US" w:eastAsia="en-US"/>
              </w:rPr>
              <w:t>2.4.</w:t>
            </w:r>
            <w:r>
              <w:rPr>
                <w:rStyle w:val="IndexLink"/>
                <w:caps w:val="false"/>
                <w:smallCaps w:val="false"/>
                <w:sz w:val="24"/>
                <w:szCs w:val="24"/>
                <w:lang w:val="de-CH" w:eastAsia="en-US"/>
              </w:rPr>
              <w:tab/>
            </w:r>
            <w:r>
              <w:rPr>
                <w:rStyle w:val="IndexLink"/>
                <w:lang w:val="en-US" w:eastAsia="en-US"/>
              </w:rPr>
              <w:t>Process Payments (Disbursements)</w:t>
              <w:tab/>
              <w:t>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2">
            <w:r>
              <w:rPr>
                <w:rStyle w:val="IndexLink"/>
                <w:lang w:val="en-US" w:eastAsia="en-US"/>
              </w:rPr>
              <w:t>2.5.</w:t>
            </w:r>
            <w:r>
              <w:rPr>
                <w:rStyle w:val="IndexLink"/>
                <w:caps w:val="false"/>
                <w:smallCaps w:val="false"/>
                <w:sz w:val="24"/>
                <w:szCs w:val="24"/>
                <w:lang w:val="de-CH" w:eastAsia="en-US"/>
              </w:rPr>
              <w:tab/>
            </w:r>
            <w:r>
              <w:rPr>
                <w:rStyle w:val="IndexLink"/>
                <w:lang w:val="en-US" w:eastAsia="en-US"/>
              </w:rPr>
              <w:t>T&amp;E Batch Creation and Release</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3">
            <w:r>
              <w:rPr>
                <w:rStyle w:val="IndexLink"/>
                <w:lang w:val="en-US" w:eastAsia="en-US"/>
              </w:rPr>
              <w:t>2.6.</w:t>
            </w:r>
            <w:r>
              <w:rPr>
                <w:rStyle w:val="IndexLink"/>
                <w:caps w:val="false"/>
                <w:smallCaps w:val="false"/>
                <w:sz w:val="24"/>
                <w:szCs w:val="24"/>
                <w:lang w:val="de-CH" w:eastAsia="en-US"/>
              </w:rPr>
              <w:tab/>
            </w:r>
            <w:r>
              <w:rPr>
                <w:rStyle w:val="IndexLink"/>
                <w:lang w:val="en-US" w:eastAsia="en-US"/>
              </w:rPr>
              <w:t>T&amp;E EFT File Creation</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4">
            <w:r>
              <w:rPr>
                <w:rStyle w:val="IndexLink"/>
                <w:lang w:val="en-US" w:eastAsia="en-US"/>
              </w:rPr>
              <w:t>2.7.</w:t>
            </w:r>
            <w:r>
              <w:rPr>
                <w:rStyle w:val="IndexLink"/>
                <w:caps w:val="false"/>
                <w:smallCaps w:val="false"/>
                <w:sz w:val="24"/>
                <w:szCs w:val="24"/>
                <w:lang w:val="de-CH" w:eastAsia="en-US"/>
              </w:rPr>
              <w:tab/>
            </w:r>
            <w:r>
              <w:rPr>
                <w:rStyle w:val="IndexLink"/>
                <w:lang w:val="en-US" w:eastAsia="en-US"/>
              </w:rPr>
              <w:t>Set up and Monitor Vendor Master File</w:t>
              <w:tab/>
              <w:t>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5">
            <w:r>
              <w:rPr>
                <w:rStyle w:val="IndexLink"/>
                <w:lang w:val="en-US" w:eastAsia="en-US"/>
              </w:rPr>
              <w:t>2.8.</w:t>
            </w:r>
            <w:r>
              <w:rPr>
                <w:rStyle w:val="IndexLink"/>
                <w:caps w:val="false"/>
                <w:smallCaps w:val="false"/>
                <w:sz w:val="24"/>
                <w:szCs w:val="24"/>
                <w:lang w:val="de-CH" w:eastAsia="en-US"/>
              </w:rPr>
              <w:tab/>
            </w:r>
            <w:r>
              <w:rPr>
                <w:rStyle w:val="IndexLink"/>
                <w:lang w:val="en-US" w:eastAsia="en-US"/>
              </w:rPr>
              <w:t>Inquiries</w:t>
              <w:tab/>
              <w:t>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6">
            <w:r>
              <w:rPr>
                <w:rStyle w:val="IndexLink"/>
                <w:lang w:val="en-US" w:eastAsia="en-US"/>
              </w:rPr>
              <w:t>2.9.</w:t>
            </w:r>
            <w:r>
              <w:rPr>
                <w:rStyle w:val="IndexLink"/>
                <w:caps w:val="false"/>
                <w:smallCaps w:val="false"/>
                <w:sz w:val="24"/>
                <w:szCs w:val="24"/>
                <w:lang w:val="de-CH" w:eastAsia="en-US"/>
              </w:rPr>
              <w:tab/>
            </w:r>
            <w:r>
              <w:rPr>
                <w:rStyle w:val="IndexLink"/>
                <w:lang w:val="en-US" w:eastAsia="en-US"/>
              </w:rPr>
              <w:t>United States Internal/External Reporting</w:t>
              <w:tab/>
              <w:t>10</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2957">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AP – OTHER PROCESSING</w:t>
              <w:tab/>
              <w:t>10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8">
            <w:r>
              <w:rPr>
                <w:rStyle w:val="IndexLink"/>
                <w:lang w:val="en-US" w:eastAsia="en-US"/>
              </w:rPr>
              <w:t>3.1.</w:t>
            </w:r>
            <w:r>
              <w:rPr>
                <w:rStyle w:val="IndexLink"/>
                <w:caps w:val="false"/>
                <w:smallCaps w:val="false"/>
                <w:sz w:val="24"/>
                <w:szCs w:val="24"/>
                <w:lang w:val="de-CH" w:eastAsia="en-US"/>
              </w:rPr>
              <w:tab/>
            </w:r>
            <w:r>
              <w:rPr>
                <w:rStyle w:val="IndexLink"/>
                <w:lang w:val="en-US" w:eastAsia="en-US"/>
              </w:rPr>
              <w:t>Credit Card Reconciliations</w:t>
              <w:tab/>
              <w:t>10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59">
            <w:r>
              <w:rPr>
                <w:rStyle w:val="IndexLink"/>
                <w:lang w:val="en-US" w:eastAsia="en-US"/>
              </w:rPr>
              <w:t>3.2.</w:t>
            </w:r>
            <w:r>
              <w:rPr>
                <w:rStyle w:val="IndexLink"/>
                <w:caps w:val="false"/>
                <w:smallCaps w:val="false"/>
                <w:sz w:val="24"/>
                <w:szCs w:val="24"/>
                <w:lang w:val="de-CH" w:eastAsia="en-US"/>
              </w:rPr>
              <w:tab/>
            </w:r>
            <w:r>
              <w:rPr>
                <w:rStyle w:val="IndexLink"/>
                <w:lang w:val="en-US" w:eastAsia="en-US"/>
              </w:rPr>
              <w:t>AP – Other</w:t>
              <w:tab/>
              <w:t>11</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0">
            <w:r>
              <w:rPr>
                <w:rStyle w:val="IndexLink"/>
                <w:lang w:val="en-US" w:eastAsia="en-US"/>
              </w:rPr>
              <w:t>3.3.</w:t>
            </w:r>
            <w:r>
              <w:rPr>
                <w:rStyle w:val="IndexLink"/>
                <w:caps w:val="false"/>
                <w:smallCaps w:val="false"/>
                <w:sz w:val="24"/>
                <w:szCs w:val="24"/>
                <w:lang w:val="de-CH" w:eastAsia="en-US"/>
              </w:rPr>
              <w:tab/>
            </w:r>
            <w:r>
              <w:rPr>
                <w:rStyle w:val="IndexLink"/>
                <w:lang w:val="en-US" w:eastAsia="en-US"/>
              </w:rPr>
              <w:t>AP System Table Maintenance</w:t>
              <w:tab/>
              <w:t>11</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1">
            <w:r>
              <w:rPr>
                <w:rStyle w:val="IndexLink"/>
                <w:lang w:val="en-US" w:eastAsia="en-US"/>
              </w:rPr>
              <w:t>3.4.</w:t>
            </w:r>
            <w:r>
              <w:rPr>
                <w:rStyle w:val="IndexLink"/>
                <w:caps w:val="false"/>
                <w:smallCaps w:val="false"/>
                <w:sz w:val="24"/>
                <w:szCs w:val="24"/>
                <w:lang w:val="de-CH" w:eastAsia="en-US"/>
              </w:rPr>
              <w:tab/>
            </w:r>
            <w:r>
              <w:rPr>
                <w:rStyle w:val="IndexLink"/>
                <w:lang w:val="en-US" w:eastAsia="en-US"/>
              </w:rPr>
              <w:t>Signatory File Management</w:t>
              <w:tab/>
              <w:t>12</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2">
            <w:r>
              <w:rPr>
                <w:rStyle w:val="IndexLink"/>
                <w:lang w:val="en-US" w:eastAsia="en-US"/>
              </w:rPr>
              <w:t>3.5.</w:t>
            </w:r>
            <w:r>
              <w:rPr>
                <w:rStyle w:val="IndexLink"/>
                <w:caps w:val="false"/>
                <w:smallCaps w:val="false"/>
                <w:sz w:val="24"/>
                <w:szCs w:val="24"/>
                <w:lang w:val="de-CH" w:eastAsia="en-US"/>
              </w:rPr>
              <w:tab/>
            </w:r>
            <w:r>
              <w:rPr>
                <w:rStyle w:val="IndexLink"/>
                <w:lang w:val="en-US" w:eastAsia="en-US"/>
              </w:rPr>
              <w:t>“Goods Received Not Vouchered” (RNV) Balance Management</w:t>
              <w:tab/>
              <w:t>12</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3">
            <w:r>
              <w:rPr>
                <w:rStyle w:val="IndexLink"/>
                <w:lang w:val="en-US" w:eastAsia="en-US"/>
              </w:rPr>
              <w:t>3.6.</w:t>
            </w:r>
            <w:r>
              <w:rPr>
                <w:rStyle w:val="IndexLink"/>
                <w:caps w:val="false"/>
                <w:smallCaps w:val="false"/>
                <w:sz w:val="24"/>
                <w:szCs w:val="24"/>
                <w:lang w:val="de-CH" w:eastAsia="en-US"/>
              </w:rPr>
              <w:tab/>
            </w:r>
            <w:r>
              <w:rPr>
                <w:rStyle w:val="IndexLink"/>
                <w:lang w:val="en-US" w:eastAsia="en-US"/>
              </w:rPr>
              <w:t>Debit Balances Management</w:t>
              <w:tab/>
              <w:t>13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4">
            <w:r>
              <w:rPr>
                <w:rStyle w:val="IndexLink"/>
                <w:lang w:val="en-US" w:eastAsia="en-US"/>
              </w:rPr>
              <w:t>3.7.</w:t>
            </w:r>
            <w:r>
              <w:rPr>
                <w:rStyle w:val="IndexLink"/>
                <w:caps w:val="false"/>
                <w:smallCaps w:val="false"/>
                <w:sz w:val="24"/>
                <w:szCs w:val="24"/>
                <w:lang w:val="de-CH" w:eastAsia="en-US"/>
              </w:rPr>
              <w:tab/>
            </w:r>
            <w:r>
              <w:rPr>
                <w:rStyle w:val="IndexLink"/>
                <w:lang w:val="en-US" w:eastAsia="en-US"/>
              </w:rPr>
              <w:t>Statement Auditing</w:t>
              <w:tab/>
              <w:t>13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5">
            <w:r>
              <w:rPr>
                <w:rStyle w:val="IndexLink"/>
                <w:lang w:val="en-US" w:eastAsia="en-US"/>
              </w:rPr>
              <w:t>3.8.</w:t>
            </w:r>
            <w:r>
              <w:rPr>
                <w:rStyle w:val="IndexLink"/>
                <w:caps w:val="false"/>
                <w:smallCaps w:val="false"/>
                <w:sz w:val="24"/>
                <w:szCs w:val="24"/>
                <w:lang w:val="de-CH" w:eastAsia="en-US"/>
              </w:rPr>
              <w:tab/>
            </w:r>
            <w:r>
              <w:rPr>
                <w:rStyle w:val="IndexLink"/>
                <w:lang w:val="en-US" w:eastAsia="en-US"/>
              </w:rPr>
              <w:t>Accounts Payable Weekly Cash Forecast</w:t>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6">
            <w:r>
              <w:rPr>
                <w:rStyle w:val="IndexLink"/>
                <w:lang w:val="en-US" w:eastAsia="en-US"/>
              </w:rPr>
              <w:t>3.9.</w:t>
            </w:r>
            <w:r>
              <w:rPr>
                <w:rStyle w:val="IndexLink"/>
                <w:caps w:val="false"/>
                <w:smallCaps w:val="false"/>
                <w:sz w:val="24"/>
                <w:szCs w:val="24"/>
                <w:lang w:val="de-CH" w:eastAsia="en-US"/>
              </w:rPr>
              <w:tab/>
            </w:r>
            <w:r>
              <w:rPr>
                <w:rStyle w:val="IndexLink"/>
                <w:lang w:val="en-US" w:eastAsia="en-US"/>
              </w:rPr>
              <w:t>Document Distribution</w:t>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7">
            <w:r>
              <w:rPr>
                <w:rStyle w:val="IndexLink"/>
                <w:lang w:val="en-US" w:eastAsia="en-US"/>
              </w:rPr>
              <w:t>3.10.</w:t>
            </w:r>
            <w:r>
              <w:rPr>
                <w:rStyle w:val="IndexLink"/>
                <w:caps w:val="false"/>
                <w:smallCaps w:val="false"/>
                <w:sz w:val="24"/>
                <w:szCs w:val="24"/>
                <w:lang w:val="de-CH" w:eastAsia="en-US"/>
              </w:rPr>
              <w:tab/>
            </w:r>
            <w:r>
              <w:rPr>
                <w:rStyle w:val="IndexLink"/>
                <w:lang w:val="en-US" w:eastAsia="en-US"/>
              </w:rPr>
              <w:t>VAT and Other Special Processes</w:t>
              <w:tab/>
              <w:t>15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68">
            <w:r>
              <w:rPr>
                <w:rStyle w:val="IndexLink"/>
                <w:lang w:val="en-US" w:eastAsia="en-US"/>
              </w:rPr>
              <w:t>3.11.</w:t>
            </w:r>
            <w:r>
              <w:rPr>
                <w:rStyle w:val="IndexLink"/>
                <w:caps w:val="false"/>
                <w:smallCaps w:val="false"/>
                <w:sz w:val="24"/>
                <w:szCs w:val="24"/>
                <w:lang w:val="de-CH" w:eastAsia="en-US"/>
              </w:rPr>
              <w:tab/>
            </w:r>
            <w:r>
              <w:rPr>
                <w:rStyle w:val="IndexLink"/>
                <w:lang w:val="en-US" w:eastAsia="en-US"/>
              </w:rPr>
              <w:t>Resolve payment and tax discrepancies</w:t>
              <w:tab/>
              <w:t>15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2969">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Third Party Material</w:t>
              <w:tab/>
              <w:t>16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70">
            <w:r>
              <w:rPr>
                <w:rStyle w:val="IndexLink"/>
                <w:lang w:val="en-US" w:eastAsia="en-US"/>
              </w:rPr>
              <w:t>4.1.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16</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2971">
            <w:r>
              <w:rPr>
                <w:rStyle w:val="IndexLink"/>
                <w:lang w:val="en-US" w:eastAsia="en-US"/>
              </w:rPr>
              <w:t>4.2.</w:t>
            </w:r>
            <w:r>
              <w:rPr>
                <w:rStyle w:val="IndexLink"/>
                <w:caps w:val="false"/>
                <w:smallCaps w:val="false"/>
                <w:sz w:val="24"/>
                <w:szCs w:val="24"/>
                <w:lang w:val="de-CH" w:eastAsia="en-US"/>
              </w:rPr>
              <w:tab/>
            </w:r>
            <w:r>
              <w:rPr>
                <w:rStyle w:val="IndexLink"/>
                <w:lang w:val="en-US" w:eastAsia="en-US"/>
              </w:rPr>
              <w:t>Update with the assistance and the approval of Novartis Pharma at least at every 6th (sixth) month of the Term of the Agreement the list of third party material in Exhibit 24 (Third Party Materials).</w:t>
              <w:tab/>
              <w:t>16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2972">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IP Rights Listing</w:t>
              <w:tab/>
              <w:t>16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73">
            <w:r>
              <w:rPr>
                <w:rStyle w:val="IndexLink"/>
                <w:lang w:val="en-US" w:eastAsia="en-US"/>
              </w:rPr>
              <w:t>5.1.</w:t>
            </w:r>
            <w:r>
              <w:rPr>
                <w:rStyle w:val="IndexLink"/>
                <w:caps w:val="false"/>
                <w:smallCaps w:val="false"/>
                <w:sz w:val="24"/>
                <w:szCs w:val="24"/>
                <w:lang w:val="de-CH" w:eastAsia="en-US"/>
              </w:rPr>
              <w:tab/>
            </w:r>
            <w:r>
              <w:rPr>
                <w:rStyle w:val="IndexLink"/>
                <w:lang w:val="en-US" w:eastAsia="en-US"/>
              </w:rPr>
              <w:t>Type I Materials</w:t>
              <w:tab/>
              <w:t>16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74">
            <w:r>
              <w:rPr>
                <w:rStyle w:val="IndexLink"/>
                <w:lang w:val="en-US" w:eastAsia="en-US"/>
              </w:rPr>
              <w:t>5.2.</w:t>
            </w:r>
            <w:r>
              <w:rPr>
                <w:rStyle w:val="IndexLink"/>
                <w:caps w:val="false"/>
                <w:smallCaps w:val="false"/>
                <w:sz w:val="24"/>
                <w:szCs w:val="24"/>
                <w:lang w:val="de-CH" w:eastAsia="en-US"/>
              </w:rPr>
              <w:tab/>
            </w:r>
            <w:r>
              <w:rPr>
                <w:rStyle w:val="IndexLink"/>
                <w:lang w:val="en-US" w:eastAsia="en-US"/>
              </w:rPr>
              <w:t>Type II Materials</w:t>
              <w:tab/>
              <w:t>16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2975">
            <w:r>
              <w:rPr>
                <w:rStyle w:val="IndexLink"/>
                <w:lang w:val="en-US" w:eastAsia="en-US"/>
              </w:rPr>
              <w:t>5.3.</w:t>
            </w:r>
            <w:r>
              <w:rPr>
                <w:rStyle w:val="IndexLink"/>
                <w:caps w:val="false"/>
                <w:smallCaps w:val="false"/>
                <w:sz w:val="24"/>
                <w:szCs w:val="24"/>
                <w:lang w:val="de-CH" w:eastAsia="en-US"/>
              </w:rPr>
              <w:tab/>
            </w:r>
            <w:r>
              <w:rPr>
                <w:rStyle w:val="IndexLink"/>
                <w:lang w:val="en-US" w:eastAsia="en-US"/>
              </w:rPr>
              <w:t>Type III Materials</w:t>
              <w:tab/>
              <w:t>16</w:t>
            </w:r>
          </w:hyperlink>
        </w:p>
        <w:p>
          <w:pPr>
            <w:pStyle w:val="TOC2"/>
            <w:tabs>
              <w:tab w:val="clear" w:pos="720"/>
              <w:tab w:val="left" w:pos="880" w:leader="none"/>
              <w:tab w:val="right" w:pos="10506" w:leader="dot"/>
            </w:tabs>
            <w:rPr>
              <w:sz w:val="24"/>
              <w:szCs w:val="24"/>
              <w:lang w:val="de-CH" w:eastAsia="en-US"/>
            </w:rPr>
          </w:pPr>
          <w:hyperlink w:anchor="__RefHeading___Toc157772976">
            <w:r>
              <w:rPr>
                <w:rStyle w:val="IndexLink"/>
                <w:caps w:val="false"/>
                <w:smallCaps w:val="false"/>
                <w:lang w:val="en-US" w:eastAsia="en-US"/>
              </w:rPr>
              <w:t>5.4.</w:t>
            </w:r>
            <w:r>
              <w:rPr>
                <w:rStyle w:val="IndexLink"/>
                <w:caps w:val="false"/>
                <w:smallCaps w:val="false"/>
                <w:sz w:val="24"/>
                <w:szCs w:val="24"/>
                <w:lang w:val="de-CH" w:eastAsia="en-US"/>
              </w:rPr>
              <w:tab/>
            </w:r>
            <w:r>
              <w:rPr>
                <w:rStyle w:val="IndexLink"/>
                <w:caps w:val="false"/>
                <w:smallCaps w:val="false"/>
                <w:lang w:val="en-US" w:eastAsia="en-US"/>
              </w:rPr>
              <w:t>Type IV Materials</w:t>
              <w:tab/>
              <w:t>16</w:t>
            </w:r>
          </w:hyperlink>
          <w:r>
            <w:rPr>
              <w:rStyle w:val="IndexLink"/>
              <w:smallCaps w:val="false"/>
              <w:caps w:val="false"/>
              <w:lang w:val="en-US" w:eastAsia="en-US"/>
            </w:rPr>
            <w:fldChar w:fldCharType="end"/>
          </w:r>
        </w:p>
      </w:sdtContent>
    </w:sdt>
    <w:p>
      <w:pPr>
        <w:pStyle w:val="Normal"/>
        <w:tabs>
          <w:tab w:val="clear" w:pos="720"/>
          <w:tab w:val="left" w:pos="360" w:leader="none"/>
          <w:tab w:val="left" w:pos="425" w:leader="none"/>
        </w:tabs>
        <w:jc w:val="both"/>
        <w:rPr>
          <w:b/>
          <w:bCs/>
          <w:caps/>
          <w:sz w:val="20"/>
          <w:szCs w:val="20"/>
          <w:lang w:val="de-CH" w:eastAsia="en-US"/>
        </w:rPr>
      </w:pPr>
      <w:r>
        <w:rPr>
          <w:b/>
          <w:bCs/>
          <w:caps/>
          <w:sz w:val="20"/>
          <w:szCs w:val="20"/>
          <w:lang w:val="de-CH" w:eastAsia="en-US"/>
        </w:rPr>
      </w:r>
      <w:r>
        <w:br w:type="page"/>
      </w:r>
    </w:p>
    <w:p>
      <w:pPr>
        <w:pStyle w:val="Formatvorlage1"/>
        <w:numPr>
          <w:ilvl w:val="0"/>
          <w:numId w:val="17"/>
        </w:numPr>
        <w:ind w:hanging="0" w:start="0"/>
        <w:rPr/>
      </w:pPr>
      <w:bookmarkStart w:id="0" w:name="__RefHeading___Toc157772945"/>
      <w:bookmarkEnd w:id="0"/>
      <w:r>
        <w:rPr/>
        <w:t>Introduction</w:t>
      </w:r>
    </w:p>
    <w:p>
      <w:pPr>
        <w:pStyle w:val="Formatvorlage2"/>
        <w:numPr>
          <w:ilvl w:val="1"/>
          <w:numId w:val="17"/>
        </w:numPr>
        <w:ind w:hanging="0" w:start="0"/>
        <w:rPr/>
      </w:pPr>
      <w:bookmarkStart w:id="1" w:name="__RefHeading___Toc157772946"/>
      <w:bookmarkEnd w:id="1"/>
      <w:r>
        <w:rPr/>
        <w:t>General</w:t>
      </w:r>
    </w:p>
    <w:p>
      <w:pPr>
        <w:pStyle w:val="Heading3"/>
        <w:numPr>
          <w:ilvl w:val="2"/>
          <w:numId w:val="17"/>
        </w:numPr>
        <w:rPr/>
      </w:pPr>
      <w:r>
        <w:rPr/>
        <w:t>The Service Provider’s responsibilities include:</w:t>
      </w:r>
    </w:p>
    <w:p>
      <w:pPr>
        <w:pStyle w:val="Heading3"/>
        <w:numPr>
          <w:ilvl w:val="2"/>
          <w:numId w:val="17"/>
        </w:numPr>
        <w:rPr>
          <w:rFonts w:ascii="Arial" w:hAnsi="Arial" w:cs="Arial"/>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7"/>
        </w:numPr>
        <w:rPr>
          <w:rFonts w:ascii="Arial" w:hAnsi="Arial" w:cs="Arial"/>
          <w:lang w:val="en-GB"/>
        </w:rPr>
      </w:pPr>
      <w:r>
        <w:rPr/>
        <w:t xml:space="preserve">As part of the Services and the Base Charges, and at no additional charge, fee, cost or expense to GlobalPharma, the Service Provider shall provide all of the services described in this Exhibit including all in-scope activities performed by Affected Employees. </w:t>
      </w:r>
      <w:r>
        <w:rPr>
          <w:rFonts w:cs="Arial" w:ascii="Arial" w:hAnsi="Arial"/>
          <w:lang w:val="en-GB"/>
        </w:rPr>
      </w:r>
    </w:p>
    <w:p>
      <w:pPr>
        <w:pStyle w:val="Formatvorlage1"/>
        <w:numPr>
          <w:ilvl w:val="0"/>
          <w:numId w:val="17"/>
        </w:numPr>
        <w:ind w:hanging="0" w:start="0"/>
        <w:rPr/>
      </w:pPr>
      <w:bookmarkStart w:id="2" w:name="__RefHeading___Toc157772947"/>
      <w:bookmarkEnd w:id="2"/>
      <w:r>
        <w:rPr/>
        <w:t>Accounts Payable pROCESSING</w:t>
      </w:r>
    </w:p>
    <w:p>
      <w:pPr>
        <w:pStyle w:val="Formatvorlage2"/>
        <w:numPr>
          <w:ilvl w:val="1"/>
          <w:numId w:val="17"/>
        </w:numPr>
        <w:ind w:hanging="0" w:start="0"/>
        <w:rPr/>
      </w:pPr>
      <w:bookmarkStart w:id="3" w:name="__RefHeading___Toc157772948"/>
      <w:bookmarkEnd w:id="3"/>
      <w:r>
        <w:rPr/>
        <w:t>Manage Document Receipt and Scanning</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pPr>
      <w:r>
        <w:rPr/>
        <w:t>Upload electronic documents such as EDI payment files, electronic invoices and batch input</w:t>
      </w:r>
    </w:p>
    <w:p>
      <w:pPr>
        <w:pStyle w:val="Heading3"/>
        <w:numPr>
          <w:ilvl w:val="2"/>
          <w:numId w:val="17"/>
        </w:numPr>
        <w:rPr>
          <w:rFonts w:ascii="Arial" w:hAnsi="Arial" w:cs="Arial"/>
          <w:lang w:val="en-GB"/>
        </w:rPr>
      </w:pPr>
      <w:r>
        <w:rPr/>
        <w:t>Receive, sort and scan AP documents and upload images in scope. In</w:t>
      </w:r>
      <w:r>
        <w:rPr>
          <w:lang w:bidi="en-US"/>
        </w:rPr>
        <w:t xml:space="preserve"> order to guarantee that payments are done in time according to payment conditions, scanning may also be done by the Service Provider at a close location to the CPO depending on the time limit for transporting paper documents to a remote scanning centre.</w:t>
      </w:r>
    </w:p>
    <w:p>
      <w:pPr>
        <w:pStyle w:val="Heading4"/>
        <w:numPr>
          <w:ilvl w:val="3"/>
          <w:numId w:val="17"/>
        </w:numPr>
        <w:rPr>
          <w:lang w:val="en-GB"/>
        </w:rPr>
      </w:pPr>
      <w:r>
        <w:rPr>
          <w:lang w:val="en-GB"/>
        </w:rPr>
        <w:t>Zurich, US: Out of scope.</w:t>
      </w:r>
    </w:p>
    <w:p>
      <w:pPr>
        <w:pStyle w:val="Heading3"/>
        <w:numPr>
          <w:ilvl w:val="2"/>
          <w:numId w:val="17"/>
        </w:numPr>
        <w:ind w:hanging="1077" w:start="1077" w:end="0"/>
        <w:rPr/>
      </w:pPr>
      <w:r>
        <w:rPr/>
        <w:t>If asked by GlobalPharma, assess whether it is more beneficial for GlobalPharma to terminate the existing scanning outsourcing contracts and provide those services instead or to continue the existing contract with third party. The Service Provider will assess and describe to what extent the management of the third parties on behalf of GlobalPharma would add value. GlobalPharma to decide on best solution based on cost/benefit case prepared by the Service Provider.</w:t>
      </w:r>
    </w:p>
    <w:p>
      <w:pPr>
        <w:pStyle w:val="Heading3"/>
        <w:numPr>
          <w:ilvl w:val="2"/>
          <w:numId w:val="17"/>
        </w:numPr>
        <w:rPr>
          <w:lang w:val="en-GB"/>
        </w:rPr>
      </w:pPr>
      <w:r>
        <w:rPr>
          <w:lang w:val="en-GB"/>
        </w:rPr>
        <w:t>Support the cost/benefit analysis in the decision process for implementing e-invoicing.</w:t>
      </w:r>
    </w:p>
    <w:p>
      <w:pPr>
        <w:pStyle w:val="Heading3"/>
        <w:numPr>
          <w:ilvl w:val="2"/>
          <w:numId w:val="17"/>
        </w:numPr>
        <w:rPr>
          <w:lang w:val="en-GB"/>
        </w:rPr>
      </w:pPr>
      <w:r>
        <w:rPr>
          <w:lang w:val="en-GB"/>
        </w:rPr>
        <w:t>Support any purchasing and AP related implementation activities of e-invoicing.</w:t>
      </w:r>
    </w:p>
    <w:p>
      <w:pPr>
        <w:pStyle w:val="Heading3"/>
        <w:numPr>
          <w:ilvl w:val="2"/>
          <w:numId w:val="17"/>
        </w:numPr>
        <w:rPr>
          <w:lang w:val="en-GB"/>
        </w:rPr>
      </w:pPr>
      <w:r>
        <w:rPr>
          <w:lang w:val="en-GB"/>
        </w:rPr>
        <w:t>Set up and train suppliers to move to the e-invoicing platform. The set up and training of suppliers to move to the e-invoicing platform will be handled with the existing FTEs. Additional project resources may be required if the enablement of suppliers has to be achieved in a certain timeline set by GlobalPharma, to be mutually agreed between Service Provider and GlobalPharma.</w:t>
      </w:r>
    </w:p>
    <w:p>
      <w:pPr>
        <w:pStyle w:val="Heading3"/>
        <w:numPr>
          <w:ilvl w:val="2"/>
          <w:numId w:val="17"/>
        </w:numPr>
        <w:rPr>
          <w:lang w:val="en-GB"/>
        </w:rPr>
      </w:pPr>
      <w:r>
        <w:rPr>
          <w:lang w:val="en-GB"/>
        </w:rPr>
        <w:t>Work with the e-invoicing supplier to continuously manage system based on the written agreements between GlobalPharma and e-invoicing supplier. Escalate any issues to GlobalPharma if they can not be resolved based on the agreement between GlobalPharma and e-invoicing supplier or if GlobalPharma IT has to be involved with regard to the connection of e-invoicing and GlobalPharma ERP/Procurement Systems.</w:t>
      </w:r>
    </w:p>
    <w:p>
      <w:pPr>
        <w:pStyle w:val="Heading3"/>
        <w:numPr>
          <w:ilvl w:val="2"/>
          <w:numId w:val="17"/>
        </w:numPr>
        <w:rPr/>
      </w:pPr>
      <w:r>
        <w:rPr/>
        <w:t>Maintain continuously target supplier group working on the e-invoicing platform.</w:t>
      </w:r>
    </w:p>
    <w:p>
      <w:pPr>
        <w:pStyle w:val="Heading3"/>
        <w:numPr>
          <w:ilvl w:val="2"/>
          <w:numId w:val="17"/>
        </w:numPr>
        <w:rPr>
          <w:lang w:val="en-GB"/>
        </w:rPr>
      </w:pPr>
      <w:r>
        <w:rPr>
          <w:lang w:val="en-GB"/>
        </w:rPr>
        <w:t>Receive vendor related documents, open them, record receipt, and sort based on process requirements.</w:t>
      </w:r>
    </w:p>
    <w:p>
      <w:pPr>
        <w:pStyle w:val="Heading4"/>
        <w:numPr>
          <w:ilvl w:val="3"/>
          <w:numId w:val="17"/>
        </w:numPr>
        <w:rPr>
          <w:lang w:val="en-GB"/>
        </w:rPr>
      </w:pPr>
      <w:r>
        <w:rPr>
          <w:lang w:val="en-GB"/>
        </w:rPr>
        <w:t>US, Zurich: Out of scope.</w:t>
      </w:r>
    </w:p>
    <w:p>
      <w:pPr>
        <w:pStyle w:val="Heading3"/>
        <w:numPr>
          <w:ilvl w:val="2"/>
          <w:numId w:val="17"/>
        </w:numPr>
        <w:rPr>
          <w:lang w:val="en-GB"/>
        </w:rPr>
      </w:pPr>
      <w:r>
        <w:rPr>
          <w:lang w:val="en-GB"/>
        </w:rPr>
        <w:t>Perform required audit and review functions to verify adequacy of source document prior to processing as defined in the policies and procedures of GlobalPharma.</w:t>
      </w:r>
    </w:p>
    <w:p>
      <w:pPr>
        <w:pStyle w:val="Heading4"/>
        <w:numPr>
          <w:ilvl w:val="3"/>
          <w:numId w:val="17"/>
        </w:numPr>
        <w:rPr>
          <w:lang w:val="en-GB"/>
        </w:rPr>
      </w:pPr>
      <w:r>
        <w:rPr>
          <w:lang w:val="en-GB"/>
        </w:rPr>
        <w:t>USA, Zurich: Out of scope.</w:t>
      </w:r>
    </w:p>
    <w:p>
      <w:pPr>
        <w:pStyle w:val="Heading3"/>
        <w:numPr>
          <w:ilvl w:val="2"/>
          <w:numId w:val="17"/>
        </w:numPr>
        <w:rPr>
          <w:lang w:val="en-GB"/>
        </w:rPr>
      </w:pPr>
      <w:r>
        <w:rPr>
          <w:lang w:val="en-GB"/>
        </w:rPr>
        <w:t>Return documents not meeting requirements on a timely basis to appropriate parties (e.g. unreadable documents), providing details of policy non-compliance, as defined in the policies and procedures of GlobalPharma.</w:t>
      </w:r>
    </w:p>
    <w:p>
      <w:pPr>
        <w:pStyle w:val="Heading4"/>
        <w:numPr>
          <w:ilvl w:val="3"/>
          <w:numId w:val="17"/>
        </w:numPr>
        <w:rPr>
          <w:lang w:val="en-GB"/>
        </w:rPr>
      </w:pPr>
      <w:r>
        <w:rPr>
          <w:lang w:val="en-GB"/>
        </w:rPr>
        <w:t>USA, Zurich: Out of scope.</w:t>
      </w:r>
    </w:p>
    <w:p>
      <w:pPr>
        <w:pStyle w:val="Heading3"/>
        <w:numPr>
          <w:ilvl w:val="2"/>
          <w:numId w:val="17"/>
        </w:numPr>
        <w:rPr>
          <w:lang w:val="en-GB"/>
        </w:rPr>
      </w:pPr>
      <w:r>
        <w:rPr/>
        <w:t>Take action on non-invoice documents. (i.e., statements, address change notifications), as defined in the policies and procedures of GlobalPharma. Action should be in compliance with SOX policies.</w:t>
      </w:r>
      <w:r>
        <w:rPr>
          <w:lang w:val="en-GB"/>
        </w:rPr>
      </w:r>
    </w:p>
    <w:p>
      <w:pPr>
        <w:pStyle w:val="Heading4"/>
        <w:numPr>
          <w:ilvl w:val="3"/>
          <w:numId w:val="17"/>
        </w:numPr>
        <w:rPr>
          <w:lang w:val="en-GB"/>
        </w:rPr>
      </w:pPr>
      <w:r>
        <w:rPr>
          <w:lang w:val="en-GB"/>
        </w:rPr>
        <w:t>USA, Zurich: Out of scope.</w:t>
      </w:r>
    </w:p>
    <w:p>
      <w:pPr>
        <w:pStyle w:val="Heading3"/>
        <w:numPr>
          <w:ilvl w:val="2"/>
          <w:numId w:val="17"/>
        </w:numPr>
        <w:rPr>
          <w:lang w:val="en-GB"/>
        </w:rPr>
      </w:pPr>
      <w:r>
        <w:rPr>
          <w:lang w:val="en-GB"/>
        </w:rPr>
        <w:t>Service Provider is responsible for the document retention and proper holding of the original invoices according to policies and procedures as requested by GlobalPharma.</w:t>
      </w:r>
      <w:r>
        <w:rPr/>
      </w:r>
    </w:p>
    <w:p>
      <w:pPr>
        <w:pStyle w:val="Heading3"/>
        <w:numPr>
          <w:ilvl w:val="2"/>
          <w:numId w:val="17"/>
        </w:numPr>
        <w:rPr/>
      </w:pPr>
      <w:r>
        <w:rPr>
          <w:lang w:val="en-GB"/>
        </w:rPr>
        <w:t>Present documents for processing and signature authorization based upon existing workflow system (except UK where Service Provider implements a workflow system) when invoices have no corresponding PO or go</w:t>
      </w:r>
      <w:r>
        <w:rPr/>
        <w:t>ods received note.</w:t>
      </w:r>
    </w:p>
    <w:p>
      <w:pPr>
        <w:pStyle w:val="Heading3"/>
        <w:numPr>
          <w:ilvl w:val="2"/>
          <w:numId w:val="17"/>
        </w:numPr>
        <w:rPr>
          <w:rFonts w:ascii="Arial" w:hAnsi="Arial" w:cs="Arial"/>
          <w:lang w:val="en-GB"/>
        </w:rPr>
      </w:pPr>
      <w:r>
        <w:rPr/>
        <w:t>Build interfaces for data flow from existing systems such as Ariba and SAP to Savvion or any other system the Service Provider will use with the approval of GlobalPharma.</w:t>
      </w:r>
      <w:r>
        <w:rPr>
          <w:lang w:val="en-GB"/>
        </w:rPr>
      </w:r>
    </w:p>
    <w:p>
      <w:pPr>
        <w:pStyle w:val="Heading3"/>
        <w:numPr>
          <w:ilvl w:val="2"/>
          <w:numId w:val="17"/>
        </w:numPr>
        <w:rPr>
          <w:rFonts w:ascii="Arial" w:hAnsi="Arial" w:cs="Arial"/>
          <w:lang w:val="en-GB"/>
        </w:rPr>
      </w:pPr>
      <w:r>
        <w:rPr>
          <w:lang w:val="en-GB"/>
        </w:rPr>
        <w:t>Update and maintain Service Provider banking information in all systems (such as routing number, account type, account number) in accordance with GlobalPharma policy guidelines.</w:t>
      </w:r>
    </w:p>
    <w:p>
      <w:pPr>
        <w:pStyle w:val="Heading3"/>
        <w:numPr>
          <w:ilvl w:val="2"/>
          <w:numId w:val="17"/>
        </w:numPr>
        <w:rPr>
          <w:lang w:val="en-GB"/>
        </w:rPr>
      </w:pPr>
      <w:r>
        <w:rPr>
          <w:lang w:val="en-GB"/>
        </w:rPr>
        <w:t>Update and maintain Service Provider overnight mail information.</w:t>
      </w:r>
    </w:p>
    <w:p>
      <w:pPr>
        <w:pStyle w:val="Heading3"/>
        <w:numPr>
          <w:ilvl w:val="2"/>
          <w:numId w:val="17"/>
        </w:numPr>
        <w:rPr>
          <w:lang w:val="en-GB"/>
        </w:rPr>
      </w:pPr>
      <w:r>
        <w:rPr>
          <w:lang w:val="en-GB"/>
        </w:rPr>
        <w:t>Store, file, and manage remote retrieval functionalities of source document in accordance with GlobalPharma policies.</w:t>
      </w:r>
    </w:p>
    <w:p>
      <w:pPr>
        <w:pStyle w:val="Heading3"/>
        <w:numPr>
          <w:ilvl w:val="2"/>
          <w:numId w:val="17"/>
        </w:numPr>
        <w:rPr>
          <w:lang w:val="en-GB"/>
        </w:rPr>
      </w:pPr>
      <w:r>
        <w:rPr>
          <w:lang w:val="en-GB"/>
        </w:rPr>
        <w:t>Provide original source documents to GlobalPharma as required on a timely turnaround basis if Service Provider has retained the hard copy according to policies and procedures of GlobalPharma.</w:t>
      </w:r>
    </w:p>
    <w:p>
      <w:pPr>
        <w:pStyle w:val="Formatvorlage2"/>
        <w:numPr>
          <w:ilvl w:val="1"/>
          <w:numId w:val="17"/>
        </w:numPr>
        <w:ind w:hanging="0" w:start="0"/>
        <w:rPr/>
      </w:pPr>
      <w:bookmarkStart w:id="4" w:name="__RefHeading___Toc157772949"/>
      <w:bookmarkEnd w:id="4"/>
      <w:r>
        <w:rPr/>
        <w:t>Verify and Process Invoices including T&amp;E</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 xml:space="preserve">Process invoice transactions and T&amp;E in accordance with GlobalPharma policy guidelines </w:t>
      </w:r>
    </w:p>
    <w:p>
      <w:pPr>
        <w:pStyle w:val="Heading4"/>
        <w:numPr>
          <w:ilvl w:val="3"/>
          <w:numId w:val="17"/>
        </w:numPr>
        <w:rPr/>
      </w:pPr>
      <w:r>
        <w:rPr/>
        <w:t>US: Out of scope.</w:t>
      </w:r>
    </w:p>
    <w:p>
      <w:pPr>
        <w:pStyle w:val="Heading3"/>
        <w:numPr>
          <w:ilvl w:val="2"/>
          <w:numId w:val="17"/>
        </w:numPr>
        <w:rPr>
          <w:lang w:val="en-GB"/>
        </w:rPr>
      </w:pPr>
      <w:r>
        <w:rPr>
          <w:lang w:val="en-GB"/>
        </w:rPr>
        <w:t>Develop Service Provider-specific rules in accordance with GlobalPharma policy guidelines</w:t>
      </w:r>
    </w:p>
    <w:p>
      <w:pPr>
        <w:pStyle w:val="Heading3"/>
        <w:numPr>
          <w:ilvl w:val="2"/>
          <w:numId w:val="17"/>
        </w:numPr>
        <w:rPr/>
      </w:pPr>
      <w:r>
        <w:rPr/>
        <w:t>Service Provider to follow supplier-specific rules in accordance with GlobalPharma policy guidelines, e.g. aggregate spent by doctor and by state with various reporting requirements, compliance &amp; ethics. Supplier specific rules and principles per GlobalPharma policies to be documented in SOPs and updated on a continuous basis by Service Provider based on GlobalPharma input.</w:t>
      </w:r>
    </w:p>
    <w:p>
      <w:pPr>
        <w:pStyle w:val="Heading4"/>
        <w:numPr>
          <w:ilvl w:val="3"/>
          <w:numId w:val="17"/>
        </w:numPr>
        <w:rPr/>
      </w:pPr>
      <w:r>
        <w:rPr/>
        <w:t>Germany (Wehr), Zurich: Out of scope</w:t>
      </w:r>
    </w:p>
    <w:p>
      <w:pPr>
        <w:pStyle w:val="Heading3"/>
        <w:numPr>
          <w:ilvl w:val="2"/>
          <w:numId w:val="17"/>
        </w:numPr>
        <w:rPr>
          <w:rFonts w:ascii="Arial" w:hAnsi="Arial" w:cs="Arial"/>
          <w:lang w:val="en-GB"/>
        </w:rPr>
      </w:pPr>
      <w:r>
        <w:rPr/>
        <w:t>Set up/maintain recurring transactions for processing (for example: rent and utility payments, consolidated invoice uploads etc.).</w:t>
      </w:r>
    </w:p>
    <w:p>
      <w:pPr>
        <w:pStyle w:val="Heading3"/>
        <w:numPr>
          <w:ilvl w:val="2"/>
          <w:numId w:val="17"/>
        </w:numPr>
        <w:rPr>
          <w:rFonts w:ascii="Arial" w:hAnsi="Arial" w:cs="Arial"/>
          <w:lang w:val="en-GB"/>
        </w:rPr>
      </w:pPr>
      <w:r>
        <w:rPr>
          <w:lang w:val="en-GB"/>
        </w:rPr>
        <w:t>Execute payment processing at established intervals for both invoices and T&amp;E in accordance with GlobalPharma policy guidelines.</w:t>
      </w:r>
    </w:p>
    <w:p>
      <w:pPr>
        <w:pStyle w:val="Heading3"/>
        <w:numPr>
          <w:ilvl w:val="2"/>
          <w:numId w:val="17"/>
        </w:numPr>
        <w:rPr>
          <w:rFonts w:ascii="Arial" w:hAnsi="Arial" w:cs="Arial"/>
          <w:lang w:val="en-GB"/>
        </w:rPr>
      </w:pPr>
      <w:r>
        <w:rPr>
          <w:lang w:val="en-GB"/>
        </w:rPr>
        <w:t>Monitor and manage invoice void requests, e.g. obtain credit notes to cancel out invoices.</w:t>
      </w:r>
    </w:p>
    <w:p>
      <w:pPr>
        <w:pStyle w:val="Heading3"/>
        <w:numPr>
          <w:ilvl w:val="2"/>
          <w:numId w:val="17"/>
        </w:numPr>
        <w:rPr>
          <w:b/>
          <w:lang w:val="en-GB"/>
        </w:rPr>
      </w:pPr>
      <w:r>
        <w:rPr>
          <w:lang w:val="en-GB"/>
        </w:rPr>
        <w:t>Resolve un-invoiced receipts.</w:t>
      </w:r>
    </w:p>
    <w:p>
      <w:pPr>
        <w:pStyle w:val="Heading3"/>
        <w:numPr>
          <w:ilvl w:val="2"/>
          <w:numId w:val="17"/>
        </w:numPr>
        <w:rPr>
          <w:b/>
          <w:lang w:val="en-GB"/>
        </w:rPr>
      </w:pPr>
      <w:r>
        <w:rPr>
          <w:lang w:val="en-GB"/>
        </w:rPr>
        <w:t xml:space="preserve">Track unclaimed property (e.g. vendor cheques not cashed) </w:t>
      </w:r>
    </w:p>
    <w:p>
      <w:pPr>
        <w:pStyle w:val="Heading4"/>
        <w:numPr>
          <w:ilvl w:val="3"/>
          <w:numId w:val="17"/>
        </w:numPr>
        <w:rPr>
          <w:lang w:val="en-GB"/>
        </w:rPr>
      </w:pPr>
      <w:r>
        <w:rPr>
          <w:lang w:val="en-GB"/>
        </w:rPr>
        <w:t>Italy, Zurich, US: Out of scope</w:t>
      </w:r>
      <w:bookmarkStart w:id="5" w:name="OLE_LINK3"/>
    </w:p>
    <w:p>
      <w:pPr>
        <w:pStyle w:val="Heading3"/>
        <w:numPr>
          <w:ilvl w:val="2"/>
          <w:numId w:val="17"/>
        </w:numPr>
        <w:rPr>
          <w:rFonts w:ascii="Arial" w:hAnsi="Arial" w:cs="Arial"/>
          <w:lang w:val="en-GB"/>
        </w:rPr>
      </w:pPr>
      <w:r>
        <w:rPr>
          <w:lang w:val="en-GB"/>
        </w:rPr>
        <w:t>Process all immediate check requests in accordance with GlobalPharma Check Request and Expedited Payment Policies, e.g. if a sales representative requests immediate payment (e.g. honoraria for studies).</w:t>
      </w:r>
      <w:bookmarkEnd w:id="5"/>
      <w:r>
        <w:rPr>
          <w:lang w:val="en-GB"/>
        </w:rPr>
      </w:r>
    </w:p>
    <w:p>
      <w:pPr>
        <w:pStyle w:val="Heading3"/>
        <w:numPr>
          <w:ilvl w:val="2"/>
          <w:numId w:val="17"/>
        </w:numPr>
        <w:rPr>
          <w:lang w:val="en-GB"/>
        </w:rPr>
      </w:pPr>
      <w:r>
        <w:rPr>
          <w:lang w:val="en-GB"/>
        </w:rPr>
        <w:t xml:space="preserve">Audit, correct, add, and process garnishment transactions. </w:t>
      </w:r>
    </w:p>
    <w:p>
      <w:pPr>
        <w:pStyle w:val="Heading4"/>
        <w:numPr>
          <w:ilvl w:val="3"/>
          <w:numId w:val="17"/>
        </w:numPr>
        <w:rPr>
          <w:rFonts w:ascii="Arial" w:hAnsi="Arial" w:cs="Arial"/>
          <w:lang w:val="en-GB"/>
        </w:rPr>
      </w:pPr>
      <w:r>
        <w:rPr>
          <w:lang w:val="en-GB"/>
        </w:rPr>
        <w:t>Italy, UK, Germany, Zurich, Spain, France: Out of Scope</w:t>
      </w:r>
    </w:p>
    <w:p>
      <w:pPr>
        <w:pStyle w:val="Formatvorlage2"/>
        <w:numPr>
          <w:ilvl w:val="1"/>
          <w:numId w:val="17"/>
        </w:numPr>
        <w:ind w:hanging="0" w:start="0"/>
        <w:rPr/>
      </w:pPr>
      <w:bookmarkStart w:id="6" w:name="__RefHeading___Toc157772950"/>
      <w:bookmarkEnd w:id="6"/>
      <w:r>
        <w:rPr/>
        <w:t>Resolve Exceptions</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Present to GlobalPharma resolution authorities for invoice exceptions in accordance with GlobalPharma policy guidelines.</w:t>
      </w:r>
    </w:p>
    <w:p>
      <w:pPr>
        <w:pStyle w:val="Heading3"/>
        <w:numPr>
          <w:ilvl w:val="2"/>
          <w:numId w:val="17"/>
        </w:numPr>
        <w:rPr>
          <w:lang w:val="en-GB"/>
        </w:rPr>
      </w:pPr>
      <w:r>
        <w:rPr>
          <w:lang w:val="en-GB"/>
        </w:rPr>
        <w:t>Perform root cause analysis in order to reduce blocked invoices.</w:t>
      </w:r>
    </w:p>
    <w:p>
      <w:pPr>
        <w:pStyle w:val="Heading3"/>
        <w:numPr>
          <w:ilvl w:val="2"/>
          <w:numId w:val="17"/>
        </w:numPr>
        <w:rPr>
          <w:rFonts w:ascii="Arial" w:hAnsi="Arial" w:cs="Arial"/>
          <w:lang w:val="en-GB"/>
        </w:rPr>
      </w:pPr>
      <w:r>
        <w:rPr>
          <w:lang w:val="en-GB"/>
        </w:rPr>
        <w:t>Unblock invoices based on approval of GlobalPharma following the policies and procedures of GlobalPharma.</w:t>
      </w:r>
    </w:p>
    <w:p>
      <w:pPr>
        <w:pStyle w:val="Heading3"/>
        <w:numPr>
          <w:ilvl w:val="2"/>
          <w:numId w:val="17"/>
        </w:numPr>
        <w:rPr>
          <w:lang w:val="en-GB"/>
        </w:rPr>
      </w:pPr>
      <w:r>
        <w:rPr>
          <w:lang w:val="en-GB"/>
        </w:rPr>
        <w:t>Research, resolve, and correct EDI file and all other electronic payment method exceptions.</w:t>
      </w:r>
    </w:p>
    <w:p>
      <w:pPr>
        <w:pStyle w:val="Heading3"/>
        <w:numPr>
          <w:ilvl w:val="2"/>
          <w:numId w:val="17"/>
        </w:numPr>
        <w:rPr/>
      </w:pPr>
      <w:r>
        <w:rPr>
          <w:lang w:val="en-GB"/>
        </w:rPr>
        <w:t>Work with GlobalPharma third-party payment processor if required (e.g. could be a utility transaction processor) to resolve exception items. Perform exception resolution on invoices and payments.</w:t>
      </w:r>
      <w:r>
        <w:rPr/>
      </w:r>
    </w:p>
    <w:p>
      <w:pPr>
        <w:pStyle w:val="Heading3"/>
        <w:numPr>
          <w:ilvl w:val="2"/>
          <w:numId w:val="17"/>
        </w:numPr>
        <w:rPr>
          <w:rFonts w:ascii="Arial" w:hAnsi="Arial" w:cs="Arial"/>
          <w:lang w:val="en-GB"/>
        </w:rPr>
      </w:pPr>
      <w:r>
        <w:rPr>
          <w:lang w:val="en-GB"/>
        </w:rPr>
        <w:t>Track all invoice and payment exceptions through resolution (including a list of exceptions, root cause analysis and stage of resolution) according to policies and procedures.</w:t>
      </w:r>
    </w:p>
    <w:p>
      <w:pPr>
        <w:pStyle w:val="Formatvorlage2"/>
        <w:numPr>
          <w:ilvl w:val="1"/>
          <w:numId w:val="17"/>
        </w:numPr>
        <w:ind w:hanging="0" w:start="0"/>
        <w:rPr/>
      </w:pPr>
      <w:bookmarkStart w:id="7" w:name="__RefHeading___Toc157772951"/>
      <w:bookmarkEnd w:id="7"/>
      <w:r>
        <w:rPr/>
        <w:t>Process Payments (Disbursements)</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Perform pre-disbursement review as required by GlobalPharma policy guidelines (audit of processed documents).</w:t>
      </w:r>
    </w:p>
    <w:p>
      <w:pPr>
        <w:pStyle w:val="Heading3"/>
        <w:numPr>
          <w:ilvl w:val="2"/>
          <w:numId w:val="17"/>
        </w:numPr>
        <w:rPr>
          <w:lang w:val="en-GB"/>
        </w:rPr>
      </w:pPr>
      <w:r>
        <w:rPr>
          <w:lang w:val="en-GB"/>
        </w:rPr>
        <w:t xml:space="preserve">Perform payment runs including checks, printing payment advice and provide EFT (electronic funds transfer) Payments for approval by GlobalPharma according to policies and procedures of GlobalPharma. </w:t>
      </w:r>
    </w:p>
    <w:p>
      <w:pPr>
        <w:pStyle w:val="Heading4"/>
        <w:numPr>
          <w:ilvl w:val="3"/>
          <w:numId w:val="17"/>
        </w:numPr>
        <w:rPr>
          <w:lang w:val="en-GB"/>
        </w:rPr>
      </w:pPr>
      <w:r>
        <w:rPr>
          <w:lang w:val="en-GB"/>
        </w:rPr>
        <w:t>Italy: No checks. Process overnight wire transfer for documents other than invoices (payments orders)</w:t>
      </w:r>
    </w:p>
    <w:p>
      <w:pPr>
        <w:pStyle w:val="Heading4"/>
        <w:numPr>
          <w:ilvl w:val="3"/>
          <w:numId w:val="17"/>
        </w:numPr>
        <w:rPr>
          <w:rFonts w:ascii="Arial" w:hAnsi="Arial" w:cs="Arial"/>
          <w:lang w:val="en-GB"/>
        </w:rPr>
      </w:pPr>
      <w:r>
        <w:rPr>
          <w:lang w:val="en-GB"/>
        </w:rPr>
        <w:t>Germany (Wehr), Zurich, UK, Spain: Manage process to request the check to be print and mailed, including requests for immediate cheques/payments and special handling (i.e., overnight requirements, return to vendor/field etc.).</w:t>
      </w:r>
    </w:p>
    <w:p>
      <w:pPr>
        <w:pStyle w:val="Heading3"/>
        <w:numPr>
          <w:ilvl w:val="2"/>
          <w:numId w:val="17"/>
        </w:numPr>
        <w:rPr/>
      </w:pPr>
      <w:r>
        <w:rPr/>
        <w:t>Implement Lean and Six Sigma management philosophies to reduce defects opportunity in the process, e.g. centralize Disbursements and vendor master from multi to single location for all markets.</w:t>
      </w:r>
    </w:p>
    <w:p>
      <w:pPr>
        <w:pStyle w:val="Heading3"/>
        <w:numPr>
          <w:ilvl w:val="2"/>
          <w:numId w:val="17"/>
        </w:numPr>
        <w:rPr>
          <w:rFonts w:ascii="Arial" w:hAnsi="Arial" w:cs="Arial"/>
          <w:lang w:val="en-GB"/>
        </w:rPr>
      </w:pPr>
      <w:r>
        <w:rPr>
          <w:lang w:val="en-GB"/>
        </w:rPr>
        <w:t>High-value transactions as defined by GlobalPharma policy are managed according to the process as defined within the authorized limits.</w:t>
      </w:r>
    </w:p>
    <w:p>
      <w:pPr>
        <w:pStyle w:val="Heading3"/>
        <w:numPr>
          <w:ilvl w:val="2"/>
          <w:numId w:val="17"/>
        </w:numPr>
        <w:rPr>
          <w:rFonts w:ascii="Arial" w:hAnsi="Arial" w:cs="Arial"/>
          <w:lang w:val="en-GB"/>
        </w:rPr>
      </w:pPr>
      <w:r>
        <w:rPr>
          <w:lang w:val="en-GB"/>
        </w:rPr>
        <w:t>Audit, track, and resolve duplicate payments in accordance with GlobalPharma policy guidelines.</w:t>
      </w:r>
    </w:p>
    <w:p>
      <w:pPr>
        <w:pStyle w:val="Heading3"/>
        <w:numPr>
          <w:ilvl w:val="2"/>
          <w:numId w:val="17"/>
        </w:numPr>
        <w:rPr>
          <w:lang w:val="en-GB"/>
        </w:rPr>
      </w:pPr>
      <w:r>
        <w:rPr>
          <w:lang w:val="en-GB"/>
        </w:rPr>
        <w:t>Manage all other disbursement-related activity, including returned and lost cheques, if identified.</w:t>
      </w:r>
    </w:p>
    <w:p>
      <w:pPr>
        <w:pStyle w:val="Heading3"/>
        <w:numPr>
          <w:ilvl w:val="2"/>
          <w:numId w:val="17"/>
        </w:numPr>
        <w:rPr>
          <w:lang w:val="en-GB"/>
        </w:rPr>
      </w:pPr>
      <w:r>
        <w:rPr/>
        <w:t>Prepare and send payment files (e.g. Automated Clearing House, ACH, in US) to GlobalPharma for approval if required by GlobalPharma. When payment files are correct (and approved) send those to GlobalPharma treasury to perform payment.</w:t>
      </w:r>
      <w:r>
        <w:rPr>
          <w:lang w:val="en-GB"/>
        </w:rPr>
      </w:r>
      <w:r>
        <w:rPr/>
      </w:r>
    </w:p>
    <w:p>
      <w:pPr>
        <w:pStyle w:val="Heading4"/>
        <w:numPr>
          <w:ilvl w:val="3"/>
          <w:numId w:val="17"/>
        </w:numPr>
        <w:rPr>
          <w:rFonts w:ascii="Arial" w:hAnsi="Arial" w:cs="Arial"/>
          <w:lang w:val="en-GB"/>
        </w:rPr>
      </w:pPr>
      <w:r>
        <w:rPr>
          <w:lang w:val="en-GB"/>
        </w:rPr>
        <w:t>Zurich: Out of scope.</w:t>
      </w:r>
    </w:p>
    <w:p>
      <w:pPr>
        <w:pStyle w:val="Heading3"/>
        <w:numPr>
          <w:ilvl w:val="2"/>
          <w:numId w:val="17"/>
        </w:numPr>
        <w:rPr>
          <w:lang w:val="en-GB"/>
        </w:rPr>
      </w:pPr>
      <w:r>
        <w:rPr>
          <w:lang w:val="en-GB"/>
        </w:rPr>
        <w:t>Input wire transfer transactions into AP sub-ledger.</w:t>
      </w:r>
    </w:p>
    <w:p>
      <w:pPr>
        <w:pStyle w:val="Heading4"/>
        <w:numPr>
          <w:ilvl w:val="3"/>
          <w:numId w:val="17"/>
        </w:numPr>
        <w:rPr>
          <w:rFonts w:ascii="Arial" w:hAnsi="Arial" w:cs="Arial"/>
          <w:lang w:val="en-GB"/>
        </w:rPr>
      </w:pPr>
      <w:r>
        <w:rPr>
          <w:lang w:val="en-GB"/>
        </w:rPr>
        <w:t>Zurich: Out of Scope</w:t>
      </w:r>
    </w:p>
    <w:p>
      <w:pPr>
        <w:pStyle w:val="Heading3"/>
        <w:numPr>
          <w:ilvl w:val="2"/>
          <w:numId w:val="17"/>
        </w:numPr>
        <w:rPr>
          <w:lang w:val="en-GB"/>
        </w:rPr>
      </w:pPr>
      <w:r>
        <w:rPr>
          <w:lang w:val="en-GB"/>
        </w:rPr>
        <w:t>Reconcile wire transfer activity.</w:t>
      </w:r>
    </w:p>
    <w:p>
      <w:pPr>
        <w:pStyle w:val="Heading4"/>
        <w:numPr>
          <w:ilvl w:val="3"/>
          <w:numId w:val="17"/>
        </w:numPr>
        <w:rPr>
          <w:lang w:val="en-GB"/>
        </w:rPr>
      </w:pPr>
      <w:r>
        <w:rPr>
          <w:lang w:val="en-GB"/>
        </w:rPr>
        <w:t>Zurich: Out of Scope</w:t>
      </w:r>
    </w:p>
    <w:p>
      <w:pPr>
        <w:pStyle w:val="Heading3"/>
        <w:numPr>
          <w:ilvl w:val="2"/>
          <w:numId w:val="17"/>
        </w:numPr>
        <w:rPr>
          <w:lang w:val="en-GB"/>
        </w:rPr>
      </w:pPr>
      <w:r>
        <w:rPr>
          <w:lang w:val="en-GB"/>
        </w:rPr>
        <w:t>Reconcile all payments and accounts as required by GlobalPharma.</w:t>
      </w:r>
    </w:p>
    <w:p>
      <w:pPr>
        <w:pStyle w:val="Heading3"/>
        <w:numPr>
          <w:ilvl w:val="2"/>
          <w:numId w:val="17"/>
        </w:numPr>
        <w:rPr>
          <w:rFonts w:ascii="Arial" w:hAnsi="Arial" w:cs="Arial"/>
          <w:lang w:val="en-GB"/>
        </w:rPr>
      </w:pPr>
      <w:r>
        <w:rPr>
          <w:lang w:val="en-GB"/>
        </w:rPr>
        <w:t>Maintain a schedule of unpaid items, debit balances and report items that should be adjusted to GlobalPharma.</w:t>
      </w:r>
    </w:p>
    <w:p>
      <w:pPr>
        <w:pStyle w:val="Formatvorlage2"/>
        <w:numPr>
          <w:ilvl w:val="1"/>
          <w:numId w:val="17"/>
        </w:numPr>
        <w:ind w:hanging="0" w:start="0"/>
        <w:rPr/>
      </w:pPr>
      <w:bookmarkStart w:id="8" w:name="__RefHeading___Toc157772952"/>
      <w:bookmarkEnd w:id="8"/>
      <w:r>
        <w:rPr/>
        <w:t>T&amp;E Batch Creation and Release</w:t>
      </w:r>
    </w:p>
    <w:p>
      <w:pPr>
        <w:pStyle w:val="Heading3"/>
        <w:numPr>
          <w:ilvl w:val="2"/>
          <w:numId w:val="17"/>
        </w:numPr>
        <w:rPr>
          <w:rFonts w:ascii="Arial" w:hAnsi="Arial" w:cs="Arial"/>
          <w:lang w:val="en-GB"/>
        </w:rPr>
      </w:pPr>
      <w:r>
        <w:rPr>
          <w:lang w:val="en-GB"/>
        </w:rPr>
        <w:t>Service Providers responsibilities include, but are not limited to the following:</w:t>
      </w:r>
    </w:p>
    <w:p>
      <w:pPr>
        <w:pStyle w:val="Heading3"/>
        <w:numPr>
          <w:ilvl w:val="2"/>
          <w:numId w:val="17"/>
        </w:numPr>
        <w:rPr>
          <w:lang w:val="en-GB"/>
        </w:rPr>
      </w:pPr>
      <w:r>
        <w:rPr>
          <w:lang w:val="en-GB"/>
        </w:rPr>
        <w:t>Settle T&amp;E employee reimbursement transactions.</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Stamp document with "Processed" notation and record date of processing.</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Prepare, analyze, review and approve balancing procedures for month end journal entry.</w:t>
      </w:r>
    </w:p>
    <w:p>
      <w:pPr>
        <w:pStyle w:val="Heading4"/>
        <w:numPr>
          <w:ilvl w:val="3"/>
          <w:numId w:val="17"/>
        </w:numPr>
        <w:rPr>
          <w:lang w:val="en-GB"/>
        </w:rPr>
      </w:pPr>
      <w:r>
        <w:rPr>
          <w:lang w:val="en-GB"/>
        </w:rPr>
        <w:t>US: Out of scope</w:t>
      </w:r>
      <w:r>
        <w:rPr/>
        <w:t>.</w:t>
      </w:r>
    </w:p>
    <w:p>
      <w:pPr>
        <w:pStyle w:val="Heading3"/>
        <w:numPr>
          <w:ilvl w:val="2"/>
          <w:numId w:val="17"/>
        </w:numPr>
        <w:rPr>
          <w:lang w:val="en-GB"/>
        </w:rPr>
      </w:pPr>
      <w:r>
        <w:rPr>
          <w:lang w:val="en-GB"/>
        </w:rPr>
        <w:t>Develop and process payment request to fund bank for corporate card payments.</w:t>
      </w:r>
    </w:p>
    <w:p>
      <w:pPr>
        <w:pStyle w:val="Heading4"/>
        <w:numPr>
          <w:ilvl w:val="3"/>
          <w:numId w:val="17"/>
        </w:numPr>
        <w:rPr>
          <w:lang w:val="en-GB"/>
        </w:rPr>
      </w:pPr>
      <w:r>
        <w:rPr>
          <w:lang w:val="en-GB"/>
        </w:rPr>
        <w:t>US: Out of scope</w:t>
      </w:r>
      <w:r>
        <w:rPr/>
        <w:t>.</w:t>
      </w:r>
    </w:p>
    <w:p>
      <w:pPr>
        <w:pStyle w:val="Heading3"/>
        <w:numPr>
          <w:ilvl w:val="2"/>
          <w:numId w:val="17"/>
        </w:numPr>
        <w:rPr>
          <w:rFonts w:ascii="Arial" w:hAnsi="Arial" w:cs="Arial"/>
          <w:lang w:val="en-GB"/>
        </w:rPr>
      </w:pPr>
      <w:r>
        <w:rPr>
          <w:lang w:val="en-GB"/>
        </w:rPr>
        <w:t>Prepare payment request to fund bank for corporate card payments</w:t>
      </w:r>
    </w:p>
    <w:p>
      <w:pPr>
        <w:pStyle w:val="Formatvorlage2"/>
        <w:numPr>
          <w:ilvl w:val="1"/>
          <w:numId w:val="17"/>
        </w:numPr>
        <w:ind w:hanging="0" w:start="0"/>
        <w:rPr/>
      </w:pPr>
      <w:bookmarkStart w:id="9" w:name="__RefHeading___Toc157772953"/>
      <w:bookmarkEnd w:id="9"/>
      <w:r>
        <w:rPr/>
        <w:t>T&amp;E EFT File Creation</w:t>
      </w:r>
    </w:p>
    <w:p>
      <w:pPr>
        <w:pStyle w:val="Heading3"/>
        <w:numPr>
          <w:ilvl w:val="2"/>
          <w:numId w:val="17"/>
        </w:numPr>
        <w:rPr>
          <w:rFonts w:ascii="Arial" w:hAnsi="Arial" w:cs="Arial"/>
          <w:lang w:val="en-GB"/>
        </w:rPr>
      </w:pPr>
      <w:r>
        <w:rPr>
          <w:lang w:val="en-GB"/>
        </w:rPr>
        <w:t>Service Providers responsibilities include, but are not limited to the following:</w:t>
      </w:r>
    </w:p>
    <w:p>
      <w:pPr>
        <w:pStyle w:val="Heading3"/>
        <w:numPr>
          <w:ilvl w:val="2"/>
          <w:numId w:val="17"/>
        </w:numPr>
        <w:rPr>
          <w:rFonts w:ascii="Arial" w:hAnsi="Arial" w:cs="Arial"/>
          <w:lang w:val="en-GB"/>
        </w:rPr>
      </w:pPr>
      <w:r>
        <w:rPr>
          <w:lang w:val="en-GB"/>
        </w:rPr>
        <w:t>Prepare payment request to fund bank for corporate card payments</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Develop the expense report reimbursement schedule.</w:t>
      </w:r>
    </w:p>
    <w:p>
      <w:pPr>
        <w:pStyle w:val="Heading3"/>
        <w:numPr>
          <w:ilvl w:val="2"/>
          <w:numId w:val="17"/>
        </w:numPr>
        <w:rPr>
          <w:rFonts w:ascii="Arial" w:hAnsi="Arial" w:cs="Arial"/>
          <w:sz w:val="22"/>
          <w:szCs w:val="24"/>
          <w:lang w:val="en-GB"/>
        </w:rPr>
      </w:pPr>
      <w:r>
        <w:rPr>
          <w:lang w:val="en-GB"/>
        </w:rPr>
        <w:t>Approve the expense report reimbursement schedule in accordance with GlobalPharma policy guidelines.</w:t>
      </w:r>
    </w:p>
    <w:p>
      <w:pPr>
        <w:pStyle w:val="Heading3"/>
        <w:numPr>
          <w:ilvl w:val="2"/>
          <w:numId w:val="17"/>
        </w:numPr>
        <w:rPr>
          <w:lang w:val="en-GB"/>
        </w:rPr>
      </w:pPr>
      <w:r>
        <w:rPr>
          <w:lang w:val="en-GB"/>
        </w:rPr>
        <w:t>Process credit card reimbursements to employees.</w:t>
      </w:r>
    </w:p>
    <w:p>
      <w:pPr>
        <w:pStyle w:val="Heading3"/>
        <w:numPr>
          <w:ilvl w:val="2"/>
          <w:numId w:val="17"/>
        </w:numPr>
        <w:rPr>
          <w:lang w:val="en-GB"/>
        </w:rPr>
      </w:pPr>
      <w:r>
        <w:rPr>
          <w:lang w:val="en-GB"/>
        </w:rPr>
        <w:t>Generate and distribute file to bank for posting to employees' accounts.</w:t>
      </w:r>
    </w:p>
    <w:p>
      <w:pPr>
        <w:pStyle w:val="Heading3"/>
        <w:numPr>
          <w:ilvl w:val="2"/>
          <w:numId w:val="17"/>
        </w:numPr>
        <w:rPr>
          <w:lang w:val="en-GB"/>
        </w:rPr>
      </w:pPr>
      <w:r>
        <w:rPr>
          <w:lang w:val="en-GB"/>
        </w:rPr>
        <w:t>Perform process to reimburse employees via direct deposit or manual checks.</w:t>
      </w:r>
    </w:p>
    <w:p>
      <w:pPr>
        <w:pStyle w:val="Heading3"/>
        <w:numPr>
          <w:ilvl w:val="2"/>
          <w:numId w:val="17"/>
        </w:numPr>
        <w:rPr>
          <w:lang w:val="en-GB"/>
        </w:rPr>
      </w:pPr>
      <w:r>
        <w:rPr>
          <w:lang w:val="en-GB"/>
        </w:rPr>
        <w:t>Generate and send detail file to bank for ACH and check processing after obtaining GlobalPharma approval.</w:t>
      </w:r>
    </w:p>
    <w:p>
      <w:pPr>
        <w:pStyle w:val="Heading3"/>
        <w:numPr>
          <w:ilvl w:val="2"/>
          <w:numId w:val="17"/>
        </w:numPr>
        <w:rPr>
          <w:rFonts w:ascii="Arial" w:hAnsi="Arial" w:cs="Arial"/>
          <w:lang w:val="en-GB"/>
        </w:rPr>
      </w:pPr>
      <w:r>
        <w:rPr>
          <w:lang w:val="en-GB"/>
        </w:rPr>
        <w:t>Approve payment files (electronically or manually) in accordance with GlobalPharma policy guidelines with involvement of GlobalPharma retained organization.</w:t>
      </w:r>
    </w:p>
    <w:p>
      <w:pPr>
        <w:pStyle w:val="Heading3"/>
        <w:numPr>
          <w:ilvl w:val="2"/>
          <w:numId w:val="17"/>
        </w:numPr>
        <w:rPr>
          <w:lang w:val="en-GB"/>
        </w:rPr>
      </w:pPr>
      <w:r>
        <w:rPr>
          <w:lang w:val="en-GB"/>
        </w:rPr>
        <w:t>Perform file confirmation procedures in accordance with GlobalPharma policy guidelines. (Control totals).</w:t>
      </w:r>
    </w:p>
    <w:p>
      <w:pPr>
        <w:pStyle w:val="Heading3"/>
        <w:numPr>
          <w:ilvl w:val="2"/>
          <w:numId w:val="17"/>
        </w:numPr>
        <w:rPr>
          <w:lang w:val="en-GB"/>
        </w:rPr>
      </w:pPr>
      <w:r>
        <w:rPr>
          <w:lang w:val="en-GB"/>
        </w:rPr>
        <w:t>For T&amp;E Check Printing &amp; Distribution/ACH or equivalent</w:t>
      </w:r>
    </w:p>
    <w:p>
      <w:pPr>
        <w:pStyle w:val="Heading4"/>
        <w:numPr>
          <w:ilvl w:val="3"/>
          <w:numId w:val="17"/>
        </w:numPr>
        <w:rPr>
          <w:lang w:val="en-GB"/>
        </w:rPr>
      </w:pPr>
      <w:r>
        <w:rPr>
          <w:lang w:val="en-GB"/>
        </w:rPr>
        <w:t>UK, US: Out of scope for T&amp;E</w:t>
      </w:r>
    </w:p>
    <w:p>
      <w:pPr>
        <w:pStyle w:val="Heading3"/>
        <w:numPr>
          <w:ilvl w:val="2"/>
          <w:numId w:val="17"/>
        </w:numPr>
        <w:rPr>
          <w:lang w:val="en-GB"/>
        </w:rPr>
      </w:pPr>
      <w:r>
        <w:rPr>
          <w:lang w:val="en-GB"/>
        </w:rPr>
        <w:t>Print and mail checks.</w:t>
      </w:r>
    </w:p>
    <w:p>
      <w:pPr>
        <w:pStyle w:val="Heading3"/>
        <w:numPr>
          <w:ilvl w:val="2"/>
          <w:numId w:val="17"/>
        </w:numPr>
        <w:rPr>
          <w:rFonts w:ascii="Arial" w:hAnsi="Arial" w:cs="Arial"/>
          <w:lang w:val="en-GB"/>
        </w:rPr>
      </w:pPr>
      <w:r>
        <w:rPr>
          <w:lang w:val="en-GB"/>
        </w:rPr>
        <w:t>Process all check requests in accordance with GlobalPharma Check Request and Expedited Payment Policies. Printing and mailing of checks resides with GlobalPharma.</w:t>
      </w:r>
    </w:p>
    <w:p>
      <w:pPr>
        <w:pStyle w:val="Heading3"/>
        <w:numPr>
          <w:ilvl w:val="2"/>
          <w:numId w:val="17"/>
        </w:numPr>
        <w:rPr>
          <w:lang w:val="en-GB"/>
        </w:rPr>
      </w:pPr>
      <w:r>
        <w:rPr>
          <w:lang w:val="en-GB"/>
        </w:rPr>
        <w:t>Process ACH payments.</w:t>
      </w:r>
    </w:p>
    <w:p>
      <w:pPr>
        <w:pStyle w:val="Heading3"/>
        <w:numPr>
          <w:ilvl w:val="2"/>
          <w:numId w:val="17"/>
        </w:numPr>
        <w:rPr>
          <w:rFonts w:ascii="Arial" w:hAnsi="Arial" w:cs="Arial"/>
          <w:lang w:val="en-GB"/>
        </w:rPr>
      </w:pPr>
      <w:r>
        <w:rPr>
          <w:lang w:val="en-GB"/>
        </w:rPr>
        <w:t>Processes void payments and returned checks.</w:t>
      </w:r>
    </w:p>
    <w:p>
      <w:pPr>
        <w:pStyle w:val="Heading3"/>
        <w:numPr>
          <w:ilvl w:val="2"/>
          <w:numId w:val="17"/>
        </w:numPr>
        <w:rPr>
          <w:lang w:val="en-GB"/>
        </w:rPr>
      </w:pPr>
      <w:r>
        <w:rPr>
          <w:lang w:val="en-GB"/>
        </w:rPr>
        <w:t>Perform stop payment processing.</w:t>
      </w:r>
    </w:p>
    <w:p>
      <w:pPr>
        <w:pStyle w:val="Heading3"/>
        <w:numPr>
          <w:ilvl w:val="2"/>
          <w:numId w:val="17"/>
        </w:numPr>
        <w:rPr>
          <w:lang w:val="en-GB"/>
        </w:rPr>
      </w:pPr>
      <w:r>
        <w:rPr>
          <w:lang w:val="en-GB"/>
        </w:rPr>
        <w:t>Analyze returned checks and re-issue or record correcting journal entry.</w:t>
      </w:r>
    </w:p>
    <w:p>
      <w:pPr>
        <w:pStyle w:val="Heading3"/>
        <w:numPr>
          <w:ilvl w:val="2"/>
          <w:numId w:val="17"/>
        </w:numPr>
        <w:rPr>
          <w:lang w:val="en-GB"/>
        </w:rPr>
      </w:pPr>
      <w:r>
        <w:rPr>
          <w:lang w:val="en-GB"/>
        </w:rPr>
        <w:t>Perform a monthly reconciliation of checks and other payments and accounts.</w:t>
      </w:r>
    </w:p>
    <w:p>
      <w:pPr>
        <w:pStyle w:val="Heading3"/>
        <w:numPr>
          <w:ilvl w:val="2"/>
          <w:numId w:val="17"/>
        </w:numPr>
        <w:rPr>
          <w:lang w:val="en-GB"/>
        </w:rPr>
      </w:pPr>
      <w:r>
        <w:rPr>
          <w:lang w:val="en-GB"/>
        </w:rPr>
        <w:t>Provide a list of un-cashed items to be written off in compliance with GlobalPharma policies</w:t>
      </w:r>
    </w:p>
    <w:p>
      <w:pPr>
        <w:pStyle w:val="Formatvorlage2"/>
        <w:numPr>
          <w:ilvl w:val="1"/>
          <w:numId w:val="17"/>
        </w:numPr>
        <w:ind w:hanging="0" w:start="0"/>
        <w:rPr/>
      </w:pPr>
      <w:bookmarkStart w:id="10" w:name="__RefHeading___Toc157772954"/>
      <w:bookmarkEnd w:id="10"/>
      <w:r>
        <w:rPr/>
        <w:t>Set up and Monitor Vendor Master File</w:t>
      </w:r>
    </w:p>
    <w:p>
      <w:pPr>
        <w:pStyle w:val="Heading3"/>
        <w:numPr>
          <w:ilvl w:val="2"/>
          <w:numId w:val="17"/>
        </w:numPr>
        <w:rPr>
          <w:rFonts w:ascii="Arial" w:hAnsi="Arial" w:cs="Arial"/>
          <w:lang w:val="en-GB"/>
        </w:rPr>
      </w:pPr>
      <w:r>
        <w:rPr>
          <w:lang w:val="en-GB"/>
        </w:rPr>
        <w:t>Service Providers responsibilities include, but are not limited to the following:</w:t>
      </w:r>
    </w:p>
    <w:p>
      <w:pPr>
        <w:pStyle w:val="Heading3"/>
        <w:numPr>
          <w:ilvl w:val="2"/>
          <w:numId w:val="17"/>
        </w:numPr>
        <w:rPr>
          <w:lang w:val="en-GB"/>
        </w:rPr>
      </w:pPr>
      <w:r>
        <w:rPr>
          <w:lang w:val="en-GB"/>
        </w:rPr>
        <w:t>Complete vendor set-up/change maintenance. Vendor master data will be sent to Service Provider via email. Independent Service Provider person will check – segregation of duty – and entered into SAP.</w:t>
      </w:r>
    </w:p>
    <w:p>
      <w:pPr>
        <w:pStyle w:val="Heading3"/>
        <w:numPr>
          <w:ilvl w:val="2"/>
          <w:numId w:val="17"/>
        </w:numPr>
        <w:rPr>
          <w:lang w:val="en-GB"/>
        </w:rPr>
      </w:pPr>
      <w:r>
        <w:rPr>
          <w:lang w:val="en-GB"/>
        </w:rPr>
        <w:t xml:space="preserve">Provide information necessary to client weekly vendor master audit. </w:t>
      </w:r>
    </w:p>
    <w:p>
      <w:pPr>
        <w:pStyle w:val="Heading4"/>
        <w:numPr>
          <w:ilvl w:val="3"/>
          <w:numId w:val="17"/>
        </w:numPr>
        <w:rPr>
          <w:lang w:val="en-GB"/>
        </w:rPr>
      </w:pPr>
      <w:r>
        <w:rPr>
          <w:lang w:val="en-GB"/>
        </w:rPr>
        <w:t xml:space="preserve">Germany (Wehr): Out of scope (This is performed per invoice as the invoices are entered and not as a separate function) </w:t>
      </w:r>
    </w:p>
    <w:p>
      <w:pPr>
        <w:pStyle w:val="Heading4"/>
        <w:numPr>
          <w:ilvl w:val="3"/>
          <w:numId w:val="17"/>
        </w:numPr>
        <w:rPr>
          <w:lang w:val="en-GB"/>
        </w:rPr>
      </w:pPr>
      <w:r>
        <w:rPr>
          <w:lang w:val="en-GB"/>
        </w:rPr>
        <w:t>Italy: Out of scope</w:t>
      </w:r>
    </w:p>
    <w:p>
      <w:pPr>
        <w:pStyle w:val="Heading4"/>
        <w:numPr>
          <w:ilvl w:val="3"/>
          <w:numId w:val="17"/>
        </w:numPr>
        <w:rPr>
          <w:lang w:val="en-GB"/>
        </w:rPr>
      </w:pPr>
      <w:r>
        <w:rPr>
          <w:lang w:val="en-GB"/>
        </w:rPr>
        <w:t>US: Out of scope. Annual vendor scrub (Currently performed by external company (Moody).</w:t>
      </w:r>
    </w:p>
    <w:p>
      <w:pPr>
        <w:pStyle w:val="Heading3"/>
        <w:numPr>
          <w:ilvl w:val="2"/>
          <w:numId w:val="17"/>
        </w:numPr>
        <w:rPr/>
      </w:pPr>
      <w:r>
        <w:rPr>
          <w:lang w:val="en-GB"/>
        </w:rPr>
        <w:t>Provide support for issues involving vendor liens and/or other legal issues.</w:t>
      </w:r>
    </w:p>
    <w:p>
      <w:pPr>
        <w:pStyle w:val="Formatvorlage2"/>
        <w:numPr>
          <w:ilvl w:val="1"/>
          <w:numId w:val="17"/>
        </w:numPr>
        <w:ind w:hanging="0" w:start="0"/>
        <w:rPr/>
      </w:pPr>
      <w:bookmarkStart w:id="11" w:name="__RefHeading___Toc157772955"/>
      <w:bookmarkEnd w:id="11"/>
      <w:r>
        <w:rPr/>
        <w:t>Inquiries</w:t>
      </w:r>
    </w:p>
    <w:p>
      <w:pPr>
        <w:pStyle w:val="Heading3"/>
        <w:numPr>
          <w:ilvl w:val="2"/>
          <w:numId w:val="17"/>
        </w:numPr>
        <w:rPr/>
      </w:pPr>
      <w:r>
        <w:rPr/>
        <w:t>Service Providers responsibilities include, but are not limited to, the following:</w:t>
      </w:r>
    </w:p>
    <w:p>
      <w:pPr>
        <w:pStyle w:val="Heading3"/>
        <w:numPr>
          <w:ilvl w:val="2"/>
          <w:numId w:val="17"/>
        </w:numPr>
        <w:rPr/>
      </w:pPr>
      <w:r>
        <w:rPr/>
        <w:t>Receive, track, research, and resolve enquiries (internal and vendor).</w:t>
      </w:r>
    </w:p>
    <w:p>
      <w:pPr>
        <w:pStyle w:val="Heading4"/>
        <w:numPr>
          <w:ilvl w:val="3"/>
          <w:numId w:val="17"/>
        </w:numPr>
        <w:rPr>
          <w:lang w:val="en-GB"/>
        </w:rPr>
      </w:pPr>
      <w:r>
        <w:rPr>
          <w:lang w:val="en-GB"/>
        </w:rPr>
        <w:t>Spain: Vendor inquiries out of scope.</w:t>
      </w:r>
    </w:p>
    <w:p>
      <w:pPr>
        <w:pStyle w:val="Heading4"/>
        <w:numPr>
          <w:ilvl w:val="3"/>
          <w:numId w:val="17"/>
        </w:numPr>
        <w:rPr>
          <w:lang w:val="en-GB"/>
        </w:rPr>
      </w:pPr>
      <w:r>
        <w:rPr>
          <w:lang w:val="en-GB"/>
        </w:rPr>
        <w:t>US: In scope for 1</w:t>
      </w:r>
      <w:r>
        <w:rPr>
          <w:vertAlign w:val="superscript"/>
          <w:lang w:val="en-GB"/>
        </w:rPr>
        <w:t>st</w:t>
      </w:r>
      <w:r>
        <w:rPr>
          <w:lang w:val="en-GB"/>
        </w:rPr>
        <w:t xml:space="preserve"> tier, out of scope for 2</w:t>
      </w:r>
      <w:r>
        <w:rPr>
          <w:vertAlign w:val="superscript"/>
          <w:lang w:val="en-GB"/>
        </w:rPr>
        <w:t>nd</w:t>
      </w:r>
      <w:r>
        <w:rPr>
          <w:lang w:val="en-GB"/>
        </w:rPr>
        <w:t xml:space="preserve"> tier (face to face vendor support)</w:t>
      </w:r>
    </w:p>
    <w:p>
      <w:pPr>
        <w:pStyle w:val="Heading3"/>
        <w:numPr>
          <w:ilvl w:val="2"/>
          <w:numId w:val="17"/>
        </w:numPr>
        <w:rPr>
          <w:lang w:val="en-GB"/>
        </w:rPr>
      </w:pPr>
      <w:r>
        <w:rPr>
          <w:lang w:val="en-GB"/>
        </w:rPr>
        <w:t>Track escalated enquiries through resolution based upon GlobalPharma policies and procedures</w:t>
      </w:r>
    </w:p>
    <w:p>
      <w:pPr>
        <w:pStyle w:val="Heading4"/>
        <w:numPr>
          <w:ilvl w:val="3"/>
          <w:numId w:val="17"/>
        </w:numPr>
        <w:rPr>
          <w:lang w:val="en-GB"/>
        </w:rPr>
      </w:pPr>
      <w:r>
        <w:rPr>
          <w:lang w:val="en-GB"/>
        </w:rPr>
        <w:t>Spain: Vendor inquiries out of scope.</w:t>
      </w:r>
    </w:p>
    <w:p>
      <w:pPr>
        <w:pStyle w:val="Heading4"/>
        <w:numPr>
          <w:ilvl w:val="3"/>
          <w:numId w:val="17"/>
        </w:numPr>
        <w:rPr>
          <w:lang w:val="en-GB"/>
        </w:rPr>
      </w:pPr>
      <w:r>
        <w:rPr>
          <w:lang w:val="en-GB"/>
        </w:rPr>
        <w:t>US: In scope for 1</w:t>
      </w:r>
      <w:r>
        <w:rPr>
          <w:vertAlign w:val="superscript"/>
          <w:lang w:val="en-GB"/>
        </w:rPr>
        <w:t>st</w:t>
      </w:r>
      <w:r>
        <w:rPr>
          <w:lang w:val="en-GB"/>
        </w:rPr>
        <w:t xml:space="preserve"> tier, out of scope for 2</w:t>
      </w:r>
      <w:r>
        <w:rPr>
          <w:vertAlign w:val="superscript"/>
          <w:lang w:val="en-GB"/>
        </w:rPr>
        <w:t>nd</w:t>
      </w:r>
      <w:r>
        <w:rPr>
          <w:lang w:val="en-GB"/>
        </w:rPr>
        <w:t xml:space="preserve"> tier (face to face vendor support)</w:t>
      </w:r>
    </w:p>
    <w:p>
      <w:pPr>
        <w:pStyle w:val="Heading3"/>
        <w:numPr>
          <w:ilvl w:val="2"/>
          <w:numId w:val="17"/>
        </w:numPr>
        <w:rPr>
          <w:lang w:val="en-GB"/>
        </w:rPr>
      </w:pPr>
      <w:r>
        <w:rPr>
          <w:lang w:val="en-GB"/>
        </w:rPr>
        <w:t>Provide inquiry tools and web based capabilities (tool name: “Clarify”).</w:t>
      </w:r>
    </w:p>
    <w:p>
      <w:pPr>
        <w:pStyle w:val="Heading4"/>
        <w:numPr>
          <w:ilvl w:val="3"/>
          <w:numId w:val="17"/>
        </w:numPr>
        <w:rPr>
          <w:lang w:val="en-GB"/>
        </w:rPr>
      </w:pPr>
      <w:r>
        <w:rPr>
          <w:lang w:val="en-GB"/>
        </w:rPr>
        <w:t>Spain: Vendor inquiries out of scope.</w:t>
      </w:r>
    </w:p>
    <w:p>
      <w:pPr>
        <w:pStyle w:val="Heading3"/>
        <w:numPr>
          <w:ilvl w:val="2"/>
          <w:numId w:val="17"/>
        </w:numPr>
        <w:rPr>
          <w:lang w:val="en-GB"/>
        </w:rPr>
      </w:pPr>
      <w:r>
        <w:rPr>
          <w:lang w:val="en-GB"/>
        </w:rPr>
        <w:t>Support GlobalPharma initiatives concerning inquiry tool utilization and process change.</w:t>
      </w:r>
    </w:p>
    <w:p>
      <w:pPr>
        <w:pStyle w:val="Heading3"/>
        <w:numPr>
          <w:ilvl w:val="2"/>
          <w:numId w:val="17"/>
        </w:numPr>
        <w:rPr>
          <w:lang w:val="en-GB"/>
        </w:rPr>
      </w:pPr>
      <w:r>
        <w:rPr>
          <w:lang w:val="en-GB"/>
        </w:rPr>
        <w:t>Support Help desk enquiries, including but not limited to tracking, reporting, analysis etc.</w:t>
      </w:r>
    </w:p>
    <w:p>
      <w:pPr>
        <w:pStyle w:val="Formatvorlage2"/>
        <w:numPr>
          <w:ilvl w:val="1"/>
          <w:numId w:val="17"/>
        </w:numPr>
        <w:ind w:hanging="0" w:start="0"/>
        <w:rPr/>
      </w:pPr>
      <w:bookmarkStart w:id="12" w:name="__RefHeading___Toc157772956"/>
      <w:r>
        <w:rPr/>
        <w:t>United States Internal/External Reporting</w:t>
      </w:r>
      <w:bookmarkEnd w:id="12"/>
      <w:r>
        <w:rPr/>
        <w:t xml:space="preserve"> </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rFonts w:ascii="Arial" w:hAnsi="Arial" w:cs="Arial"/>
          <w:lang w:val="en-GB"/>
        </w:rPr>
      </w:pPr>
      <w:r>
        <w:rPr>
          <w:lang w:val="en-GB"/>
        </w:rPr>
        <w:t>United States Governmental reporting requirements</w:t>
      </w:r>
    </w:p>
    <w:p>
      <w:pPr>
        <w:pStyle w:val="Heading3"/>
        <w:numPr>
          <w:ilvl w:val="2"/>
          <w:numId w:val="17"/>
        </w:numPr>
        <w:rPr>
          <w:lang w:val="en-GB"/>
        </w:rPr>
      </w:pPr>
      <w:r>
        <w:rPr>
          <w:lang w:val="en-GB"/>
        </w:rPr>
        <w:t>Identify, update, and maintain W8 (US Tax form) vendors.</w:t>
      </w:r>
    </w:p>
    <w:p>
      <w:pPr>
        <w:pStyle w:val="Heading3"/>
        <w:numPr>
          <w:ilvl w:val="2"/>
          <w:numId w:val="17"/>
        </w:numPr>
        <w:rPr>
          <w:lang w:val="en-GB"/>
        </w:rPr>
      </w:pPr>
      <w:r>
        <w:rPr>
          <w:lang w:val="en-GB"/>
        </w:rPr>
        <w:t>Identify and update 1099 reportable vendors.</w:t>
      </w:r>
    </w:p>
    <w:p>
      <w:pPr>
        <w:pStyle w:val="Heading3"/>
        <w:numPr>
          <w:ilvl w:val="2"/>
          <w:numId w:val="17"/>
        </w:numPr>
        <w:rPr>
          <w:lang w:val="en-GB"/>
        </w:rPr>
      </w:pPr>
      <w:r>
        <w:rPr>
          <w:lang w:val="en-GB"/>
        </w:rPr>
        <w:t>Maintain and perform annual 1099 reporting accurately and promptly.</w:t>
      </w:r>
    </w:p>
    <w:p>
      <w:pPr>
        <w:pStyle w:val="Heading3"/>
        <w:numPr>
          <w:ilvl w:val="2"/>
          <w:numId w:val="17"/>
        </w:numPr>
        <w:rPr>
          <w:rFonts w:ascii="Arial" w:hAnsi="Arial" w:cs="Arial"/>
          <w:lang w:val="en-GB"/>
        </w:rPr>
      </w:pPr>
      <w:r>
        <w:rPr>
          <w:lang w:val="en-GB"/>
        </w:rPr>
        <w:t>Provide GlobalPharma with annual 1099 reports for review prior to mailing.</w:t>
      </w:r>
    </w:p>
    <w:p>
      <w:pPr>
        <w:pStyle w:val="Heading3"/>
        <w:numPr>
          <w:ilvl w:val="2"/>
          <w:numId w:val="17"/>
        </w:numPr>
        <w:rPr>
          <w:rFonts w:ascii="Arial" w:hAnsi="Arial" w:cs="Arial"/>
          <w:lang w:val="en-GB"/>
        </w:rPr>
      </w:pPr>
      <w:r>
        <w:rPr>
          <w:lang w:val="en-GB"/>
        </w:rPr>
        <w:t>Perform 1099 exception processing.</w:t>
      </w:r>
    </w:p>
    <w:p>
      <w:pPr>
        <w:pStyle w:val="Formatvorlage1"/>
        <w:numPr>
          <w:ilvl w:val="0"/>
          <w:numId w:val="17"/>
        </w:numPr>
        <w:ind w:hanging="0" w:start="0"/>
        <w:rPr/>
      </w:pPr>
      <w:bookmarkStart w:id="13" w:name="__RefHeading___Toc157772957"/>
      <w:bookmarkEnd w:id="13"/>
      <w:r>
        <w:rPr/>
        <w:t>AP – OTHER PROCESSING</w:t>
      </w:r>
    </w:p>
    <w:p>
      <w:pPr>
        <w:pStyle w:val="Formatvorlage2"/>
        <w:numPr>
          <w:ilvl w:val="1"/>
          <w:numId w:val="17"/>
        </w:numPr>
        <w:ind w:hanging="0" w:start="0"/>
        <w:rPr/>
      </w:pPr>
      <w:bookmarkStart w:id="14" w:name="__RefHeading___Toc157772958"/>
      <w:bookmarkEnd w:id="14"/>
      <w:r>
        <w:rPr/>
        <w:t>Credit Card Reconciliations</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Import external credit card data and / or receive paper statements for manual input into the AP system, if required.</w:t>
      </w:r>
    </w:p>
    <w:p>
      <w:pPr>
        <w:pStyle w:val="Heading3"/>
        <w:numPr>
          <w:ilvl w:val="2"/>
          <w:numId w:val="17"/>
        </w:numPr>
        <w:rPr>
          <w:rFonts w:ascii="Arial" w:hAnsi="Arial" w:cs="Arial"/>
          <w:lang w:val="en-GB"/>
        </w:rPr>
      </w:pPr>
      <w:r>
        <w:rPr>
          <w:lang w:val="en-GB"/>
        </w:rPr>
        <w:t>Prepare credit card journal entries and correct journal entries as needed (e.g. credit card fees and over/short, credit card receivable).</w:t>
      </w:r>
    </w:p>
    <w:p>
      <w:pPr>
        <w:pStyle w:val="Heading3"/>
        <w:numPr>
          <w:ilvl w:val="2"/>
          <w:numId w:val="17"/>
        </w:numPr>
        <w:rPr>
          <w:lang w:val="en-GB"/>
        </w:rPr>
      </w:pPr>
      <w:r>
        <w:rPr>
          <w:lang w:val="en-GB"/>
        </w:rPr>
        <w:t>Prepare credit card expense analysis in accordance with GlobalPharma policy guidelines.</w:t>
      </w:r>
    </w:p>
    <w:p>
      <w:pPr>
        <w:pStyle w:val="Heading3"/>
        <w:numPr>
          <w:ilvl w:val="2"/>
          <w:numId w:val="17"/>
        </w:numPr>
        <w:rPr>
          <w:lang w:val="en-GB"/>
        </w:rPr>
      </w:pPr>
      <w:r>
        <w:rPr>
          <w:lang w:val="en-GB"/>
        </w:rPr>
        <w:t>Prepare monthly reconciliation of credit card receivable accounts.</w:t>
      </w:r>
    </w:p>
    <w:p>
      <w:pPr>
        <w:pStyle w:val="Heading3"/>
        <w:numPr>
          <w:ilvl w:val="2"/>
          <w:numId w:val="17"/>
        </w:numPr>
        <w:rPr>
          <w:lang w:val="en-GB"/>
        </w:rPr>
      </w:pPr>
      <w:r>
        <w:rPr>
          <w:lang w:val="en-GB"/>
        </w:rPr>
        <w:t xml:space="preserve">Analyze and resolve variances in accordance with GlobalPharma policy guidelines. </w:t>
      </w:r>
    </w:p>
    <w:p>
      <w:pPr>
        <w:pStyle w:val="Heading3"/>
        <w:numPr>
          <w:ilvl w:val="2"/>
          <w:numId w:val="17"/>
        </w:numPr>
        <w:rPr>
          <w:lang w:val="en-GB"/>
        </w:rPr>
      </w:pPr>
      <w:r>
        <w:rPr>
          <w:lang w:val="en-GB"/>
        </w:rPr>
        <w:t>Support GlobalPharma in any collection, legal, or other procedural matters, including the creation of documents or other materials as required.</w:t>
      </w:r>
    </w:p>
    <w:p>
      <w:pPr>
        <w:pStyle w:val="Formatvorlage2"/>
        <w:numPr>
          <w:ilvl w:val="1"/>
          <w:numId w:val="17"/>
        </w:numPr>
        <w:ind w:hanging="0" w:start="0"/>
        <w:rPr/>
      </w:pPr>
      <w:bookmarkStart w:id="15" w:name="__RefHeading___Toc157772959"/>
      <w:bookmarkEnd w:id="15"/>
      <w:r>
        <w:rPr/>
        <w:t>AP – Other</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pPr>
      <w:r>
        <w:rPr>
          <w:lang w:val="en-GB"/>
        </w:rPr>
        <w:t xml:space="preserve">Reconcile and distribute suspense account items in accordance with GlobalPharma policy guidelines. </w:t>
      </w:r>
    </w:p>
    <w:p>
      <w:pPr>
        <w:pStyle w:val="Heading4"/>
        <w:numPr>
          <w:ilvl w:val="3"/>
          <w:numId w:val="17"/>
        </w:numPr>
        <w:rPr/>
      </w:pPr>
      <w:r>
        <w:rPr/>
        <w:t>Germany, US: Out of scope</w:t>
      </w:r>
    </w:p>
    <w:p>
      <w:pPr>
        <w:pStyle w:val="Heading3"/>
        <w:numPr>
          <w:ilvl w:val="2"/>
          <w:numId w:val="17"/>
        </w:numPr>
        <w:rPr>
          <w:lang w:val="en-GB"/>
        </w:rPr>
      </w:pPr>
      <w:r>
        <w:rPr>
          <w:lang w:val="en-GB"/>
        </w:rPr>
        <w:t>Provide Web-Training (net- and audio meeting), e-learning and online- and voice help desk to vendors and GlobalPharma users on the use of Service Provider tools and processes for invoices and payments, including consolidation and bulk billing.</w:t>
      </w:r>
    </w:p>
    <w:p>
      <w:pPr>
        <w:pStyle w:val="Heading3"/>
        <w:numPr>
          <w:ilvl w:val="2"/>
          <w:numId w:val="17"/>
        </w:numPr>
        <w:rPr>
          <w:lang w:val="en-GB"/>
        </w:rPr>
      </w:pPr>
      <w:r>
        <w:rPr>
          <w:lang w:val="en-GB"/>
        </w:rPr>
        <w:t>Provide on-site training on a train-the trainer basis to GlobalPharma key users on the use of Service Provider tools and processes for invoices and payments, including consolidation and bulk billing.</w:t>
      </w:r>
    </w:p>
    <w:p>
      <w:pPr>
        <w:pStyle w:val="Heading3"/>
        <w:numPr>
          <w:ilvl w:val="2"/>
          <w:numId w:val="17"/>
        </w:numPr>
        <w:rPr>
          <w:lang w:val="en-GB"/>
        </w:rPr>
      </w:pPr>
      <w:r>
        <w:rPr>
          <w:lang w:val="en-GB"/>
        </w:rPr>
        <w:t>Deliver client training related to continuous improvement changes (excluding transformation projects) with regard to Service Provider’s scope and tools - directly between Service Provider and Service Providers or through GlobalPharma as agreed by GlobalPharma. GlobalPharma will support Service Provider in organising access to the Service Providers.</w:t>
      </w:r>
    </w:p>
    <w:p>
      <w:pPr>
        <w:pStyle w:val="Formatvorlage2"/>
        <w:numPr>
          <w:ilvl w:val="1"/>
          <w:numId w:val="17"/>
        </w:numPr>
        <w:ind w:hanging="0" w:start="0"/>
        <w:rPr/>
      </w:pPr>
      <w:bookmarkStart w:id="16" w:name="__RefHeading___Toc157772960"/>
      <w:bookmarkEnd w:id="16"/>
      <w:r>
        <w:rPr/>
        <w:t>AP System Table Maintenance</w:t>
      </w:r>
    </w:p>
    <w:p>
      <w:pPr>
        <w:pStyle w:val="Heading3"/>
        <w:numPr>
          <w:ilvl w:val="2"/>
          <w:numId w:val="17"/>
        </w:numPr>
        <w:rPr/>
      </w:pPr>
      <w:r>
        <w:rPr>
          <w:lang w:val="en-GB"/>
        </w:rPr>
        <w:t>Service Providers responsibilities include, but are not limited to, the following:</w:t>
      </w:r>
    </w:p>
    <w:p>
      <w:pPr>
        <w:pStyle w:val="Heading3"/>
        <w:numPr>
          <w:ilvl w:val="2"/>
          <w:numId w:val="17"/>
        </w:numPr>
        <w:rPr/>
      </w:pPr>
      <w:r>
        <w:rPr>
          <w:lang w:val="en-GB"/>
        </w:rPr>
        <w:t>Maintain</w:t>
      </w:r>
      <w:r>
        <w:rPr/>
        <w:t xml:space="preserve"> SAP system tables providing processing tolerances and guidelines for invoice processing, invoice match, EDI processing, print processing, etc.</w:t>
      </w:r>
    </w:p>
    <w:p>
      <w:pPr>
        <w:pStyle w:val="Heading4"/>
        <w:numPr>
          <w:ilvl w:val="3"/>
          <w:numId w:val="17"/>
        </w:numPr>
        <w:rPr>
          <w:lang w:val="en-GB"/>
        </w:rPr>
      </w:pPr>
      <w:r>
        <w:rPr/>
        <w:t>Zurich, Germany: Out of Scope</w:t>
      </w:r>
    </w:p>
    <w:p>
      <w:pPr>
        <w:pStyle w:val="Heading4"/>
        <w:numPr>
          <w:ilvl w:val="3"/>
          <w:numId w:val="17"/>
        </w:numPr>
        <w:rPr>
          <w:lang w:val="en-GB"/>
        </w:rPr>
      </w:pPr>
      <w:r>
        <w:rPr>
          <w:lang w:val="en-GB"/>
        </w:rPr>
        <w:t>US: Out of scope. Currently outsourced to Infosys. The Service Provider may be asked by GlobalPharma to assess whether it is more beneficial to change this set up and move it to the Service Provider (mutual agreed on a cost/benefit case prepared by Service Provider).</w:t>
      </w:r>
    </w:p>
    <w:p>
      <w:pPr>
        <w:pStyle w:val="Heading3"/>
        <w:numPr>
          <w:ilvl w:val="2"/>
          <w:numId w:val="17"/>
        </w:numPr>
        <w:rPr>
          <w:lang w:val="en-GB"/>
        </w:rPr>
      </w:pPr>
      <w:r>
        <w:rPr>
          <w:lang w:val="en-GB"/>
        </w:rPr>
        <w:t>Split the maintenance of AP system tables and the actional transaction processing.</w:t>
      </w:r>
    </w:p>
    <w:p>
      <w:pPr>
        <w:pStyle w:val="Heading3"/>
        <w:numPr>
          <w:ilvl w:val="2"/>
          <w:numId w:val="17"/>
        </w:numPr>
        <w:rPr>
          <w:lang w:val="en-GB"/>
        </w:rPr>
      </w:pPr>
      <w:r>
        <w:rPr/>
        <w:t>Identify currencies required to be added into the SAP System.</w:t>
      </w:r>
    </w:p>
    <w:p>
      <w:pPr>
        <w:pStyle w:val="Heading4"/>
        <w:numPr>
          <w:ilvl w:val="3"/>
          <w:numId w:val="17"/>
        </w:numPr>
        <w:rPr/>
      </w:pPr>
      <w:r>
        <w:rPr/>
        <w:t>Zurich, Germany: Out of Scope</w:t>
      </w:r>
    </w:p>
    <w:p>
      <w:pPr>
        <w:pStyle w:val="Formatvorlage2"/>
        <w:numPr>
          <w:ilvl w:val="1"/>
          <w:numId w:val="17"/>
        </w:numPr>
        <w:ind w:hanging="0" w:start="0"/>
        <w:rPr/>
      </w:pPr>
      <w:bookmarkStart w:id="17" w:name="__RefHeading___Toc157772961"/>
      <w:bookmarkEnd w:id="17"/>
      <w:r>
        <w:rPr/>
        <w:t>Signatory File Management</w:t>
      </w:r>
    </w:p>
    <w:p>
      <w:pPr>
        <w:pStyle w:val="Heading3"/>
        <w:numPr>
          <w:ilvl w:val="2"/>
          <w:numId w:val="17"/>
        </w:numPr>
        <w:rPr/>
      </w:pPr>
      <w:r>
        <w:rPr/>
        <w:t>Service Providers responsibilities include, but are not limited to, the following:</w:t>
      </w:r>
    </w:p>
    <w:p>
      <w:pPr>
        <w:pStyle w:val="Heading3"/>
        <w:numPr>
          <w:ilvl w:val="2"/>
          <w:numId w:val="17"/>
        </w:numPr>
        <w:rPr/>
      </w:pPr>
      <w:r>
        <w:rPr/>
        <w:t>Maintain signature authority program as defined by GlobalPharma.</w:t>
      </w:r>
    </w:p>
    <w:p>
      <w:pPr>
        <w:pStyle w:val="Heading4"/>
        <w:numPr>
          <w:ilvl w:val="3"/>
          <w:numId w:val="17"/>
        </w:numPr>
        <w:rPr>
          <w:rFonts w:ascii="Arial" w:hAnsi="Arial" w:cs="Arial"/>
          <w:lang w:val="en-GB"/>
        </w:rPr>
      </w:pPr>
      <w:r>
        <w:rPr>
          <w:lang w:val="en-GB"/>
        </w:rPr>
        <w:t>Germany, UK, Italy, Zurich: Out of Scope</w:t>
      </w:r>
    </w:p>
    <w:p>
      <w:pPr>
        <w:pStyle w:val="Heading3"/>
        <w:numPr>
          <w:ilvl w:val="2"/>
          <w:numId w:val="17"/>
        </w:numPr>
        <w:rPr>
          <w:lang w:val="en-GB"/>
        </w:rPr>
      </w:pPr>
      <w:r>
        <w:rPr/>
        <w:t>Update</w:t>
      </w:r>
      <w:r>
        <w:rPr>
          <w:lang w:val="en-GB"/>
        </w:rPr>
        <w:t xml:space="preserve"> and maintain signatory file</w:t>
      </w:r>
    </w:p>
    <w:p>
      <w:pPr>
        <w:pStyle w:val="Heading4"/>
        <w:numPr>
          <w:ilvl w:val="3"/>
          <w:numId w:val="17"/>
        </w:numPr>
        <w:rPr>
          <w:rFonts w:ascii="Arial" w:hAnsi="Arial" w:cs="Arial"/>
          <w:lang w:val="en-GB"/>
        </w:rPr>
      </w:pPr>
      <w:r>
        <w:rPr>
          <w:lang w:val="en-GB"/>
        </w:rPr>
        <w:t>Germany, UK, Italy, Zurich: Out of Scope</w:t>
      </w:r>
    </w:p>
    <w:p>
      <w:pPr>
        <w:pStyle w:val="Heading3"/>
        <w:numPr>
          <w:ilvl w:val="2"/>
          <w:numId w:val="17"/>
        </w:numPr>
        <w:rPr>
          <w:lang w:val="en-GB"/>
        </w:rPr>
      </w:pPr>
      <w:r>
        <w:rPr/>
        <w:t>Develop</w:t>
      </w:r>
      <w:r>
        <w:rPr>
          <w:lang w:val="en-GB"/>
        </w:rPr>
        <w:t xml:space="preserve"> schedules and perform monthly audit of signatory file additions, deletions, and changes</w:t>
      </w:r>
    </w:p>
    <w:p>
      <w:pPr>
        <w:pStyle w:val="Heading4"/>
        <w:numPr>
          <w:ilvl w:val="3"/>
          <w:numId w:val="17"/>
        </w:numPr>
        <w:rPr>
          <w:rFonts w:ascii="Arial" w:hAnsi="Arial" w:cs="Arial"/>
          <w:lang w:val="en-GB"/>
        </w:rPr>
      </w:pPr>
      <w:r>
        <w:rPr>
          <w:lang w:val="en-GB"/>
        </w:rPr>
        <w:t>Germany, UK, Italy, Zurich: Out of Scope</w:t>
      </w:r>
    </w:p>
    <w:p>
      <w:pPr>
        <w:pStyle w:val="Heading3"/>
        <w:numPr>
          <w:ilvl w:val="2"/>
          <w:numId w:val="17"/>
        </w:numPr>
        <w:rPr>
          <w:lang w:val="en-GB"/>
        </w:rPr>
      </w:pPr>
      <w:r>
        <w:rPr/>
        <w:t>Research</w:t>
      </w:r>
      <w:r>
        <w:rPr>
          <w:lang w:val="en-GB"/>
        </w:rPr>
        <w:t xml:space="preserve"> and resolve audit findings.</w:t>
      </w:r>
    </w:p>
    <w:p>
      <w:pPr>
        <w:pStyle w:val="Heading4"/>
        <w:numPr>
          <w:ilvl w:val="3"/>
          <w:numId w:val="17"/>
        </w:numPr>
        <w:rPr>
          <w:rFonts w:ascii="Arial" w:hAnsi="Arial" w:cs="Arial"/>
          <w:lang w:val="en-GB"/>
        </w:rPr>
      </w:pPr>
      <w:r>
        <w:rPr>
          <w:lang w:val="en-GB"/>
        </w:rPr>
        <w:t>Germany, UK, Italy, Zurich: Out of Scope</w:t>
      </w:r>
    </w:p>
    <w:p>
      <w:pPr>
        <w:pStyle w:val="Formatvorlage2"/>
        <w:numPr>
          <w:ilvl w:val="1"/>
          <w:numId w:val="17"/>
        </w:numPr>
        <w:ind w:hanging="0" w:start="0"/>
        <w:rPr/>
      </w:pPr>
      <w:r>
        <w:rPr>
          <w:rFonts w:eastAsia="Times New Roman Bold;Times New Roman" w:cs="Times New Roman Bold;Times New Roman"/>
        </w:rPr>
        <w:t xml:space="preserve"> </w:t>
      </w:r>
      <w:bookmarkStart w:id="18" w:name="__RefHeading___Toc157772962"/>
      <w:r>
        <w:rPr/>
        <w:t>“</w:t>
      </w:r>
      <w:r>
        <w:rPr/>
        <w:t>Goods Received Not Vouchered” (RNV) Balance Management</w:t>
      </w:r>
      <w:bookmarkEnd w:id="18"/>
    </w:p>
    <w:p>
      <w:pPr>
        <w:pStyle w:val="Heading3"/>
        <w:numPr>
          <w:ilvl w:val="2"/>
          <w:numId w:val="17"/>
        </w:numPr>
        <w:rPr>
          <w:lang w:val="en-GB"/>
        </w:rPr>
      </w:pPr>
      <w:r>
        <w:rPr>
          <w:lang w:val="en-GB"/>
        </w:rPr>
        <w:t>Service Providers responsibilities include, but are not limited to:</w:t>
      </w:r>
    </w:p>
    <w:p>
      <w:pPr>
        <w:pStyle w:val="Heading3"/>
        <w:numPr>
          <w:ilvl w:val="2"/>
          <w:numId w:val="17"/>
        </w:numPr>
        <w:rPr>
          <w:lang w:val="en-GB"/>
        </w:rPr>
      </w:pPr>
      <w:r>
        <w:rPr>
          <w:lang w:val="en-GB"/>
        </w:rPr>
        <w:t>Identify RNV items.</w:t>
      </w:r>
    </w:p>
    <w:p>
      <w:pPr>
        <w:pStyle w:val="Heading4"/>
        <w:numPr>
          <w:ilvl w:val="3"/>
          <w:numId w:val="17"/>
        </w:numPr>
        <w:rPr>
          <w:rFonts w:ascii="Arial" w:hAnsi="Arial" w:cs="Arial"/>
          <w:sz w:val="22"/>
          <w:szCs w:val="24"/>
          <w:lang w:val="en-GB"/>
        </w:rPr>
      </w:pPr>
      <w:r>
        <w:rPr>
          <w:lang w:val="en-GB"/>
        </w:rPr>
        <w:t>Germany, Zurich, US: Out of scope</w:t>
      </w:r>
    </w:p>
    <w:p>
      <w:pPr>
        <w:pStyle w:val="Heading3"/>
        <w:numPr>
          <w:ilvl w:val="2"/>
          <w:numId w:val="17"/>
        </w:numPr>
        <w:rPr>
          <w:lang w:val="en-GB"/>
        </w:rPr>
      </w:pPr>
      <w:r>
        <w:rPr>
          <w:lang w:val="en-GB"/>
        </w:rPr>
        <w:t>Generate aged RNV report.</w:t>
      </w:r>
    </w:p>
    <w:p>
      <w:pPr>
        <w:pStyle w:val="Heading4"/>
        <w:numPr>
          <w:ilvl w:val="3"/>
          <w:numId w:val="17"/>
        </w:numPr>
        <w:rPr>
          <w:rFonts w:ascii="Arial" w:hAnsi="Arial" w:cs="Arial"/>
          <w:sz w:val="22"/>
          <w:szCs w:val="24"/>
          <w:lang w:val="en-GB"/>
        </w:rPr>
      </w:pPr>
      <w:r>
        <w:rPr>
          <w:lang w:val="en-GB"/>
        </w:rPr>
        <w:t>Germany, Zurich, US: Out of scope</w:t>
      </w:r>
    </w:p>
    <w:p>
      <w:pPr>
        <w:pStyle w:val="Heading3"/>
        <w:numPr>
          <w:ilvl w:val="2"/>
          <w:numId w:val="17"/>
        </w:numPr>
        <w:rPr>
          <w:rFonts w:ascii="Arial" w:hAnsi="Arial" w:cs="Arial"/>
          <w:szCs w:val="24"/>
          <w:lang w:val="en-GB"/>
        </w:rPr>
      </w:pPr>
      <w:r>
        <w:rPr>
          <w:lang w:val="en-GB"/>
        </w:rPr>
        <w:t>Analyze and determine root cause of RNV items.</w:t>
      </w:r>
    </w:p>
    <w:p>
      <w:pPr>
        <w:pStyle w:val="Heading4"/>
        <w:numPr>
          <w:ilvl w:val="3"/>
          <w:numId w:val="17"/>
        </w:numPr>
        <w:rPr>
          <w:rFonts w:ascii="Arial" w:hAnsi="Arial" w:cs="Arial"/>
          <w:sz w:val="22"/>
          <w:szCs w:val="24"/>
          <w:lang w:val="en-GB"/>
        </w:rPr>
      </w:pPr>
      <w:r>
        <w:rPr>
          <w:lang w:val="en-GB"/>
        </w:rPr>
        <w:t>Germany, Zurich, US: Out of scope</w:t>
      </w:r>
    </w:p>
    <w:p>
      <w:pPr>
        <w:pStyle w:val="Heading3"/>
        <w:numPr>
          <w:ilvl w:val="2"/>
          <w:numId w:val="17"/>
        </w:numPr>
        <w:rPr>
          <w:lang w:val="en-GB"/>
        </w:rPr>
      </w:pPr>
      <w:r>
        <w:rPr>
          <w:lang w:val="en-GB"/>
        </w:rPr>
        <w:t>Resolve RNV items.</w:t>
      </w:r>
    </w:p>
    <w:p>
      <w:pPr>
        <w:pStyle w:val="Heading4"/>
        <w:numPr>
          <w:ilvl w:val="3"/>
          <w:numId w:val="17"/>
        </w:numPr>
        <w:rPr>
          <w:rFonts w:ascii="Arial" w:hAnsi="Arial" w:cs="Arial"/>
          <w:sz w:val="22"/>
          <w:szCs w:val="24"/>
          <w:lang w:val="en-GB"/>
        </w:rPr>
      </w:pPr>
      <w:r>
        <w:rPr>
          <w:lang w:val="en-GB"/>
        </w:rPr>
        <w:t>Germany, Zurich, US: Out of scope</w:t>
      </w:r>
    </w:p>
    <w:p>
      <w:pPr>
        <w:pStyle w:val="Formatvorlage2"/>
        <w:numPr>
          <w:ilvl w:val="1"/>
          <w:numId w:val="17"/>
        </w:numPr>
        <w:ind w:hanging="0" w:start="0"/>
        <w:rPr/>
      </w:pPr>
      <w:bookmarkStart w:id="19" w:name="__RefHeading___Toc157772963"/>
      <w:bookmarkEnd w:id="19"/>
      <w:r>
        <w:rPr/>
        <w:t>Debit Balances Management</w:t>
      </w:r>
    </w:p>
    <w:p>
      <w:pPr>
        <w:pStyle w:val="Heading3"/>
        <w:numPr>
          <w:ilvl w:val="2"/>
          <w:numId w:val="17"/>
        </w:numPr>
        <w:rPr>
          <w:lang w:val="en-GB"/>
        </w:rPr>
      </w:pPr>
      <w:r>
        <w:rPr>
          <w:lang w:val="en-GB"/>
        </w:rPr>
        <w:t>Service Providers responsibilities include, but are not limited to:</w:t>
      </w:r>
    </w:p>
    <w:p>
      <w:pPr>
        <w:pStyle w:val="Heading3"/>
        <w:numPr>
          <w:ilvl w:val="2"/>
          <w:numId w:val="17"/>
        </w:numPr>
        <w:rPr>
          <w:lang w:val="en-GB"/>
        </w:rPr>
      </w:pPr>
      <w:r>
        <w:rPr>
          <w:lang w:val="en-GB"/>
        </w:rPr>
        <w:t>Identify debit balances by vendor and purchase order in accordance with GlobalPharma procedures for debit balances.</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Collect debit balances in accordance with GlobalPharma policy guidelines.</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Prepare source documentation for GlobalPharma legal review.</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Research and resolve issues and enquiries regarding collection payments.</w:t>
      </w:r>
    </w:p>
    <w:p>
      <w:pPr>
        <w:pStyle w:val="Heading4"/>
        <w:numPr>
          <w:ilvl w:val="3"/>
          <w:numId w:val="17"/>
        </w:numPr>
        <w:rPr>
          <w:b/>
          <w:lang w:val="en-GB"/>
        </w:rPr>
      </w:pPr>
      <w:r>
        <w:rPr>
          <w:lang w:val="en-GB"/>
        </w:rPr>
        <w:t>US: Out of Scope</w:t>
      </w:r>
    </w:p>
    <w:p>
      <w:pPr>
        <w:pStyle w:val="Heading3"/>
        <w:numPr>
          <w:ilvl w:val="2"/>
          <w:numId w:val="17"/>
        </w:numPr>
        <w:rPr>
          <w:lang w:val="en-GB"/>
        </w:rPr>
      </w:pPr>
      <w:r>
        <w:rPr>
          <w:lang w:val="en-GB"/>
        </w:rPr>
        <w:t xml:space="preserve">Prepare and submit collection adjustments </w:t>
      </w:r>
    </w:p>
    <w:p>
      <w:pPr>
        <w:pStyle w:val="Heading4"/>
        <w:numPr>
          <w:ilvl w:val="3"/>
          <w:numId w:val="17"/>
        </w:numPr>
        <w:rPr>
          <w:lang w:val="en-GB"/>
        </w:rPr>
      </w:pPr>
      <w:r>
        <w:rPr>
          <w:lang w:val="en-GB"/>
        </w:rPr>
        <w:t>US, Zurich: Out of Scope</w:t>
      </w:r>
    </w:p>
    <w:p>
      <w:pPr>
        <w:pStyle w:val="Formatvorlage2"/>
        <w:numPr>
          <w:ilvl w:val="1"/>
          <w:numId w:val="17"/>
        </w:numPr>
        <w:ind w:hanging="0" w:start="0"/>
        <w:rPr/>
      </w:pPr>
      <w:bookmarkStart w:id="20" w:name="__RefHeading___Toc157772964"/>
      <w:r>
        <w:rPr/>
        <w:t>Statement Auditing</w:t>
      </w:r>
      <w:bookmarkEnd w:id="20"/>
      <w:r>
        <w:rPr/>
        <w:t xml:space="preserve"> </w:t>
      </w:r>
    </w:p>
    <w:p>
      <w:pPr>
        <w:pStyle w:val="Heading3"/>
        <w:numPr>
          <w:ilvl w:val="2"/>
          <w:numId w:val="17"/>
        </w:numPr>
        <w:rPr>
          <w:lang w:val="en-GB"/>
        </w:rPr>
      </w:pPr>
      <w:r>
        <w:rPr>
          <w:lang w:val="en-GB"/>
        </w:rPr>
        <w:t>Service Providers responsibilities include, but are not limited to:</w:t>
      </w:r>
    </w:p>
    <w:p>
      <w:pPr>
        <w:pStyle w:val="Heading3"/>
        <w:numPr>
          <w:ilvl w:val="2"/>
          <w:numId w:val="17"/>
        </w:numPr>
        <w:rPr>
          <w:lang w:val="en-GB"/>
        </w:rPr>
      </w:pPr>
      <w:r>
        <w:rPr>
          <w:lang w:val="en-GB"/>
        </w:rPr>
        <w:t xml:space="preserve">Request statements from vendors. </w:t>
      </w:r>
    </w:p>
    <w:p>
      <w:pPr>
        <w:pStyle w:val="Heading4"/>
        <w:numPr>
          <w:ilvl w:val="3"/>
          <w:numId w:val="17"/>
        </w:numPr>
        <w:rPr>
          <w:lang w:val="en-GB"/>
        </w:rPr>
      </w:pPr>
      <w:r>
        <w:rPr>
          <w:lang w:val="en-GB"/>
        </w:rPr>
        <w:t>Germany: Out of scope</w:t>
      </w:r>
    </w:p>
    <w:p>
      <w:pPr>
        <w:pStyle w:val="Heading4"/>
        <w:numPr>
          <w:ilvl w:val="3"/>
          <w:numId w:val="17"/>
        </w:numPr>
        <w:rPr>
          <w:lang w:val="en-GB"/>
        </w:rPr>
      </w:pPr>
      <w:r>
        <w:rPr>
          <w:lang w:val="en-GB"/>
        </w:rPr>
        <w:t>Spain: Medical Doctors to be excluded from process</w:t>
      </w:r>
    </w:p>
    <w:p>
      <w:pPr>
        <w:pStyle w:val="Heading3"/>
        <w:numPr>
          <w:ilvl w:val="2"/>
          <w:numId w:val="17"/>
        </w:numPr>
        <w:rPr>
          <w:lang w:val="en-GB"/>
        </w:rPr>
      </w:pPr>
      <w:r>
        <w:rPr>
          <w:lang w:val="en-GB"/>
        </w:rPr>
        <w:t>Research outstanding credits.</w:t>
      </w:r>
    </w:p>
    <w:p>
      <w:pPr>
        <w:pStyle w:val="Heading4"/>
        <w:numPr>
          <w:ilvl w:val="3"/>
          <w:numId w:val="17"/>
        </w:numPr>
        <w:rPr>
          <w:lang w:val="en-GB"/>
        </w:rPr>
      </w:pPr>
      <w:r>
        <w:rPr>
          <w:lang w:val="en-GB"/>
        </w:rPr>
        <w:t>Germany: Out of scope</w:t>
      </w:r>
    </w:p>
    <w:p>
      <w:pPr>
        <w:pStyle w:val="Heading4"/>
        <w:numPr>
          <w:ilvl w:val="3"/>
          <w:numId w:val="17"/>
        </w:numPr>
        <w:rPr>
          <w:lang w:val="en-GB"/>
        </w:rPr>
      </w:pPr>
      <w:r>
        <w:rPr>
          <w:lang w:val="en-GB"/>
        </w:rPr>
        <w:t>Spain: Medical Doctors to be excluded from process</w:t>
      </w:r>
    </w:p>
    <w:p>
      <w:pPr>
        <w:pStyle w:val="Heading3"/>
        <w:numPr>
          <w:ilvl w:val="2"/>
          <w:numId w:val="17"/>
        </w:numPr>
        <w:rPr>
          <w:lang w:val="en-GB"/>
        </w:rPr>
      </w:pPr>
      <w:r>
        <w:rPr>
          <w:lang w:val="en-GB"/>
        </w:rPr>
        <w:t>Perform reclamation procedures for outstanding credits.</w:t>
      </w:r>
    </w:p>
    <w:p>
      <w:pPr>
        <w:pStyle w:val="Heading4"/>
        <w:numPr>
          <w:ilvl w:val="3"/>
          <w:numId w:val="17"/>
        </w:numPr>
        <w:rPr>
          <w:lang w:val="en-GB"/>
        </w:rPr>
      </w:pPr>
      <w:r>
        <w:rPr>
          <w:lang w:val="en-GB"/>
        </w:rPr>
        <w:t>Germany, Italy: Out of scope</w:t>
      </w:r>
    </w:p>
    <w:p>
      <w:pPr>
        <w:pStyle w:val="Heading4"/>
        <w:numPr>
          <w:ilvl w:val="3"/>
          <w:numId w:val="17"/>
        </w:numPr>
        <w:rPr>
          <w:lang w:val="en-GB"/>
        </w:rPr>
      </w:pPr>
      <w:r>
        <w:rPr>
          <w:lang w:val="en-GB"/>
        </w:rPr>
        <w:t>Spain: Medical Doctors to be excluded from process</w:t>
      </w:r>
    </w:p>
    <w:p>
      <w:pPr>
        <w:pStyle w:val="Heading4"/>
        <w:numPr>
          <w:ilvl w:val="3"/>
          <w:numId w:val="17"/>
        </w:numPr>
        <w:rPr>
          <w:lang w:val="en-GB"/>
        </w:rPr>
      </w:pPr>
      <w:r>
        <w:rPr>
          <w:lang w:val="en-GB"/>
        </w:rPr>
        <w:t>US: Currently considered to be out of scope. Currently outsourced to 3rd party provider as part of the Duplicate Pay Audit. The Service Provider may be asked by GlobalPharma to assess whether it is more beneficial to change this set up and move it to the Service Provider (Mutual agreed on a cost/benefit case prepared by Service Provider)</w:t>
      </w:r>
      <w:r>
        <w:rPr>
          <w:vertAlign w:val="superscript"/>
          <w:lang w:val="en-GB"/>
        </w:rPr>
      </w:r>
      <w:r>
        <w:rPr>
          <w:lang w:val="en-GB"/>
        </w:rPr>
      </w:r>
    </w:p>
    <w:p>
      <w:pPr>
        <w:pStyle w:val="Formatvorlage2"/>
        <w:numPr>
          <w:ilvl w:val="1"/>
          <w:numId w:val="17"/>
        </w:numPr>
        <w:ind w:hanging="0" w:start="0"/>
        <w:rPr/>
      </w:pPr>
      <w:bookmarkStart w:id="21" w:name="__RefHeading___Toc157772965"/>
      <w:bookmarkEnd w:id="21"/>
      <w:r>
        <w:rPr/>
        <w:t>Accounts Payable Weekly Cash Forecast</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Prepare and distribute monthly cash forecast report in accordance with GlobalPharma policy guidelines.</w:t>
      </w:r>
    </w:p>
    <w:p>
      <w:pPr>
        <w:pStyle w:val="Heading4"/>
        <w:numPr>
          <w:ilvl w:val="3"/>
          <w:numId w:val="17"/>
        </w:numPr>
        <w:rPr>
          <w:lang w:val="en-GB"/>
        </w:rPr>
      </w:pPr>
      <w:r>
        <w:rPr>
          <w:lang w:val="en-GB"/>
        </w:rPr>
        <w:t>US: out of scope</w:t>
      </w:r>
    </w:p>
    <w:p>
      <w:pPr>
        <w:pStyle w:val="Formatvorlage2"/>
        <w:numPr>
          <w:ilvl w:val="1"/>
          <w:numId w:val="17"/>
        </w:numPr>
        <w:ind w:hanging="0" w:start="0"/>
        <w:rPr/>
      </w:pPr>
      <w:bookmarkStart w:id="22" w:name="__RefHeading___Toc157772966"/>
      <w:bookmarkEnd w:id="22"/>
      <w:r>
        <w:rPr/>
        <w:t>Document Distribution</w:t>
      </w:r>
    </w:p>
    <w:p>
      <w:pPr>
        <w:pStyle w:val="Heading3"/>
        <w:numPr>
          <w:ilvl w:val="2"/>
          <w:numId w:val="17"/>
        </w:numPr>
        <w:rPr>
          <w:lang w:val="en-GB"/>
        </w:rPr>
      </w:pPr>
      <w:r>
        <w:rPr>
          <w:lang w:val="en-GB"/>
        </w:rPr>
        <w:t>Service Provider’s responsibilities include, but are not limited to, the following:</w:t>
      </w:r>
    </w:p>
    <w:p>
      <w:pPr>
        <w:pStyle w:val="Heading3"/>
        <w:numPr>
          <w:ilvl w:val="2"/>
          <w:numId w:val="17"/>
        </w:numPr>
        <w:rPr>
          <w:lang w:val="en-GB"/>
        </w:rPr>
      </w:pPr>
      <w:r>
        <w:rPr>
          <w:lang w:val="en-GB"/>
        </w:rPr>
        <w:t>Open mail and sort it by country unit.</w:t>
      </w:r>
    </w:p>
    <w:p>
      <w:pPr>
        <w:pStyle w:val="Heading4"/>
        <w:numPr>
          <w:ilvl w:val="3"/>
          <w:numId w:val="17"/>
        </w:numPr>
        <w:rPr>
          <w:lang w:val="en-GB"/>
        </w:rPr>
      </w:pPr>
      <w:r>
        <w:rPr>
          <w:lang w:val="en-GB"/>
        </w:rPr>
        <w:t xml:space="preserve">US, Zurich: Out of scope </w:t>
      </w:r>
    </w:p>
    <w:p>
      <w:pPr>
        <w:pStyle w:val="Heading3"/>
        <w:numPr>
          <w:ilvl w:val="2"/>
          <w:numId w:val="17"/>
        </w:numPr>
        <w:rPr>
          <w:lang w:val="en-GB"/>
        </w:rPr>
      </w:pPr>
      <w:r>
        <w:rPr>
          <w:lang w:val="en-GB"/>
        </w:rPr>
        <w:t>Forward solicitor letters and legal communication to GlobalPharma’s legal department.</w:t>
      </w:r>
    </w:p>
    <w:p>
      <w:pPr>
        <w:pStyle w:val="Heading4"/>
        <w:numPr>
          <w:ilvl w:val="3"/>
          <w:numId w:val="17"/>
        </w:numPr>
        <w:rPr>
          <w:lang w:val="en-GB"/>
        </w:rPr>
      </w:pPr>
      <w:r>
        <w:rPr>
          <w:lang w:val="en-GB"/>
        </w:rPr>
        <w:t xml:space="preserve">US, Zurich: Out of scope </w:t>
      </w:r>
    </w:p>
    <w:p>
      <w:pPr>
        <w:pStyle w:val="Heading3"/>
        <w:numPr>
          <w:ilvl w:val="2"/>
          <w:numId w:val="17"/>
        </w:numPr>
        <w:rPr>
          <w:lang w:val="en-GB"/>
        </w:rPr>
      </w:pPr>
      <w:r>
        <w:rPr>
          <w:lang w:val="en-GB"/>
        </w:rPr>
        <w:t>Provide original documents to local legal authorities or GlobalPharma when requested or required by GlobalPharma.</w:t>
      </w:r>
    </w:p>
    <w:p>
      <w:pPr>
        <w:pStyle w:val="Heading4"/>
        <w:numPr>
          <w:ilvl w:val="3"/>
          <w:numId w:val="17"/>
        </w:numPr>
        <w:rPr>
          <w:lang w:val="en-GB"/>
        </w:rPr>
      </w:pPr>
      <w:r>
        <w:rPr>
          <w:lang w:val="en-GB"/>
        </w:rPr>
        <w:t xml:space="preserve">US, Zurich: Out of scope </w:t>
      </w:r>
    </w:p>
    <w:p>
      <w:pPr>
        <w:pStyle w:val="Heading3"/>
        <w:numPr>
          <w:ilvl w:val="2"/>
          <w:numId w:val="17"/>
        </w:numPr>
        <w:rPr>
          <w:lang w:val="en-GB"/>
        </w:rPr>
      </w:pPr>
      <w:r>
        <w:rPr>
          <w:lang w:val="en-GB"/>
        </w:rPr>
        <w:t>Store, ship, or destroy source documents in accordance with local statutory requirements and document types as requested by GlobalPharma.</w:t>
      </w:r>
    </w:p>
    <w:p>
      <w:pPr>
        <w:pStyle w:val="Heading4"/>
        <w:numPr>
          <w:ilvl w:val="3"/>
          <w:numId w:val="17"/>
        </w:numPr>
        <w:rPr>
          <w:lang w:val="en-GB"/>
        </w:rPr>
      </w:pPr>
      <w:r>
        <w:rPr>
          <w:lang w:val="en-GB"/>
        </w:rPr>
        <w:t>US, Zurich: Out of scope</w:t>
      </w:r>
    </w:p>
    <w:p>
      <w:pPr>
        <w:pStyle w:val="Formatvorlage2"/>
        <w:numPr>
          <w:ilvl w:val="1"/>
          <w:numId w:val="17"/>
        </w:numPr>
        <w:ind w:hanging="0" w:start="0"/>
        <w:rPr/>
      </w:pPr>
      <w:bookmarkStart w:id="23" w:name="__RefHeading___Toc157772967"/>
      <w:bookmarkEnd w:id="23"/>
      <w:r>
        <w:rPr/>
        <w:t>VAT and Other Special Processes</w:t>
      </w:r>
    </w:p>
    <w:p>
      <w:pPr>
        <w:pStyle w:val="Heading3"/>
        <w:numPr>
          <w:ilvl w:val="2"/>
          <w:numId w:val="17"/>
        </w:numPr>
        <w:rPr>
          <w:rFonts w:ascii="Arial" w:hAnsi="Arial" w:cs="Arial"/>
          <w:lang w:val="en-GB"/>
        </w:rPr>
      </w:pPr>
      <w:r>
        <w:rPr>
          <w:lang w:val="en-GB"/>
        </w:rPr>
        <w:t>Service Provider’s responsibilities include, but are not limited to, the following:</w:t>
      </w:r>
    </w:p>
    <w:p>
      <w:pPr>
        <w:pStyle w:val="Heading3"/>
        <w:numPr>
          <w:ilvl w:val="2"/>
          <w:numId w:val="17"/>
        </w:numPr>
        <w:rPr/>
      </w:pPr>
      <w:r>
        <w:rPr/>
        <w:t>Setup and enter VAT ID (if new Service Provider) and VAT tax rates based on GlobalPharma instructions.</w:t>
      </w:r>
    </w:p>
    <w:p>
      <w:pPr>
        <w:pStyle w:val="Heading4"/>
        <w:numPr>
          <w:ilvl w:val="3"/>
          <w:numId w:val="17"/>
        </w:numPr>
        <w:rPr>
          <w:lang w:val="en-GB"/>
        </w:rPr>
      </w:pPr>
      <w:r>
        <w:rPr>
          <w:lang w:val="en-GB"/>
        </w:rPr>
        <w:t>US: Out of Scope</w:t>
      </w:r>
    </w:p>
    <w:p>
      <w:pPr>
        <w:pStyle w:val="Heading3"/>
        <w:numPr>
          <w:ilvl w:val="2"/>
          <w:numId w:val="17"/>
        </w:numPr>
        <w:rPr/>
      </w:pPr>
      <w:r>
        <w:rPr/>
        <w:t>Setup and enter VAT ID (if new Service Provider) and VAT tax rates, with GlobalPharma supplying Service provider with new VAT IDs and tax rates as and when applicable</w:t>
      </w:r>
    </w:p>
    <w:p>
      <w:pPr>
        <w:pStyle w:val="Heading3"/>
        <w:numPr>
          <w:ilvl w:val="2"/>
          <w:numId w:val="17"/>
        </w:numPr>
        <w:rPr>
          <w:lang w:val="en-GB"/>
        </w:rPr>
      </w:pPr>
      <w:r>
        <w:rPr>
          <w:lang w:val="en-GB"/>
        </w:rPr>
        <w:t>Create journal entry to charge purchases net of VAT to cost centres</w:t>
      </w:r>
    </w:p>
    <w:p>
      <w:pPr>
        <w:pStyle w:val="Heading4"/>
        <w:numPr>
          <w:ilvl w:val="3"/>
          <w:numId w:val="17"/>
        </w:numPr>
        <w:rPr>
          <w:lang w:val="en-GB"/>
        </w:rPr>
      </w:pPr>
      <w:r>
        <w:rPr>
          <w:lang w:val="en-GB"/>
        </w:rPr>
        <w:t>US: Out of Scope</w:t>
      </w:r>
    </w:p>
    <w:p>
      <w:pPr>
        <w:pStyle w:val="Heading3"/>
        <w:numPr>
          <w:ilvl w:val="2"/>
          <w:numId w:val="17"/>
        </w:numPr>
        <w:rPr/>
      </w:pPr>
      <w:r>
        <w:rPr>
          <w:lang w:val="en-GB"/>
        </w:rPr>
        <w:t>Follow local and EU Directive for invoice requirements (for applicable countries) based on communicated local and EU directives for invoice requirements by GlobalPharma.</w:t>
      </w:r>
      <w:r>
        <w:rPr/>
      </w:r>
    </w:p>
    <w:p>
      <w:pPr>
        <w:pStyle w:val="Heading4"/>
        <w:numPr>
          <w:ilvl w:val="3"/>
          <w:numId w:val="17"/>
        </w:numPr>
        <w:rPr>
          <w:lang w:val="en-GB"/>
        </w:rPr>
      </w:pPr>
      <w:r>
        <w:rPr>
          <w:lang w:val="en-GB"/>
        </w:rPr>
        <w:t>Zurich, US: Out of scope</w:t>
      </w:r>
    </w:p>
    <w:p>
      <w:pPr>
        <w:pStyle w:val="Heading3"/>
        <w:numPr>
          <w:ilvl w:val="2"/>
          <w:numId w:val="17"/>
        </w:numPr>
        <w:rPr>
          <w:lang w:val="en-GB"/>
        </w:rPr>
      </w:pPr>
      <w:r>
        <w:rPr/>
        <w:t>Service Provider will proactively raise any potential issues or errors with regard to GlobalPharma’ policies and procedures or any requested changes and the local or regional regulations to GlobalPharma for interpretation.</w:t>
      </w:r>
    </w:p>
    <w:p>
      <w:pPr>
        <w:pStyle w:val="Heading4"/>
        <w:numPr>
          <w:ilvl w:val="3"/>
          <w:numId w:val="17"/>
        </w:numPr>
        <w:rPr>
          <w:lang w:val="en-GB"/>
        </w:rPr>
      </w:pPr>
      <w:r>
        <w:rPr>
          <w:lang w:val="en-GB"/>
        </w:rPr>
        <w:t>Zurich, US: Out of scope</w:t>
      </w:r>
    </w:p>
    <w:p>
      <w:pPr>
        <w:pStyle w:val="Formatvorlage2"/>
        <w:numPr>
          <w:ilvl w:val="1"/>
          <w:numId w:val="17"/>
        </w:numPr>
        <w:ind w:hanging="0" w:start="0"/>
        <w:rPr/>
      </w:pPr>
      <w:bookmarkStart w:id="24" w:name="__RefHeading___Toc157772968"/>
      <w:r>
        <w:rPr/>
        <w:t>Resolve payment and tax discrepancies</w:t>
      </w:r>
      <w:bookmarkEnd w:id="24"/>
      <w:r>
        <w:rPr/>
        <w:t xml:space="preserve"> </w:t>
      </w:r>
    </w:p>
    <w:p>
      <w:pPr>
        <w:pStyle w:val="Heading3"/>
        <w:numPr>
          <w:ilvl w:val="2"/>
          <w:numId w:val="17"/>
        </w:numPr>
        <w:rPr>
          <w:lang w:val="en-GB"/>
        </w:rPr>
      </w:pPr>
      <w:r>
        <w:rPr>
          <w:lang w:val="en-GB"/>
        </w:rPr>
        <w:t>The Service Provider has the following responsibilities:</w:t>
      </w:r>
    </w:p>
    <w:p>
      <w:pPr>
        <w:pStyle w:val="Heading3"/>
        <w:numPr>
          <w:ilvl w:val="2"/>
          <w:numId w:val="17"/>
        </w:numPr>
        <w:rPr>
          <w:lang w:val="en-GB"/>
        </w:rPr>
      </w:pPr>
      <w:r>
        <w:rPr>
          <w:lang w:val="en-GB"/>
        </w:rPr>
        <w:t>Maintain payment and tax discrepancy resolution policies and procedures, including related documentation, ensuring GlobalPharma review and obtaining approval required.</w:t>
      </w:r>
    </w:p>
    <w:p>
      <w:pPr>
        <w:pStyle w:val="Heading4"/>
        <w:numPr>
          <w:ilvl w:val="3"/>
          <w:numId w:val="17"/>
        </w:numPr>
        <w:rPr>
          <w:lang w:val="en-GB"/>
        </w:rPr>
      </w:pPr>
      <w:r>
        <w:rPr>
          <w:lang w:val="en-GB"/>
        </w:rPr>
        <w:t>US: Out of Scope</w:t>
      </w:r>
    </w:p>
    <w:p>
      <w:pPr>
        <w:pStyle w:val="Heading3"/>
        <w:numPr>
          <w:ilvl w:val="2"/>
          <w:numId w:val="17"/>
        </w:numPr>
        <w:rPr>
          <w:lang w:val="en-GB"/>
        </w:rPr>
      </w:pPr>
      <w:r>
        <w:rPr>
          <w:lang w:val="en-GB"/>
        </w:rPr>
        <w:t>Perform payment and tax discrepancy exception resolution on invoices and payments.</w:t>
      </w:r>
    </w:p>
    <w:p>
      <w:pPr>
        <w:pStyle w:val="Heading3"/>
        <w:numPr>
          <w:ilvl w:val="2"/>
          <w:numId w:val="17"/>
        </w:numPr>
        <w:rPr>
          <w:lang w:val="en-GB"/>
        </w:rPr>
      </w:pPr>
      <w:r>
        <w:rPr>
          <w:lang w:val="en-GB"/>
        </w:rPr>
        <w:t>Present to GlobalPharma management payment and tax discrepancy invoice exceptions consistent with established GlobalPharma policies for resolution.</w:t>
      </w:r>
    </w:p>
    <w:p>
      <w:pPr>
        <w:pStyle w:val="Formatvorlage1"/>
        <w:numPr>
          <w:ilvl w:val="0"/>
          <w:numId w:val="17"/>
        </w:numPr>
        <w:ind w:hanging="0" w:start="0"/>
        <w:rPr/>
      </w:pPr>
      <w:bookmarkStart w:id="25" w:name="__RefHeading___Toc157772969"/>
      <w:bookmarkEnd w:id="25"/>
      <w:r>
        <w:rPr/>
        <w:t>Third Party Material</w:t>
      </w:r>
    </w:p>
    <w:p>
      <w:pPr>
        <w:pStyle w:val="Formatvorlage2"/>
        <w:numPr>
          <w:ilvl w:val="1"/>
          <w:numId w:val="17"/>
        </w:numPr>
        <w:ind w:hanging="0" w:start="0"/>
        <w:rPr/>
      </w:pPr>
      <w:bookmarkStart w:id="26" w:name="__RefHeading___Toc157772970"/>
      <w:bookmarkEnd w:id="26"/>
      <w:r>
        <w:rPr/>
        <w:t>The Service Provider</w:t>
      </w:r>
      <w:r>
        <w:rPr>
          <w:rFonts w:cs="Times New Roman" w:ascii="Times New Roman" w:hAnsi="Times New Roman"/>
        </w:rPr>
        <w:t>’</w:t>
      </w:r>
      <w:r>
        <w:rPr/>
        <w:t>s responsibilities include, but are not limited to</w:t>
      </w:r>
    </w:p>
    <w:p>
      <w:pPr>
        <w:pStyle w:val="Formatvorlage2"/>
        <w:numPr>
          <w:ilvl w:val="1"/>
          <w:numId w:val="17"/>
        </w:numPr>
        <w:ind w:hanging="0" w:start="0"/>
        <w:rPr/>
      </w:pPr>
      <w:bookmarkStart w:id="27" w:name="__RefHeading___Toc157772971"/>
      <w:bookmarkEnd w:id="27"/>
      <w:r>
        <w:rPr/>
        <w:t>Update with the assistance and the approval of GlobalPharma at least at every 6th (sixth) month of the Term of the Agreement the list of third party material in Exhibit 24 (Third Party Materials).</w:t>
      </w:r>
    </w:p>
    <w:p>
      <w:pPr>
        <w:pStyle w:val="Formatvorlage1"/>
        <w:numPr>
          <w:ilvl w:val="0"/>
          <w:numId w:val="17"/>
        </w:numPr>
        <w:ind w:hanging="0" w:start="0"/>
        <w:rPr/>
      </w:pPr>
      <w:bookmarkStart w:id="28" w:name="__RefHeading___Toc157772972"/>
      <w:bookmarkEnd w:id="28"/>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Formatvorlage2"/>
        <w:numPr>
          <w:ilvl w:val="1"/>
          <w:numId w:val="17"/>
        </w:numPr>
        <w:ind w:hanging="0" w:start="0"/>
        <w:rPr/>
      </w:pPr>
      <w:bookmarkStart w:id="29" w:name="__RefHeading___Toc157772973"/>
      <w:bookmarkEnd w:id="29"/>
      <w:r>
        <w:rPr/>
        <w:t>Type 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30" w:name="__RefHeading___Toc157772974"/>
      <w:bookmarkEnd w:id="30"/>
      <w:r>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31" w:name="__RefHeading___Toc157772975"/>
      <w:bookmarkEnd w:id="31"/>
      <w:r>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32" w:name="__RefHeading___Toc157772976"/>
      <w:bookmarkEnd w:id="32"/>
      <w:r>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16</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33">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49">
          <wp:simplePos x="0" y="0"/>
          <wp:positionH relativeFrom="column">
            <wp:posOffset>5676900</wp:posOffset>
          </wp:positionH>
          <wp:positionV relativeFrom="paragraph">
            <wp:posOffset>-26035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GB"/>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ind w:hanging="1134" w:start="1134" w:end="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ind w:hanging="1134" w:start="1134" w:end="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b w:val="false"/>
    </w:rPr>
  </w:style>
  <w:style w:type="character" w:styleId="WW8Num12z0">
    <w:name w:val="WW8Num12z0"/>
    <w:qFormat/>
    <w:rPr/>
  </w:style>
  <w:style w:type="character" w:styleId="WW8Num13z0">
    <w:name w:val="WW8Num13z0"/>
    <w:qFormat/>
    <w:rPr>
      <w:rFonts w:ascii="Times New Roman" w:hAnsi="Times New Roman" w:cs="Times New Roman"/>
      <w:b w:val="false"/>
      <w:i w:val="false"/>
      <w:color w:val="000000"/>
      <w:sz w:val="22"/>
    </w:rPr>
  </w:style>
  <w:style w:type="character" w:styleId="WW8Num13z1">
    <w:name w:val="WW8Num13z1"/>
    <w:qFormat/>
    <w:rPr>
      <w:rFonts w:ascii="Times New Roman" w:hAnsi="Times New Roman" w:cs="Times New Roman"/>
      <w:b w:val="false"/>
      <w:i w:val="false"/>
      <w:sz w:val="22"/>
    </w:rPr>
  </w:style>
  <w:style w:type="character" w:styleId="WW8Num13z4">
    <w:name w:val="WW8Num13z4"/>
    <w:qFormat/>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6z1">
    <w:name w:val="WW8Num16z1"/>
    <w:qFormat/>
    <w:rPr>
      <w:sz w:val="18"/>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sz w:val="28"/>
    </w:rPr>
  </w:style>
  <w:style w:type="character" w:styleId="WW8Num18z1">
    <w:name w:val="WW8Num18z1"/>
    <w:qFormat/>
    <w:rPr>
      <w:rFonts w:ascii="Times New Roman Bold;Times New Roman" w:hAnsi="Times New Roman Bold;Times New Roman" w:cs="Times New Roman Bold;Times New Roman"/>
      <w:b/>
      <w:i w:val="false"/>
      <w:sz w:val="24"/>
      <w:lang w:val="en-US"/>
    </w:rPr>
  </w:style>
  <w:style w:type="character" w:styleId="WW8Num18z2">
    <w:name w:val="WW8Num18z2"/>
    <w:qFormat/>
    <w:rPr>
      <w:rFonts w:ascii="Times New Roman" w:hAnsi="Times New Roman" w:cs="Times New Roman"/>
      <w:b/>
      <w:i w:val="false"/>
      <w:sz w:val="24"/>
    </w:rPr>
  </w:style>
  <w:style w:type="character" w:styleId="WW8Num18z4">
    <w:name w:val="WW8Num18z4"/>
    <w:qFormat/>
    <w:rPr>
      <w:rFonts w:ascii="Times New Roman Bold;Times New Roman" w:hAnsi="Times New Roman Bold;Times New Roman" w:cs="Times New Roman Bold;Times New Roman"/>
      <w:b/>
      <w:i w:val="false"/>
      <w:sz w:val="22"/>
      <w:szCs w:val="22"/>
    </w:rPr>
  </w:style>
  <w:style w:type="character" w:styleId="WW8Num18z5">
    <w:name w:val="WW8Num18z5"/>
    <w:qFormat/>
    <w:rPr>
      <w:rFonts w:ascii="Times New Roman" w:hAnsi="Times New Roman" w:cs="Times New Roman"/>
      <w:b w:val="false"/>
      <w:i w:val="false"/>
      <w:sz w:val="22"/>
    </w:rPr>
  </w:style>
  <w:style w:type="character" w:styleId="WW8Num18z8">
    <w:name w:val="WW8Num18z8"/>
    <w:qFormat/>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Bold;Times New Roman" w:hAnsi="Times New Roman Bold;Times New Roman" w:cs="Times New Roman Bold;Times New Roman"/>
      <w:b/>
      <w:i w:val="false"/>
      <w:sz w:val="28"/>
    </w:rPr>
  </w:style>
  <w:style w:type="character" w:styleId="WW8Num21z2">
    <w:name w:val="WW8Num21z2"/>
    <w:qFormat/>
    <w:rPr>
      <w:rFonts w:ascii="Times New Roman" w:hAnsi="Times New Roman" w:cs="Times New Roman"/>
      <w:b/>
      <w:i w:val="false"/>
      <w:sz w:val="24"/>
    </w:rPr>
  </w:style>
  <w:style w:type="character" w:styleId="WW8Num21z4">
    <w:name w:val="WW8Num21z4"/>
    <w:qFormat/>
    <w:rPr>
      <w:rFonts w:ascii="Times New Roman" w:hAnsi="Times New Roman" w:cs="Times New Roman"/>
      <w:b w:val="false"/>
      <w:i w:val="false"/>
      <w:sz w:val="22"/>
    </w:rPr>
  </w:style>
  <w:style w:type="character" w:styleId="WW8Num21z8">
    <w:name w:val="WW8Num21z8"/>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w:b/>
      <w:i w:val="false"/>
      <w:color w:val="000000"/>
      <w:sz w:val="24"/>
    </w:rPr>
  </w:style>
  <w:style w:type="character" w:styleId="WW8Num23z1">
    <w:name w:val="WW8Num23z1"/>
    <w:qFormat/>
    <w:rPr>
      <w:rFonts w:ascii="Times New Roman Bold;Times New Roman" w:hAnsi="Times New Roman Bold;Times New Roman" w:cs="Times New Roman"/>
      <w:b/>
      <w:i w:val="false"/>
      <w:sz w:val="24"/>
    </w:rPr>
  </w:style>
  <w:style w:type="character" w:styleId="WW8Num23z2">
    <w:name w:val="WW8Num23z2"/>
    <w:qFormat/>
    <w:rPr>
      <w:rFonts w:ascii="Times New Roman" w:hAnsi="Times New Roman" w:cs="Times New Roman"/>
      <w:b w:val="false"/>
      <w:i w:val="false"/>
      <w:sz w:val="22"/>
      <w:lang w:val="en-GB"/>
    </w:rPr>
  </w:style>
  <w:style w:type="character" w:styleId="WW8Num23z3">
    <w:name w:val="WW8Num23z3"/>
    <w:qFormat/>
    <w:rPr>
      <w:rFonts w:ascii="Times New Roman" w:hAnsi="Times New Roman" w:cs="Times New Roman"/>
      <w:b w:val="false"/>
      <w:i/>
      <w:sz w:val="22"/>
    </w:rPr>
  </w:style>
  <w:style w:type="character" w:styleId="WW8Num23z4">
    <w:name w:val="WW8Num23z4"/>
    <w:qFormat/>
    <w:rPr/>
  </w:style>
  <w:style w:type="character" w:styleId="WW8Num24z0">
    <w:name w:val="WW8Num24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z w:val="18"/>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lang w:val="en-US"/>
    </w:rPr>
  </w:style>
  <w:style w:type="character" w:styleId="WW8Num32z0">
    <w:name w:val="WW8Num32z0"/>
    <w:qFormat/>
    <w:rPr/>
  </w:style>
  <w:style w:type="character" w:styleId="WW8Num33z0">
    <w:name w:val="WW8Num33z0"/>
    <w:qFormat/>
    <w:rPr>
      <w:rFonts w:ascii="Wingdings" w:hAnsi="Wingdings" w:cs="Wingdings"/>
    </w:rPr>
  </w:style>
  <w:style w:type="character" w:styleId="WW8Num33z1">
    <w:name w:val="WW8Num33z1"/>
    <w:qFormat/>
    <w:rPr>
      <w:rFonts w:ascii="Courier New" w:hAnsi="Courier New" w:cs="Courier New"/>
    </w:rPr>
  </w:style>
  <w:style w:type="character" w:styleId="WW8Num33z3">
    <w:name w:val="WW8Num33z3"/>
    <w:qFormat/>
    <w:rPr>
      <w:rFonts w:ascii="Symbol" w:hAnsi="Symbol" w:cs="Symbol"/>
    </w:rPr>
  </w:style>
  <w:style w:type="character" w:styleId="WW8Num34z0">
    <w:name w:val="WW8Num34z0"/>
    <w:qFormat/>
    <w:rPr/>
  </w:style>
  <w:style w:type="character" w:styleId="WW8Num35z0">
    <w:name w:val="WW8Num35z0"/>
    <w:qFormat/>
    <w:rPr>
      <w:rFonts w:ascii="Times New Roman" w:hAnsi="Times New Roman" w:cs="Times New Roman"/>
      <w:b w:val="false"/>
      <w:i w:val="false"/>
      <w:color w:val="000000"/>
      <w:sz w:val="18"/>
      <w:szCs w:val="18"/>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Times New Roman Bold;Times New Roman" w:hAnsi="Times New Roman Bold;Times New Roman" w:cs="Times New Roman Bold;Times New Roman"/>
      <w:b/>
      <w:i w:val="false"/>
      <w:color w:val="000000"/>
      <w:sz w:val="28"/>
      <w:szCs w:val="28"/>
    </w:rPr>
  </w:style>
  <w:style w:type="character" w:styleId="WW8Num39z1">
    <w:name w:val="WW8Num39z1"/>
    <w:qFormat/>
    <w:rPr>
      <w:rFonts w:ascii="Times New Roman" w:hAnsi="Times New Roman" w:cs="Times New Roman"/>
      <w:b w:val="false"/>
      <w:i w:val="false"/>
      <w:sz w:val="22"/>
    </w:rPr>
  </w:style>
  <w:style w:type="character" w:styleId="WW8Num39z4">
    <w:name w:val="WW8Num39z4"/>
    <w:qFormat/>
    <w:rPr/>
  </w:style>
  <w:style w:type="character" w:styleId="WW8Num41z0">
    <w:name w:val="WW8Num41z0"/>
    <w:qFormat/>
    <w:rPr/>
  </w:style>
  <w:style w:type="character" w:styleId="WW8Num41z1">
    <w:name w:val="WW8Num41z1"/>
    <w:qFormat/>
    <w:rPr>
      <w:sz w:val="18"/>
    </w:rPr>
  </w:style>
  <w:style w:type="character" w:styleId="WW8Num42z0">
    <w:name w:val="WW8Num42z0"/>
    <w:qFormat/>
    <w:rPr/>
  </w:style>
  <w:style w:type="character" w:styleId="WW8Num44z0">
    <w:name w:val="WW8Num44z0"/>
    <w:qFormat/>
    <w:rPr/>
  </w:style>
  <w:style w:type="character" w:styleId="WW8Num45z0">
    <w:name w:val="WW8Num45z0"/>
    <w:qFormat/>
    <w:rPr>
      <w:rFonts w:ascii="Times New Roman" w:hAnsi="Times New Roman" w:cs="Times New Roman"/>
      <w:b w:val="false"/>
      <w:i w:val="false"/>
      <w:color w:val="000000"/>
      <w:sz w:val="22"/>
    </w:rPr>
  </w:style>
  <w:style w:type="character" w:styleId="WW8Num45z1">
    <w:name w:val="WW8Num45z1"/>
    <w:qFormat/>
    <w:rPr>
      <w:rFonts w:ascii="Times New Roman Bold;Times New Roman" w:hAnsi="Times New Roman Bold;Times New Roman" w:cs="Times New Roman Bold;Times New Roman"/>
      <w:b/>
      <w:i w:val="false"/>
      <w:sz w:val="28"/>
      <w:szCs w:val="28"/>
    </w:rPr>
  </w:style>
  <w:style w:type="character" w:styleId="WW8Num45z2">
    <w:name w:val="WW8Num45z2"/>
    <w:qFormat/>
    <w:rPr>
      <w:rFonts w:ascii="Times New Roman" w:hAnsi="Times New Roman" w:cs="Times New Roman"/>
      <w:b w:val="false"/>
      <w:i w:val="false"/>
      <w:sz w:val="22"/>
    </w:rPr>
  </w:style>
  <w:style w:type="character" w:styleId="WW8Num45z4">
    <w:name w:val="WW8Num45z4"/>
    <w:qFormat/>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WW8Num50z0">
    <w:name w:val="WW8Num50z0"/>
    <w:qFormat/>
    <w:rPr/>
  </w:style>
  <w:style w:type="character" w:styleId="WW8Num51z0">
    <w:name w:val="WW8Num51z0"/>
    <w:qFormat/>
    <w:rPr>
      <w:rFonts w:ascii="Times New Roman Bold;Times New Roman" w:hAnsi="Times New Roman Bold;Times New Roman" w:cs="Times New Roman"/>
      <w:b/>
      <w:i w:val="false"/>
      <w:color w:val="000000"/>
      <w:sz w:val="24"/>
    </w:rPr>
  </w:style>
  <w:style w:type="character" w:styleId="WW8Num51z1">
    <w:name w:val="WW8Num51z1"/>
    <w:qFormat/>
    <w:rPr>
      <w:rFonts w:ascii="Times New Roman Bold;Times New Roman" w:hAnsi="Times New Roman Bold;Times New Roman" w:cs="Times New Roman"/>
      <w:b/>
      <w:i w:val="false"/>
      <w:sz w:val="24"/>
    </w:rPr>
  </w:style>
  <w:style w:type="character" w:styleId="WW8Num51z2">
    <w:name w:val="WW8Num51z2"/>
    <w:qFormat/>
    <w:rPr>
      <w:rFonts w:ascii="Times New Roman" w:hAnsi="Times New Roman" w:cs="Times New Roman"/>
      <w:b w:val="false"/>
      <w:i w:val="false"/>
      <w:sz w:val="22"/>
      <w:lang w:val="en-US"/>
    </w:rPr>
  </w:style>
  <w:style w:type="character" w:styleId="WW8Num51z3">
    <w:name w:val="WW8Num51z3"/>
    <w:qFormat/>
    <w:rPr>
      <w:rFonts w:ascii="Times New Roman" w:hAnsi="Times New Roman" w:cs="Times New Roman"/>
      <w:b w:val="false"/>
      <w:i w:val="false"/>
      <w:sz w:val="22"/>
    </w:rPr>
  </w:style>
  <w:style w:type="character" w:styleId="WW8Num51z4">
    <w:name w:val="WW8Num51z4"/>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pPr>
    <w:rPr/>
  </w:style>
  <w:style w:type="paragraph" w:styleId="Formatvorlage2">
    <w:name w:val="Formatvorlage2"/>
    <w:basedOn w:val="Heading2"/>
    <w:qFormat/>
    <w:pPr>
      <w:numPr>
        <w:ilvl w:val="0"/>
        <w:numId w:val="17"/>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2007-01-29T19:59:00Z</dcterms:created>
  <dc:creator>Bob Szambelan</dc:creator>
  <dc:description/>
  <cp:keywords>General Accounting</cp:keywords>
  <dc:language>en-US</dc:language>
  <cp:lastModifiedBy>Wenger Plattner</cp:lastModifiedBy>
  <cp:lastPrinted>2005-10-31T15:43:00Z</cp:lastPrinted>
  <dcterms:modified xsi:type="dcterms:W3CDTF">2007-01-29T19:59:00Z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