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2.6</w:t>
      </w:r>
    </w:p>
    <w:p>
      <w:pPr>
        <w:pStyle w:val="Titel"/>
        <w:rPr>
          <w:rFonts w:ascii="Arial" w:hAnsi="Arial" w:cs="Arial"/>
        </w:rPr>
      </w:pPr>
      <w:r>
        <w:rPr>
          <w:rFonts w:cs="Arial" w:ascii="Arial" w:hAnsi="Arial"/>
        </w:rPr>
        <w:t>Statement of work</w:t>
      </w:r>
    </w:p>
    <w:p>
      <w:pPr>
        <w:pStyle w:val="Titel"/>
        <w:rPr>
          <w:rFonts w:ascii="Arial" w:hAnsi="Arial" w:cs="Arial"/>
        </w:rPr>
      </w:pPr>
      <w:r>
        <w:rPr>
          <w:rFonts w:cs="Arial" w:ascii="Arial" w:hAnsi="Arial"/>
        </w:rPr>
        <w:t>Travel &amp; Entertainment (T&amp;E)</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smallCaps/>
              <w:lang w:val="en-US" w:eastAsia="en-US"/>
            </w:rPr>
            <w:instrText xml:space="preserve"> TOC \h \z \t "Formatvorlage1;1;Formatvorlage2;2" </w:instrText>
          </w:r>
          <w:r>
            <w:rPr>
              <w:rStyle w:val="IndexLink"/>
              <w:smallCaps/>
              <w:lang w:val="en-US" w:eastAsia="en-US"/>
            </w:rPr>
            <w:fldChar w:fldCharType="separate"/>
          </w:r>
          <w:hyperlink w:anchor="__RefHeading___Toc157773120">
            <w:r>
              <w:rPr>
                <w:rStyle w:val="IndexLink"/>
                <w:smallCaps/>
                <w:lang w:val="en-US" w:eastAsia="en-US"/>
              </w:rPr>
              <w:t>1.</w:t>
            </w:r>
            <w:r>
              <w:rPr>
                <w:rStyle w:val="IndexLink"/>
                <w:b w:val="false"/>
                <w:bCs w:val="false"/>
                <w:caps w:val="false"/>
                <w:smallCaps w:val="false"/>
                <w:sz w:val="24"/>
                <w:szCs w:val="24"/>
                <w:lang w:val="de-CH" w:eastAsia="en-US"/>
              </w:rPr>
              <w:tab/>
            </w:r>
            <w:r>
              <w:rPr>
                <w:rStyle w:val="IndexLink"/>
                <w:smallCaps/>
                <w:lang w:val="en-US" w:eastAsia="en-US"/>
              </w:rPr>
              <w:t>Introduction</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21">
            <w:r>
              <w:rPr>
                <w:rStyle w:val="IndexLink"/>
                <w:lang w:val="en-US" w:eastAsia="en-US"/>
              </w:rPr>
              <w:t>1.1.</w:t>
            </w:r>
            <w:r>
              <w:rPr>
                <w:rStyle w:val="IndexLink"/>
                <w:caps w:val="false"/>
                <w:smallCaps w:val="false"/>
                <w:sz w:val="24"/>
                <w:szCs w:val="24"/>
                <w:lang w:val="de-CH" w:eastAsia="en-US"/>
              </w:rPr>
              <w:tab/>
            </w:r>
            <w:r>
              <w:rPr>
                <w:rStyle w:val="IndexLink"/>
                <w:lang w:val="en-US" w:eastAsia="en-US"/>
              </w:rPr>
              <w:t>General</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122">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Expense Report Processing</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23">
            <w:r>
              <w:rPr>
                <w:rStyle w:val="IndexLink"/>
                <w:lang w:val="en-US" w:eastAsia="en-US"/>
              </w:rPr>
              <w:t>2.1.</w:t>
            </w:r>
            <w:r>
              <w:rPr>
                <w:rStyle w:val="IndexLink"/>
                <w:caps w:val="false"/>
                <w:smallCaps w:val="false"/>
                <w:sz w:val="24"/>
                <w:szCs w:val="24"/>
                <w:lang w:val="de-CH" w:eastAsia="en-US"/>
              </w:rPr>
              <w:tab/>
            </w:r>
            <w:r>
              <w:rPr>
                <w:rStyle w:val="IndexLink"/>
                <w:lang w:val="en-US" w:eastAsia="en-US"/>
              </w:rPr>
              <w:t>Expense Report Receipt</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24">
            <w:r>
              <w:rPr>
                <w:rStyle w:val="IndexLink"/>
                <w:lang w:val="en-US" w:eastAsia="en-US"/>
              </w:rPr>
              <w:t>2.2.</w:t>
            </w:r>
            <w:r>
              <w:rPr>
                <w:rStyle w:val="IndexLink"/>
                <w:caps w:val="false"/>
                <w:smallCaps w:val="false"/>
                <w:sz w:val="24"/>
                <w:szCs w:val="24"/>
                <w:lang w:val="de-CH" w:eastAsia="en-US"/>
              </w:rPr>
              <w:tab/>
            </w:r>
            <w:r>
              <w:rPr>
                <w:rStyle w:val="IndexLink"/>
                <w:lang w:val="en-US" w:eastAsia="en-US"/>
              </w:rPr>
              <w:t>Expense Report Auditing</w:t>
              <w:tab/>
              <w:t>4</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125">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payment PRocessing</w:t>
              <w:tab/>
              <w:t>5</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26">
            <w:r>
              <w:rPr>
                <w:rStyle w:val="IndexLink"/>
                <w:lang w:val="en-US" w:eastAsia="en-US"/>
              </w:rPr>
              <w:t>3.1.</w:t>
            </w:r>
            <w:r>
              <w:rPr>
                <w:rStyle w:val="IndexLink"/>
                <w:caps w:val="false"/>
                <w:smallCaps w:val="false"/>
                <w:sz w:val="24"/>
                <w:szCs w:val="24"/>
                <w:lang w:val="de-CH" w:eastAsia="en-US"/>
              </w:rPr>
              <w:tab/>
            </w:r>
            <w:r>
              <w:rPr>
                <w:rStyle w:val="IndexLink"/>
                <w:lang w:val="en-US" w:eastAsia="en-US"/>
              </w:rPr>
              <w:t>Payment Batch Creation (T&amp;E) and Release</w:t>
              <w:tab/>
              <w:t>5</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127">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T&amp;E Data File Maintenance</w:t>
              <w:tab/>
              <w:t>5</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128">
            <w:r>
              <w:rPr>
                <w:rStyle w:val="IndexLink"/>
                <w:lang w:val="en-US" w:eastAsia="en-US"/>
              </w:rPr>
              <w:t>5.</w:t>
            </w:r>
            <w:r>
              <w:rPr>
                <w:rStyle w:val="IndexLink"/>
                <w:b w:val="false"/>
                <w:bCs w:val="false"/>
                <w:caps w:val="false"/>
                <w:smallCaps w:val="false"/>
                <w:sz w:val="24"/>
                <w:szCs w:val="24"/>
                <w:lang w:val="de-CH" w:eastAsia="en-US"/>
              </w:rPr>
              <w:tab/>
            </w:r>
            <w:r>
              <w:rPr>
                <w:rStyle w:val="IndexLink"/>
                <w:lang w:val="en-US" w:eastAsia="en-US"/>
              </w:rPr>
              <w:t>Expense Reconciliation</w:t>
              <w:tab/>
              <w:t>6</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129">
            <w:r>
              <w:rPr>
                <w:rStyle w:val="IndexLink"/>
                <w:lang w:val="en-US" w:eastAsia="en-US"/>
              </w:rPr>
              <w:t>6.</w:t>
            </w:r>
            <w:r>
              <w:rPr>
                <w:rStyle w:val="IndexLink"/>
                <w:b w:val="false"/>
                <w:bCs w:val="false"/>
                <w:caps w:val="false"/>
                <w:smallCaps w:val="false"/>
                <w:sz w:val="24"/>
                <w:szCs w:val="24"/>
                <w:lang w:val="de-CH" w:eastAsia="en-US"/>
              </w:rPr>
              <w:tab/>
            </w:r>
            <w:r>
              <w:rPr>
                <w:rStyle w:val="IndexLink"/>
                <w:lang w:val="en-US" w:eastAsia="en-US"/>
              </w:rPr>
              <w:t>Customer Service</w:t>
              <w:tab/>
              <w:t>6</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130">
            <w:r>
              <w:rPr>
                <w:rStyle w:val="IndexLink"/>
                <w:lang w:val="en-US" w:eastAsia="en-US"/>
              </w:rPr>
              <w:t>7.</w:t>
            </w:r>
            <w:r>
              <w:rPr>
                <w:rStyle w:val="IndexLink"/>
                <w:b w:val="false"/>
                <w:bCs w:val="false"/>
                <w:caps w:val="false"/>
                <w:smallCaps w:val="false"/>
                <w:sz w:val="24"/>
                <w:szCs w:val="24"/>
                <w:lang w:val="de-CH" w:eastAsia="en-US"/>
              </w:rPr>
              <w:tab/>
            </w:r>
            <w:r>
              <w:rPr>
                <w:rStyle w:val="IndexLink"/>
                <w:lang w:val="en-US" w:eastAsia="en-US"/>
              </w:rPr>
              <w:t>Reporting and Record Retention</w:t>
              <w:tab/>
              <w:t>7</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31">
            <w:r>
              <w:rPr>
                <w:rStyle w:val="IndexLink"/>
                <w:lang w:val="en-US" w:eastAsia="en-US"/>
              </w:rPr>
              <w:t>7.1.</w:t>
            </w:r>
            <w:r>
              <w:rPr>
                <w:rStyle w:val="IndexLink"/>
                <w:caps w:val="false"/>
                <w:smallCaps w:val="false"/>
                <w:sz w:val="24"/>
                <w:szCs w:val="24"/>
                <w:lang w:val="de-CH" w:eastAsia="en-US"/>
              </w:rPr>
              <w:tab/>
            </w:r>
            <w:r>
              <w:rPr>
                <w:rStyle w:val="IndexLink"/>
                <w:lang w:val="en-US" w:eastAsia="en-US"/>
              </w:rPr>
              <w:t>Reporting</w:t>
              <w:tab/>
              <w:t>7</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32">
            <w:r>
              <w:rPr>
                <w:rStyle w:val="IndexLink"/>
                <w:lang w:val="en-US" w:eastAsia="en-US"/>
              </w:rPr>
              <w:t>7.2.</w:t>
            </w:r>
            <w:r>
              <w:rPr>
                <w:rStyle w:val="IndexLink"/>
                <w:caps w:val="false"/>
                <w:smallCaps w:val="false"/>
                <w:sz w:val="24"/>
                <w:szCs w:val="24"/>
                <w:lang w:val="de-CH" w:eastAsia="en-US"/>
              </w:rPr>
              <w:tab/>
            </w:r>
            <w:r>
              <w:rPr>
                <w:rStyle w:val="IndexLink"/>
                <w:lang w:val="en-US" w:eastAsia="en-US"/>
              </w:rPr>
              <w:t>Record Retention</w:t>
              <w:tab/>
              <w:t>7</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133">
            <w:r>
              <w:rPr>
                <w:rStyle w:val="IndexLink"/>
                <w:lang w:val="en-US" w:eastAsia="en-US"/>
              </w:rPr>
              <w:t>8.</w:t>
            </w:r>
            <w:r>
              <w:rPr>
                <w:rStyle w:val="IndexLink"/>
                <w:b w:val="false"/>
                <w:bCs w:val="false"/>
                <w:caps w:val="false"/>
                <w:smallCaps w:val="false"/>
                <w:sz w:val="24"/>
                <w:szCs w:val="24"/>
                <w:lang w:val="de-CH" w:eastAsia="en-US"/>
              </w:rPr>
              <w:tab/>
            </w:r>
            <w:r>
              <w:rPr>
                <w:rStyle w:val="IndexLink"/>
                <w:lang w:val="en-US" w:eastAsia="en-US"/>
              </w:rPr>
              <w:t>Third Party Material</w:t>
              <w:tab/>
              <w:t>8</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34">
            <w:r>
              <w:rPr>
                <w:rStyle w:val="IndexLink"/>
                <w:lang w:val="en-US" w:eastAsia="en-US"/>
              </w:rPr>
              <w:t>8.1.</w:t>
            </w:r>
            <w:r>
              <w:rPr>
                <w:rStyle w:val="IndexLink"/>
                <w:caps w:val="false"/>
                <w:smallCaps w:val="false"/>
                <w:sz w:val="24"/>
                <w:szCs w:val="24"/>
                <w:lang w:val="de-CH" w:eastAsia="en-US"/>
              </w:rPr>
              <w:tab/>
            </w:r>
            <w:r>
              <w:rPr>
                <w:rStyle w:val="IndexLink"/>
                <w:lang w:val="en-US" w:eastAsia="en-US"/>
              </w:rPr>
              <w:t>The Service Provider’s responsibilities include, but are not limited to</w:t>
              <w:tab/>
              <w:t>8</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3135">
            <w:r>
              <w:rPr>
                <w:rStyle w:val="IndexLink"/>
                <w:lang w:val="en-US" w:eastAsia="en-US"/>
              </w:rPr>
              <w:t>8.2.</w:t>
            </w:r>
            <w:r>
              <w:rPr>
                <w:rStyle w:val="IndexLink"/>
                <w:caps w:val="false"/>
                <w:smallCaps w:val="false"/>
                <w:sz w:val="24"/>
                <w:szCs w:val="24"/>
                <w:lang w:val="de-CH" w:eastAsia="en-US"/>
              </w:rPr>
              <w:tab/>
            </w:r>
            <w:r>
              <w:rPr>
                <w:rStyle w:val="IndexLink"/>
                <w:lang w:val="en-US" w:eastAsia="en-US"/>
              </w:rPr>
              <w:t>Update with the assistance and the approval of Novartis Pharma at least at every 6th (sixth) month of the Term of the Agreement the list of third party material in Exhibit 24 (Third Party Materials).</w:t>
              <w:tab/>
              <w:t>8</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136">
            <w:r>
              <w:rPr>
                <w:rStyle w:val="IndexLink"/>
                <w:lang w:val="en-US" w:eastAsia="en-US"/>
              </w:rPr>
              <w:t>9.</w:t>
            </w:r>
            <w:r>
              <w:rPr>
                <w:rStyle w:val="IndexLink"/>
                <w:b w:val="false"/>
                <w:bCs w:val="false"/>
                <w:caps w:val="false"/>
                <w:smallCaps w:val="false"/>
                <w:sz w:val="24"/>
                <w:szCs w:val="24"/>
                <w:lang w:val="de-CH" w:eastAsia="en-US"/>
              </w:rPr>
              <w:tab/>
            </w:r>
            <w:r>
              <w:rPr>
                <w:rStyle w:val="IndexLink"/>
                <w:lang w:val="en-US" w:eastAsia="en-US"/>
              </w:rPr>
              <w:t>IP Rights Listing</w:t>
              <w:tab/>
              <w:t>8</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37">
            <w:r>
              <w:rPr>
                <w:rStyle w:val="IndexLink"/>
                <w:lang w:val="en-US" w:eastAsia="en-US"/>
              </w:rPr>
              <w:t>9.1.</w:t>
            </w:r>
            <w:r>
              <w:rPr>
                <w:rStyle w:val="IndexLink"/>
                <w:caps w:val="false"/>
                <w:smallCaps w:val="false"/>
                <w:sz w:val="24"/>
                <w:szCs w:val="24"/>
                <w:lang w:val="de-CH" w:eastAsia="en-US"/>
              </w:rPr>
              <w:tab/>
            </w:r>
            <w:r>
              <w:rPr>
                <w:rStyle w:val="IndexLink"/>
                <w:lang w:val="en-US" w:eastAsia="en-US"/>
              </w:rPr>
              <w:t>Type I Materials</w:t>
              <w:tab/>
              <w:t>8</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38">
            <w:r>
              <w:rPr>
                <w:rStyle w:val="IndexLink"/>
                <w:lang w:val="en-US" w:eastAsia="en-US"/>
              </w:rPr>
              <w:t>9.2.</w:t>
            </w:r>
            <w:r>
              <w:rPr>
                <w:rStyle w:val="IndexLink"/>
                <w:caps w:val="false"/>
                <w:smallCaps w:val="false"/>
                <w:sz w:val="24"/>
                <w:szCs w:val="24"/>
                <w:lang w:val="de-CH" w:eastAsia="en-US"/>
              </w:rPr>
              <w:tab/>
            </w:r>
            <w:r>
              <w:rPr>
                <w:rStyle w:val="IndexLink"/>
                <w:lang w:val="en-US" w:eastAsia="en-US"/>
              </w:rPr>
              <w:t>Type II Materials</w:t>
              <w:tab/>
              <w:t>8</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139">
            <w:r>
              <w:rPr>
                <w:rStyle w:val="IndexLink"/>
                <w:lang w:val="en-US" w:eastAsia="en-US"/>
              </w:rPr>
              <w:t>9.3.</w:t>
            </w:r>
            <w:r>
              <w:rPr>
                <w:rStyle w:val="IndexLink"/>
                <w:caps w:val="false"/>
                <w:smallCaps w:val="false"/>
                <w:sz w:val="24"/>
                <w:szCs w:val="24"/>
                <w:lang w:val="de-CH" w:eastAsia="en-US"/>
              </w:rPr>
              <w:tab/>
            </w:r>
            <w:r>
              <w:rPr>
                <w:rStyle w:val="IndexLink"/>
                <w:lang w:val="en-US" w:eastAsia="en-US"/>
              </w:rPr>
              <w:t>Type III Materials</w:t>
              <w:tab/>
              <w:t>8</w:t>
            </w:r>
          </w:hyperlink>
        </w:p>
        <w:p>
          <w:pPr>
            <w:pStyle w:val="TOC2"/>
            <w:tabs>
              <w:tab w:val="clear" w:pos="720"/>
              <w:tab w:val="left" w:pos="880" w:leader="none"/>
              <w:tab w:val="right" w:pos="10506" w:leader="dot"/>
            </w:tabs>
            <w:rPr>
              <w:sz w:val="24"/>
              <w:szCs w:val="24"/>
              <w:lang w:val="de-CH" w:eastAsia="en-US"/>
            </w:rPr>
          </w:pPr>
          <w:hyperlink w:anchor="__RefHeading___Toc157773140">
            <w:r>
              <w:rPr>
                <w:rStyle w:val="IndexLink"/>
                <w:caps w:val="false"/>
                <w:smallCaps w:val="false"/>
                <w:lang w:val="en-US" w:eastAsia="en-US"/>
              </w:rPr>
              <w:t>9.4.</w:t>
            </w:r>
            <w:r>
              <w:rPr>
                <w:rStyle w:val="IndexLink"/>
                <w:caps w:val="false"/>
                <w:smallCaps w:val="false"/>
                <w:sz w:val="24"/>
                <w:szCs w:val="24"/>
                <w:lang w:val="de-CH" w:eastAsia="en-US"/>
              </w:rPr>
              <w:tab/>
            </w:r>
            <w:r>
              <w:rPr>
                <w:rStyle w:val="IndexLink"/>
                <w:caps w:val="false"/>
                <w:smallCaps w:val="false"/>
                <w:lang w:val="en-US" w:eastAsia="en-US"/>
              </w:rPr>
              <w:t>Type IV Materials</w:t>
              <w:tab/>
              <w:t>9</w:t>
            </w:r>
          </w:hyperlink>
          <w:r>
            <w:rPr>
              <w:rStyle w:val="IndexLink"/>
              <w:smallCaps w:val="false"/>
              <w:caps w:val="false"/>
              <w:lang w:val="en-US" w:eastAsia="en-US"/>
            </w:rPr>
            <w:fldChar w:fldCharType="end"/>
          </w:r>
        </w:p>
      </w:sdtContent>
    </w:sdt>
    <w:p>
      <w:pPr>
        <w:pStyle w:val="Normal"/>
        <w:tabs>
          <w:tab w:val="clear" w:pos="720"/>
          <w:tab w:val="left" w:pos="360" w:leader="none"/>
          <w:tab w:val="left" w:pos="425" w:leader="none"/>
        </w:tabs>
        <w:jc w:val="both"/>
        <w:rPr>
          <w:b/>
          <w:bCs/>
          <w:caps/>
          <w:sz w:val="20"/>
          <w:szCs w:val="20"/>
          <w:lang w:val="de-CH" w:eastAsia="en-US"/>
        </w:rPr>
      </w:pPr>
      <w:r>
        <w:rPr>
          <w:b/>
          <w:bCs/>
          <w:caps/>
          <w:sz w:val="20"/>
          <w:szCs w:val="20"/>
          <w:lang w:val="de-CH" w:eastAsia="en-US"/>
        </w:rPr>
      </w:r>
      <w:r>
        <w:br w:type="page"/>
      </w:r>
    </w:p>
    <w:p>
      <w:pPr>
        <w:pStyle w:val="Formatvorlage1"/>
        <w:numPr>
          <w:ilvl w:val="0"/>
          <w:numId w:val="17"/>
        </w:numPr>
        <w:ind w:hanging="0" w:start="0"/>
        <w:rPr/>
      </w:pPr>
      <w:bookmarkStart w:id="0" w:name="__RefHeading___Toc157773120"/>
      <w:bookmarkEnd w:id="0"/>
      <w:r>
        <w:rPr/>
        <w:t>Introduction</w:t>
      </w:r>
    </w:p>
    <w:p>
      <w:pPr>
        <w:pStyle w:val="Formatvorlage2"/>
        <w:numPr>
          <w:ilvl w:val="1"/>
          <w:numId w:val="17"/>
        </w:numPr>
        <w:ind w:hanging="0" w:start="0"/>
        <w:rPr/>
      </w:pPr>
      <w:bookmarkStart w:id="1" w:name="__RefHeading___Toc157773121"/>
      <w:bookmarkEnd w:id="1"/>
      <w:r>
        <w:rPr/>
        <w:t>General</w:t>
      </w:r>
    </w:p>
    <w:p>
      <w:pPr>
        <w:pStyle w:val="Heading3"/>
        <w:numPr>
          <w:ilvl w:val="2"/>
          <w:numId w:val="17"/>
        </w:numPr>
        <w:ind w:hanging="0" w:start="0"/>
        <w:rPr/>
      </w:pPr>
      <w:r>
        <w:rPr/>
        <w:t>The Service Provider’s responsibilities include:</w:t>
      </w:r>
    </w:p>
    <w:p>
      <w:pPr>
        <w:pStyle w:val="Heading3"/>
        <w:numPr>
          <w:ilvl w:val="2"/>
          <w:numId w:val="17"/>
        </w:numPr>
        <w:ind w:hanging="0" w:start="0"/>
        <w:rPr>
          <w:rFonts w:ascii="Arial" w:hAnsi="Arial" w:cs="Arial"/>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3"/>
        <w:numPr>
          <w:ilvl w:val="2"/>
          <w:numId w:val="17"/>
        </w:numPr>
        <w:ind w:hanging="0" w:start="0"/>
        <w:rPr>
          <w:rFonts w:ascii="Arial" w:hAnsi="Arial" w:cs="Arial"/>
          <w:lang w:val="en-GB"/>
        </w:rPr>
      </w:pPr>
      <w:r>
        <w:rPr/>
        <w:t xml:space="preserve">As part of the Services and the Base Charges, and at no additional charge, fee, cost or expense to GlobalPharma, the Service Provider shall provide all of the services described in this Exhibit including all in-scope activities performed by Affected Employees. </w:t>
      </w:r>
      <w:r>
        <w:rPr>
          <w:rFonts w:cs="Arial" w:ascii="Arial" w:hAnsi="Arial"/>
          <w:lang w:val="en-GB"/>
        </w:rPr>
      </w:r>
    </w:p>
    <w:p>
      <w:pPr>
        <w:pStyle w:val="Formatvorlage1"/>
        <w:numPr>
          <w:ilvl w:val="0"/>
          <w:numId w:val="17"/>
        </w:numPr>
        <w:ind w:hanging="0" w:start="0"/>
        <w:rPr/>
      </w:pPr>
      <w:bookmarkStart w:id="2" w:name="__RefHeading___Toc157773122"/>
      <w:r>
        <w:rPr/>
        <w:t>Expense Report Processing</w:t>
      </w:r>
      <w:bookmarkEnd w:id="2"/>
      <w:r>
        <w:rPr/>
        <w:t xml:space="preserve"> </w:t>
      </w:r>
    </w:p>
    <w:p>
      <w:pPr>
        <w:pStyle w:val="Formatvorlage2"/>
        <w:numPr>
          <w:ilvl w:val="1"/>
          <w:numId w:val="17"/>
        </w:numPr>
        <w:ind w:hanging="0" w:start="0"/>
        <w:rPr/>
      </w:pPr>
      <w:bookmarkStart w:id="3" w:name="__RefHeading___Toc157773123"/>
      <w:bookmarkEnd w:id="3"/>
      <w:r>
        <w:rPr/>
        <w:t>Expense Report Receipt</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Receive electronic expense claim. Receive employee expense receipts by mail. Receive employee travel documents with back up material.</w:t>
      </w:r>
    </w:p>
    <w:p>
      <w:pPr>
        <w:pStyle w:val="Heading4"/>
        <w:numPr>
          <w:ilvl w:val="3"/>
          <w:numId w:val="17"/>
        </w:numPr>
        <w:ind w:hanging="0" w:start="0"/>
        <w:rPr/>
      </w:pPr>
      <w:r>
        <w:rPr/>
        <w:t>Zurich, US: Out of scope.</w:t>
      </w:r>
    </w:p>
    <w:p>
      <w:pPr>
        <w:pStyle w:val="Heading3"/>
        <w:numPr>
          <w:ilvl w:val="2"/>
          <w:numId w:val="17"/>
        </w:numPr>
        <w:ind w:hanging="0" w:start="0"/>
        <w:rPr>
          <w:lang w:val="fr-FR"/>
        </w:rPr>
      </w:pPr>
      <w:r>
        <w:rPr>
          <w:lang w:val="fr-FR"/>
        </w:rPr>
        <w:t>Stamp receipt date on expense receipt documents.</w:t>
      </w:r>
    </w:p>
    <w:p>
      <w:pPr>
        <w:pStyle w:val="Heading4"/>
        <w:numPr>
          <w:ilvl w:val="3"/>
          <w:numId w:val="17"/>
        </w:numPr>
        <w:ind w:hanging="0" w:start="0"/>
        <w:rPr/>
      </w:pPr>
      <w:r>
        <w:rPr/>
        <w:t>Zurich, US: Out of scope.</w:t>
      </w:r>
    </w:p>
    <w:p>
      <w:pPr>
        <w:pStyle w:val="Heading3"/>
        <w:numPr>
          <w:ilvl w:val="2"/>
          <w:numId w:val="17"/>
        </w:numPr>
        <w:ind w:hanging="0" w:start="0"/>
        <w:rPr/>
      </w:pPr>
      <w:r>
        <w:rPr/>
        <w:t>Validate that all employee expense receipts are present (detailed checks of electronic expense claim and receipts are performed on a random basis) and release expense claim for transfer from workflow tool e.g. Siebel, Boomerang, GVM or Bill-e to SAP according to GlobalPharma’s policies and procedures.</w:t>
      </w:r>
    </w:p>
    <w:p>
      <w:pPr>
        <w:pStyle w:val="Heading3"/>
        <w:numPr>
          <w:ilvl w:val="2"/>
          <w:numId w:val="17"/>
        </w:numPr>
        <w:ind w:hanging="0" w:start="0"/>
        <w:rPr/>
      </w:pPr>
      <w:r>
        <w:rPr/>
        <w:t>Validate if signatories of required approval levels for expenses are performed.</w:t>
      </w:r>
    </w:p>
    <w:p>
      <w:pPr>
        <w:pStyle w:val="Heading4"/>
        <w:numPr>
          <w:ilvl w:val="3"/>
          <w:numId w:val="17"/>
        </w:numPr>
        <w:ind w:hanging="0" w:start="0"/>
        <w:rPr/>
      </w:pPr>
      <w:r>
        <w:rPr/>
        <w:t>Zurich, US: Out of scope.</w:t>
      </w:r>
    </w:p>
    <w:p>
      <w:pPr>
        <w:pStyle w:val="Heading3"/>
        <w:numPr>
          <w:ilvl w:val="2"/>
          <w:numId w:val="17"/>
        </w:numPr>
        <w:ind w:hanging="0" w:start="0"/>
        <w:rPr/>
      </w:pPr>
      <w:r>
        <w:rPr/>
        <w:t>Verify and process expense claims into relevant system(s).</w:t>
      </w:r>
    </w:p>
    <w:p>
      <w:pPr>
        <w:pStyle w:val="Heading4"/>
        <w:numPr>
          <w:ilvl w:val="3"/>
          <w:numId w:val="17"/>
        </w:numPr>
        <w:ind w:hanging="0" w:start="0"/>
        <w:rPr/>
      </w:pPr>
      <w:r>
        <w:rPr/>
        <w:t>Zurich, US: Out of scope.</w:t>
      </w:r>
    </w:p>
    <w:p>
      <w:pPr>
        <w:pStyle w:val="Heading3"/>
        <w:numPr>
          <w:ilvl w:val="2"/>
          <w:numId w:val="17"/>
        </w:numPr>
        <w:ind w:hanging="0" w:start="0"/>
        <w:rPr/>
      </w:pPr>
      <w:r>
        <w:rPr/>
        <w:t xml:space="preserve">After the above process steps are completed, storage, filing and retrieval of employee receipts based upon established requirements within GlobalPharma record retention procedures. </w:t>
      </w:r>
    </w:p>
    <w:p>
      <w:pPr>
        <w:pStyle w:val="Heading4"/>
        <w:numPr>
          <w:ilvl w:val="3"/>
          <w:numId w:val="17"/>
        </w:numPr>
        <w:ind w:hanging="0" w:start="0"/>
        <w:rPr/>
      </w:pPr>
      <w:r>
        <w:rPr/>
        <w:t>Zurich, US: Out of scope.</w:t>
      </w:r>
    </w:p>
    <w:p>
      <w:pPr>
        <w:pStyle w:val="Heading3"/>
        <w:numPr>
          <w:ilvl w:val="2"/>
          <w:numId w:val="17"/>
        </w:numPr>
        <w:ind w:hanging="0" w:start="0"/>
        <w:rPr>
          <w:szCs w:val="22"/>
          <w:lang w:bidi="en-US"/>
        </w:rPr>
      </w:pPr>
      <w:r>
        <w:rPr>
          <w:szCs w:val="22"/>
          <w:lang w:bidi="en-US"/>
        </w:rPr>
        <w:t>If asked by GlobalPharma assess whether it is more beneficial to change the current third party set up in the US and move it to the Service Provider (mutual agreed on a cost/benefit case prepared by Service Provider).</w:t>
      </w:r>
      <w:r>
        <w:rPr/>
      </w:r>
    </w:p>
    <w:p>
      <w:pPr>
        <w:pStyle w:val="Formatvorlage2"/>
        <w:numPr>
          <w:ilvl w:val="1"/>
          <w:numId w:val="17"/>
        </w:numPr>
        <w:ind w:hanging="0" w:start="0"/>
        <w:rPr/>
      </w:pPr>
      <w:bookmarkStart w:id="4" w:name="__RefHeading___Toc157773124"/>
      <w:bookmarkEnd w:id="4"/>
      <w:r>
        <w:rPr/>
        <w:t>Expense Report Auditing</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Perform audits as per GlobalPharma defined audit requirements. Audits include: verification of employee supporting receipts and documentation, obtaining defined review and approvals related to senior executive expense reports (CEO/CFO level) for one month, in compliance with GlobalPharma and Travel policies</w:t>
      </w:r>
    </w:p>
    <w:p>
      <w:pPr>
        <w:pStyle w:val="Heading4"/>
        <w:numPr>
          <w:ilvl w:val="3"/>
          <w:numId w:val="17"/>
        </w:numPr>
        <w:ind w:hanging="0" w:start="0"/>
        <w:rPr/>
      </w:pPr>
      <w:r>
        <w:rPr/>
        <w:t>Zurich, US: Out of scope.</w:t>
      </w:r>
    </w:p>
    <w:p>
      <w:pPr>
        <w:pStyle w:val="Heading3"/>
        <w:numPr>
          <w:ilvl w:val="2"/>
          <w:numId w:val="17"/>
        </w:numPr>
        <w:ind w:hanging="0" w:start="0"/>
        <w:rPr/>
      </w:pPr>
      <w:r>
        <w:rPr/>
        <w:t xml:space="preserve">Audit for compliance with statutory governmental permissibility and accounting. </w:t>
      </w:r>
    </w:p>
    <w:p>
      <w:pPr>
        <w:pStyle w:val="Heading4"/>
        <w:numPr>
          <w:ilvl w:val="3"/>
          <w:numId w:val="17"/>
        </w:numPr>
        <w:ind w:hanging="0" w:start="0"/>
        <w:rPr/>
      </w:pPr>
      <w:r>
        <w:rPr/>
        <w:t>Zurich, US: Out of scope.</w:t>
      </w:r>
    </w:p>
    <w:p>
      <w:pPr>
        <w:pStyle w:val="Heading3"/>
        <w:numPr>
          <w:ilvl w:val="2"/>
          <w:numId w:val="17"/>
        </w:numPr>
        <w:ind w:hanging="0" w:start="0"/>
        <w:rPr/>
      </w:pPr>
      <w:r>
        <w:rPr/>
        <w:t>Resolve discrepancies or errors (non-fraudulent) discovered in audit with the employee including returning documents to source within GlobalPharma procedures timelines.</w:t>
      </w:r>
    </w:p>
    <w:p>
      <w:pPr>
        <w:pStyle w:val="Heading4"/>
        <w:numPr>
          <w:ilvl w:val="3"/>
          <w:numId w:val="17"/>
        </w:numPr>
        <w:ind w:hanging="0" w:start="0"/>
        <w:rPr/>
      </w:pPr>
      <w:r>
        <w:rPr/>
        <w:t>Zurich, US: Out of scope.</w:t>
      </w:r>
    </w:p>
    <w:p>
      <w:pPr>
        <w:pStyle w:val="Heading3"/>
        <w:numPr>
          <w:ilvl w:val="2"/>
          <w:numId w:val="17"/>
        </w:numPr>
        <w:ind w:hanging="0" w:start="0"/>
        <w:rPr/>
      </w:pPr>
      <w:r>
        <w:rPr/>
        <w:t>Escalate suspected fraudulent expense report issues in accordance with GlobalPharma policy guidelines.</w:t>
      </w:r>
    </w:p>
    <w:p>
      <w:pPr>
        <w:pStyle w:val="Heading4"/>
        <w:numPr>
          <w:ilvl w:val="3"/>
          <w:numId w:val="17"/>
        </w:numPr>
        <w:ind w:hanging="0" w:start="0"/>
        <w:rPr/>
      </w:pPr>
      <w:r>
        <w:rPr/>
        <w:t>Zurich, US: Out of scope.</w:t>
      </w:r>
    </w:p>
    <w:p>
      <w:pPr>
        <w:pStyle w:val="Heading3"/>
        <w:numPr>
          <w:ilvl w:val="2"/>
          <w:numId w:val="17"/>
        </w:numPr>
        <w:ind w:hanging="0" w:start="0"/>
        <w:rPr/>
      </w:pPr>
      <w:r>
        <w:rPr/>
        <w:t>Distribute unresolved issues to GlobalPharma for resolution in accordance with GlobalPharma policy guidelines.</w:t>
      </w:r>
    </w:p>
    <w:p>
      <w:pPr>
        <w:pStyle w:val="Heading4"/>
        <w:numPr>
          <w:ilvl w:val="3"/>
          <w:numId w:val="17"/>
        </w:numPr>
        <w:ind w:hanging="0" w:start="0"/>
        <w:rPr/>
      </w:pPr>
      <w:r>
        <w:rPr/>
        <w:t>Zurich, US: Out of scope.</w:t>
      </w:r>
    </w:p>
    <w:p>
      <w:pPr>
        <w:pStyle w:val="Heading3"/>
        <w:numPr>
          <w:ilvl w:val="2"/>
          <w:numId w:val="17"/>
        </w:numPr>
        <w:ind w:hanging="0" w:start="0"/>
        <w:rPr/>
      </w:pPr>
      <w:r>
        <w:rPr/>
        <w:t>Perform audit of signatories and approval level for senior executive expense reports as required by GlobalPharma policy guidelines.</w:t>
      </w:r>
    </w:p>
    <w:p>
      <w:pPr>
        <w:pStyle w:val="Heading4"/>
        <w:numPr>
          <w:ilvl w:val="3"/>
          <w:numId w:val="17"/>
        </w:numPr>
        <w:ind w:hanging="0" w:start="0"/>
        <w:rPr/>
      </w:pPr>
      <w:r>
        <w:rPr/>
        <w:t>Zurich, US: Out of scope.</w:t>
      </w:r>
    </w:p>
    <w:p>
      <w:pPr>
        <w:pStyle w:val="Heading3"/>
        <w:numPr>
          <w:ilvl w:val="2"/>
          <w:numId w:val="17"/>
        </w:numPr>
        <w:ind w:hanging="0" w:start="0"/>
        <w:rPr/>
      </w:pPr>
      <w:r>
        <w:rPr/>
        <w:t>Track reasons for disputes and return of expense reports and report to GlobalPharma.</w:t>
      </w:r>
    </w:p>
    <w:p>
      <w:pPr>
        <w:pStyle w:val="Heading4"/>
        <w:numPr>
          <w:ilvl w:val="3"/>
          <w:numId w:val="17"/>
        </w:numPr>
        <w:ind w:hanging="0" w:start="0"/>
        <w:rPr/>
      </w:pPr>
      <w:r>
        <w:rPr/>
        <w:t>Zurich, US: Out of scope.</w:t>
      </w:r>
    </w:p>
    <w:p>
      <w:pPr>
        <w:pStyle w:val="Heading3"/>
        <w:numPr>
          <w:ilvl w:val="2"/>
          <w:numId w:val="17"/>
        </w:numPr>
        <w:ind w:hanging="0" w:start="0"/>
        <w:rPr>
          <w:szCs w:val="22"/>
          <w:lang w:bidi="en-US"/>
        </w:rPr>
      </w:pPr>
      <w:r>
        <w:rPr>
          <w:szCs w:val="22"/>
          <w:lang w:bidi="en-US"/>
        </w:rPr>
        <w:t>If asked by GlobalPharma assess whether it is more beneficial to change the current third party set up in the US, Italy and Spain and move it to the Service Provider (mutual agreed on a cost/benefit case prepared by Service Provider).</w:t>
      </w:r>
      <w:r>
        <w:rPr/>
      </w:r>
    </w:p>
    <w:p>
      <w:pPr>
        <w:pStyle w:val="Formatvorlage1"/>
        <w:numPr>
          <w:ilvl w:val="0"/>
          <w:numId w:val="17"/>
        </w:numPr>
        <w:ind w:hanging="0" w:start="0"/>
        <w:rPr/>
      </w:pPr>
      <w:bookmarkStart w:id="5" w:name="__RefHeading___Toc157773125"/>
      <w:r>
        <w:rPr/>
        <w:t>payment PRocessing</w:t>
      </w:r>
      <w:bookmarkEnd w:id="5"/>
      <w:r>
        <w:rPr/>
        <w:t xml:space="preserve"> </w:t>
      </w:r>
    </w:p>
    <w:p>
      <w:pPr>
        <w:pStyle w:val="Formatvorlage2"/>
        <w:numPr>
          <w:ilvl w:val="1"/>
          <w:numId w:val="17"/>
        </w:numPr>
        <w:ind w:hanging="0" w:start="0"/>
        <w:rPr/>
      </w:pPr>
      <w:bookmarkStart w:id="6" w:name="__RefHeading___Toc157773126"/>
      <w:bookmarkStart w:id="7" w:name="_Ref147110023"/>
      <w:bookmarkEnd w:id="6"/>
      <w:r>
        <w:rPr/>
        <w:t>Payment Batch Creation (T&amp;E) and Release</w:t>
      </w:r>
      <w:bookmarkEnd w:id="7"/>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 xml:space="preserve">Section </w:t>
      </w:r>
      <w:r>
        <w:rPr/>
        <w:fldChar w:fldCharType="begin"/>
      </w:r>
      <w:r>
        <w:rPr/>
        <w:instrText xml:space="preserve"> REF _Ref147110023 \r \r \h </w:instrText>
      </w:r>
      <w:r>
        <w:rPr/>
        <w:fldChar w:fldCharType="separate"/>
      </w:r>
      <w:r>
        <w:rPr/>
        <w:t>3.1</w:t>
      </w:r>
      <w:r>
        <w:rPr/>
        <w:fldChar w:fldCharType="end"/>
      </w:r>
      <w:r>
        <w:rPr/>
        <w:t xml:space="preserve"> is entirely managed via Accounts Payable. The process detailed below is managed by Section 2.2 “Verify and Process Invoices including T&amp;E” in </w:t>
      </w:r>
      <w:r>
        <w:rPr>
          <w:b/>
        </w:rPr>
        <w:t>Exhibit 2.5</w:t>
      </w:r>
      <w:r>
        <w:rPr/>
        <w:t xml:space="preserve"> “Accounts Payable”.</w:t>
      </w:r>
    </w:p>
    <w:p>
      <w:pPr>
        <w:pStyle w:val="Heading3"/>
        <w:numPr>
          <w:ilvl w:val="2"/>
          <w:numId w:val="17"/>
        </w:numPr>
        <w:ind w:hanging="0" w:start="0"/>
        <w:rPr/>
      </w:pPr>
      <w:r>
        <w:rPr/>
        <w:t>Prepare the weekly batch of expense claims for release to Accounts Payable according to GlobalPharma policies and procedures.</w:t>
      </w:r>
    </w:p>
    <w:p>
      <w:pPr>
        <w:pStyle w:val="Heading4"/>
        <w:numPr>
          <w:ilvl w:val="3"/>
          <w:numId w:val="17"/>
        </w:numPr>
        <w:ind w:hanging="0" w:start="0"/>
        <w:rPr/>
      </w:pPr>
      <w:r>
        <w:rPr/>
        <w:t>Zurich, US: Out of scope.</w:t>
      </w:r>
    </w:p>
    <w:p>
      <w:pPr>
        <w:pStyle w:val="Heading3"/>
        <w:numPr>
          <w:ilvl w:val="2"/>
          <w:numId w:val="17"/>
        </w:numPr>
        <w:ind w:hanging="0" w:start="0"/>
        <w:rPr/>
      </w:pPr>
      <w:r>
        <w:rPr/>
        <w:t>Batch released to accounts payable weekly according to GlobalPharma policies and procedures.</w:t>
      </w:r>
    </w:p>
    <w:p>
      <w:pPr>
        <w:pStyle w:val="Heading4"/>
        <w:numPr>
          <w:ilvl w:val="3"/>
          <w:numId w:val="17"/>
        </w:numPr>
        <w:ind w:hanging="0" w:start="0"/>
        <w:rPr/>
      </w:pPr>
      <w:r>
        <w:rPr/>
        <w:t>Zurich, US: Out of scope.</w:t>
      </w:r>
    </w:p>
    <w:p>
      <w:pPr>
        <w:pStyle w:val="Heading3"/>
        <w:numPr>
          <w:ilvl w:val="2"/>
          <w:numId w:val="17"/>
        </w:numPr>
        <w:ind w:hanging="0" w:start="0"/>
        <w:rPr>
          <w:szCs w:val="22"/>
          <w:lang w:bidi="en-US"/>
        </w:rPr>
      </w:pPr>
      <w:r>
        <w:rPr>
          <w:szCs w:val="22"/>
          <w:lang w:bidi="en-US"/>
        </w:rPr>
        <w:t>If asked by GlobalPharma assess whether it is more beneficial to change the current third party set up in the US and move it to the Service Provider (mutual agreed on a cost/benefit case prepared by Service Provider).</w:t>
      </w:r>
      <w:r>
        <w:rPr/>
      </w:r>
    </w:p>
    <w:p>
      <w:pPr>
        <w:pStyle w:val="Formatvorlage1"/>
        <w:numPr>
          <w:ilvl w:val="0"/>
          <w:numId w:val="17"/>
        </w:numPr>
        <w:ind w:hanging="0" w:start="0"/>
        <w:rPr/>
      </w:pPr>
      <w:bookmarkStart w:id="8" w:name="__RefHeading___Toc157773127"/>
      <w:bookmarkEnd w:id="8"/>
      <w:r>
        <w:rPr/>
        <w:t>T&amp;E Data File Maintenance</w:t>
      </w:r>
    </w:p>
    <w:p>
      <w:pPr>
        <w:pStyle w:val="Heading3"/>
        <w:numPr>
          <w:ilvl w:val="2"/>
          <w:numId w:val="17"/>
        </w:numPr>
        <w:ind w:hanging="0" w:start="0"/>
        <w:rPr>
          <w:szCs w:val="22"/>
        </w:rPr>
      </w:pPr>
      <w:r>
        <w:rPr/>
        <w:t>The Service Provider’s responsibilities include but are not limited to:</w:t>
      </w:r>
    </w:p>
    <w:p>
      <w:pPr>
        <w:pStyle w:val="Heading3"/>
        <w:numPr>
          <w:ilvl w:val="2"/>
          <w:numId w:val="17"/>
        </w:numPr>
        <w:ind w:hanging="0" w:start="0"/>
        <w:rPr>
          <w:szCs w:val="22"/>
        </w:rPr>
      </w:pPr>
      <w:r>
        <w:rPr/>
        <w:t>Update employee data such as personal number, cost center, approver and mileage rates in existing GlobalPharma systems if required.</w:t>
      </w:r>
    </w:p>
    <w:p>
      <w:pPr>
        <w:pStyle w:val="Heading4"/>
        <w:numPr>
          <w:ilvl w:val="3"/>
          <w:numId w:val="17"/>
        </w:numPr>
        <w:ind w:hanging="0" w:start="0"/>
        <w:rPr/>
      </w:pPr>
      <w:r>
        <w:rPr/>
        <w:t>Zurich, US: Out of scope.</w:t>
      </w:r>
    </w:p>
    <w:p>
      <w:pPr>
        <w:pStyle w:val="Heading3"/>
        <w:numPr>
          <w:ilvl w:val="2"/>
          <w:numId w:val="17"/>
        </w:numPr>
        <w:ind w:hanging="0" w:start="0"/>
        <w:rPr>
          <w:szCs w:val="22"/>
          <w:lang w:bidi="en-US"/>
        </w:rPr>
      </w:pPr>
      <w:r>
        <w:rPr>
          <w:szCs w:val="22"/>
          <w:lang w:bidi="en-US"/>
        </w:rPr>
        <w:t>If asked by GlobalPharma assess whether it is more beneficial to change the current third party set up in the US and move it to the Service Provider (mutual agreed on a cost/benefit case prepared by Service Provider).</w:t>
      </w:r>
      <w:r>
        <w:rPr/>
      </w:r>
    </w:p>
    <w:p>
      <w:pPr>
        <w:pStyle w:val="Formatvorlage1"/>
        <w:numPr>
          <w:ilvl w:val="0"/>
          <w:numId w:val="17"/>
        </w:numPr>
        <w:ind w:hanging="0" w:start="0"/>
        <w:rPr/>
      </w:pPr>
      <w:bookmarkStart w:id="9" w:name="__RefHeading___Toc157773128"/>
      <w:bookmarkEnd w:id="9"/>
      <w:r>
        <w:rPr/>
        <w:t>Expense Reconciliation</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Notify employees and obtain copies of receipts not provided.</w:t>
      </w:r>
    </w:p>
    <w:p>
      <w:pPr>
        <w:pStyle w:val="Heading4"/>
        <w:numPr>
          <w:ilvl w:val="3"/>
          <w:numId w:val="17"/>
        </w:numPr>
        <w:ind w:hanging="0" w:start="0"/>
        <w:rPr/>
      </w:pPr>
      <w:r>
        <w:rPr/>
        <w:t>Zurich, US: Out of scope.</w:t>
      </w:r>
    </w:p>
    <w:p>
      <w:pPr>
        <w:pStyle w:val="Heading3"/>
        <w:numPr>
          <w:ilvl w:val="2"/>
          <w:numId w:val="17"/>
        </w:numPr>
        <w:ind w:hanging="0" w:start="0"/>
        <w:rPr/>
      </w:pPr>
      <w:r>
        <w:rPr/>
        <w:t>Reconcile T&amp;E accounts.</w:t>
      </w:r>
    </w:p>
    <w:p>
      <w:pPr>
        <w:pStyle w:val="Heading4"/>
        <w:numPr>
          <w:ilvl w:val="3"/>
          <w:numId w:val="17"/>
        </w:numPr>
        <w:ind w:hanging="0" w:start="0"/>
        <w:rPr/>
      </w:pPr>
      <w:r>
        <w:rPr/>
        <w:t>Zurich, US: Out of scope</w:t>
      </w:r>
    </w:p>
    <w:p>
      <w:pPr>
        <w:pStyle w:val="Heading3"/>
        <w:numPr>
          <w:ilvl w:val="2"/>
          <w:numId w:val="17"/>
        </w:numPr>
        <w:ind w:hanging="0" w:start="0"/>
        <w:rPr/>
      </w:pPr>
      <w:r>
        <w:rPr/>
        <w:t>Create employee expense listing for review by tax authority for proper deductible expenses claimed.</w:t>
      </w:r>
    </w:p>
    <w:p>
      <w:pPr>
        <w:pStyle w:val="Heading4"/>
        <w:numPr>
          <w:ilvl w:val="3"/>
          <w:numId w:val="17"/>
        </w:numPr>
        <w:ind w:hanging="0" w:start="0"/>
        <w:rPr/>
      </w:pPr>
      <w:r>
        <w:rPr/>
        <w:t>Zurich, US, UK: Out of scope</w:t>
      </w:r>
    </w:p>
    <w:p>
      <w:pPr>
        <w:pStyle w:val="Heading3"/>
        <w:numPr>
          <w:ilvl w:val="2"/>
          <w:numId w:val="17"/>
        </w:numPr>
        <w:ind w:hanging="0" w:start="0"/>
        <w:rPr>
          <w:szCs w:val="22"/>
          <w:lang w:bidi="en-US"/>
        </w:rPr>
      </w:pPr>
      <w:r>
        <w:rPr>
          <w:szCs w:val="22"/>
          <w:lang w:bidi="en-US"/>
        </w:rPr>
        <w:t>If asked by GlobalPharma assess whether it is more beneficial to change the current third party set up in the US and move it to the Service Provider (mutual agreed on a cost/benefit case prepared by Service Provider).</w:t>
      </w:r>
      <w:r>
        <w:rPr/>
      </w:r>
    </w:p>
    <w:p>
      <w:pPr>
        <w:pStyle w:val="Formatvorlage1"/>
        <w:numPr>
          <w:ilvl w:val="0"/>
          <w:numId w:val="17"/>
        </w:numPr>
        <w:ind w:hanging="0" w:start="0"/>
        <w:rPr/>
      </w:pPr>
      <w:bookmarkStart w:id="10" w:name="__RefHeading___Toc157773129"/>
      <w:bookmarkEnd w:id="10"/>
      <w:r>
        <w:rPr/>
        <w:t>Customer Service</w:t>
      </w:r>
    </w:p>
    <w:p>
      <w:pPr>
        <w:pStyle w:val="Heading3"/>
        <w:numPr>
          <w:ilvl w:val="2"/>
          <w:numId w:val="17"/>
        </w:numPr>
        <w:ind w:hanging="0" w:start="0"/>
        <w:rPr/>
      </w:pPr>
      <w:r>
        <w:rPr/>
        <w:t>Service Provider’s responsibilities include but are not limited to:</w:t>
      </w:r>
    </w:p>
    <w:p>
      <w:pPr>
        <w:pStyle w:val="Heading3"/>
        <w:numPr>
          <w:ilvl w:val="2"/>
          <w:numId w:val="17"/>
        </w:numPr>
        <w:ind w:hanging="0" w:start="0"/>
        <w:rPr/>
      </w:pPr>
      <w:r>
        <w:rPr/>
        <w:t>Answer employee service calls and resolve all T&amp;E queries.</w:t>
      </w:r>
    </w:p>
    <w:p>
      <w:pPr>
        <w:pStyle w:val="Heading4"/>
        <w:numPr>
          <w:ilvl w:val="3"/>
          <w:numId w:val="17"/>
        </w:numPr>
        <w:ind w:hanging="0" w:start="0"/>
        <w:rPr/>
      </w:pPr>
      <w:r>
        <w:rPr/>
        <w:t>Zurich, US: Out of scope.</w:t>
      </w:r>
    </w:p>
    <w:p>
      <w:pPr>
        <w:pStyle w:val="Heading3"/>
        <w:numPr>
          <w:ilvl w:val="2"/>
          <w:numId w:val="17"/>
        </w:numPr>
        <w:ind w:hanging="0" w:start="0"/>
        <w:rPr/>
      </w:pPr>
      <w:r>
        <w:rPr/>
        <w:t>Respond to employee enquiries in the timeframe established in policies and procedures.</w:t>
      </w:r>
    </w:p>
    <w:p>
      <w:pPr>
        <w:pStyle w:val="Heading4"/>
        <w:numPr>
          <w:ilvl w:val="3"/>
          <w:numId w:val="17"/>
        </w:numPr>
        <w:ind w:hanging="0" w:start="0"/>
        <w:rPr/>
      </w:pPr>
      <w:r>
        <w:rPr/>
        <w:t>Zurich, US: Out of scope.</w:t>
      </w:r>
    </w:p>
    <w:p>
      <w:pPr>
        <w:pStyle w:val="Heading3"/>
        <w:numPr>
          <w:ilvl w:val="2"/>
          <w:numId w:val="17"/>
        </w:numPr>
        <w:ind w:hanging="0" w:start="0"/>
        <w:rPr/>
      </w:pPr>
      <w:r>
        <w:rPr/>
        <w:t>Evaluate root cause to determine systemic problems and implement corrective actions.</w:t>
      </w:r>
    </w:p>
    <w:p>
      <w:pPr>
        <w:pStyle w:val="Heading4"/>
        <w:numPr>
          <w:ilvl w:val="3"/>
          <w:numId w:val="17"/>
        </w:numPr>
        <w:ind w:hanging="0" w:start="0"/>
        <w:rPr/>
      </w:pPr>
      <w:r>
        <w:rPr/>
        <w:t>Zurich, US: Out of scope.</w:t>
      </w:r>
    </w:p>
    <w:p>
      <w:pPr>
        <w:pStyle w:val="Heading3"/>
        <w:numPr>
          <w:ilvl w:val="2"/>
          <w:numId w:val="17"/>
        </w:numPr>
        <w:ind w:hanging="0" w:start="0"/>
        <w:rPr>
          <w:szCs w:val="22"/>
          <w:lang w:bidi="en-US"/>
        </w:rPr>
      </w:pPr>
      <w:r>
        <w:rPr>
          <w:szCs w:val="22"/>
          <w:lang w:bidi="en-US"/>
        </w:rPr>
        <w:t>If asked by GlobalPharma assess whether it is more beneficial to change the current third party set up in the US and move it to the Service Provider (mutual agreed on a cost/benefit case prepared by Service Provider).</w:t>
      </w:r>
      <w:r>
        <w:rPr/>
      </w:r>
    </w:p>
    <w:p>
      <w:pPr>
        <w:pStyle w:val="Formatvorlage1"/>
        <w:numPr>
          <w:ilvl w:val="0"/>
          <w:numId w:val="17"/>
        </w:numPr>
        <w:ind w:hanging="0" w:start="0"/>
        <w:rPr/>
      </w:pPr>
      <w:bookmarkStart w:id="11" w:name="__RefHeading___Toc157773130"/>
      <w:bookmarkEnd w:id="11"/>
      <w:r>
        <w:rPr/>
        <w:t>Reporting and Record Retention</w:t>
      </w:r>
    </w:p>
    <w:p>
      <w:pPr>
        <w:pStyle w:val="Formatvorlage2"/>
        <w:numPr>
          <w:ilvl w:val="1"/>
          <w:numId w:val="17"/>
        </w:numPr>
        <w:ind w:hanging="0" w:start="0"/>
        <w:rPr/>
      </w:pPr>
      <w:bookmarkStart w:id="12" w:name="__RefHeading___Toc157773131"/>
      <w:bookmarkEnd w:id="12"/>
      <w:r>
        <w:rPr/>
        <w:t>Reporting</w:t>
      </w:r>
    </w:p>
    <w:p>
      <w:pPr>
        <w:pStyle w:val="Heading3"/>
        <w:numPr>
          <w:ilvl w:val="2"/>
          <w:numId w:val="17"/>
        </w:numPr>
        <w:ind w:hanging="0" w:start="0"/>
        <w:rPr/>
      </w:pPr>
      <w:r>
        <w:rPr/>
        <w:t>Service Provider’s responsibilities include but are not limited to:</w:t>
      </w:r>
    </w:p>
    <w:p>
      <w:pPr>
        <w:pStyle w:val="Heading3"/>
        <w:numPr>
          <w:ilvl w:val="2"/>
          <w:numId w:val="17"/>
        </w:numPr>
        <w:ind w:hanging="0" w:start="0"/>
        <w:rPr/>
      </w:pPr>
      <w:r>
        <w:rPr/>
        <w:t xml:space="preserve">Perform standard reporting requirements (number and type of reports applicable as indicated in </w:t>
      </w:r>
      <w:r>
        <w:rPr>
          <w:b/>
        </w:rPr>
        <w:t>Attachment 13-A</w:t>
      </w:r>
      <w:r>
        <w:rPr/>
        <w:t xml:space="preserve"> to the extent provided by the in-scope FTEs).</w:t>
      </w:r>
    </w:p>
    <w:p>
      <w:pPr>
        <w:pStyle w:val="Heading4"/>
        <w:numPr>
          <w:ilvl w:val="3"/>
          <w:numId w:val="17"/>
        </w:numPr>
        <w:ind w:hanging="0" w:start="0"/>
        <w:rPr/>
      </w:pPr>
      <w:r>
        <w:rPr/>
        <w:t>Zurich, US: Out of scope.</w:t>
      </w:r>
    </w:p>
    <w:p>
      <w:pPr>
        <w:pStyle w:val="Heading3"/>
        <w:numPr>
          <w:ilvl w:val="2"/>
          <w:numId w:val="17"/>
        </w:numPr>
        <w:ind w:hanging="0" w:start="0"/>
        <w:rPr/>
      </w:pPr>
      <w:r>
        <w:rPr/>
        <w:t>Provide ad-hoc reports as requested.</w:t>
      </w:r>
    </w:p>
    <w:p>
      <w:pPr>
        <w:pStyle w:val="Heading4"/>
        <w:numPr>
          <w:ilvl w:val="3"/>
          <w:numId w:val="17"/>
        </w:numPr>
        <w:ind w:hanging="0" w:start="0"/>
        <w:rPr/>
      </w:pPr>
      <w:r>
        <w:rPr/>
        <w:t>Zurich, US: Out of scope.</w:t>
      </w:r>
    </w:p>
    <w:p>
      <w:pPr>
        <w:pStyle w:val="Formatvorlage2"/>
        <w:numPr>
          <w:ilvl w:val="1"/>
          <w:numId w:val="17"/>
        </w:numPr>
        <w:ind w:hanging="0" w:start="0"/>
        <w:rPr/>
      </w:pPr>
      <w:bookmarkStart w:id="13" w:name="__RefHeading___Toc157773132"/>
      <w:bookmarkEnd w:id="13"/>
      <w:r>
        <w:rPr/>
        <w:t>Record Retention</w:t>
      </w:r>
    </w:p>
    <w:p>
      <w:pPr>
        <w:pStyle w:val="Heading3"/>
        <w:numPr>
          <w:ilvl w:val="2"/>
          <w:numId w:val="17"/>
        </w:numPr>
        <w:ind w:hanging="0" w:start="0"/>
        <w:rPr/>
      </w:pPr>
      <w:r>
        <w:rPr/>
        <w:t>Service Provider’s responsibilities include but are not limited to:</w:t>
      </w:r>
    </w:p>
    <w:p>
      <w:pPr>
        <w:pStyle w:val="Heading3"/>
        <w:numPr>
          <w:ilvl w:val="2"/>
          <w:numId w:val="17"/>
        </w:numPr>
        <w:ind w:hanging="0" w:start="0"/>
        <w:rPr/>
      </w:pPr>
      <w:r>
        <w:rPr/>
        <w:t>Retain source documentation and reports: hard copies, CD ROM, fiche, film, imaging in accordance with GlobalPharma policies and procedures unless return of documents requested by GlobalPharma’s CPOs.</w:t>
      </w:r>
    </w:p>
    <w:p>
      <w:pPr>
        <w:pStyle w:val="Heading4"/>
        <w:numPr>
          <w:ilvl w:val="3"/>
          <w:numId w:val="17"/>
        </w:numPr>
        <w:ind w:hanging="0" w:start="0"/>
        <w:rPr/>
      </w:pPr>
      <w:r>
        <w:rPr/>
        <w:t>Zurich, US: Out of scope.</w:t>
      </w:r>
    </w:p>
    <w:p>
      <w:pPr>
        <w:pStyle w:val="Heading3"/>
        <w:numPr>
          <w:ilvl w:val="2"/>
          <w:numId w:val="17"/>
        </w:numPr>
        <w:ind w:hanging="0" w:start="0"/>
        <w:rPr/>
      </w:pPr>
      <w:r>
        <w:rPr/>
        <w:t>Retrieve archived reports and documentation as requested by GlobalPharma.</w:t>
      </w:r>
    </w:p>
    <w:p>
      <w:pPr>
        <w:pStyle w:val="Heading4"/>
        <w:numPr>
          <w:ilvl w:val="3"/>
          <w:numId w:val="17"/>
        </w:numPr>
        <w:ind w:hanging="0" w:start="0"/>
        <w:rPr/>
      </w:pPr>
      <w:r>
        <w:rPr/>
        <w:t>Zurich, US: Out of scope.</w:t>
      </w:r>
    </w:p>
    <w:p>
      <w:pPr>
        <w:pStyle w:val="Heading3"/>
        <w:numPr>
          <w:ilvl w:val="2"/>
          <w:numId w:val="17"/>
        </w:numPr>
        <w:ind w:hanging="0" w:start="0"/>
        <w:rPr>
          <w:szCs w:val="22"/>
        </w:rPr>
      </w:pPr>
      <w:r>
        <w:rPr/>
        <w:t>Maintain documentation in accordance with GlobalPharma policies and procedures.</w:t>
      </w:r>
    </w:p>
    <w:p>
      <w:pPr>
        <w:pStyle w:val="Heading4"/>
        <w:numPr>
          <w:ilvl w:val="3"/>
          <w:numId w:val="17"/>
        </w:numPr>
        <w:ind w:hanging="0" w:start="0"/>
        <w:rPr/>
      </w:pPr>
      <w:r>
        <w:rPr/>
        <w:t>Zurich, US: Out of scope.</w:t>
      </w:r>
    </w:p>
    <w:p>
      <w:pPr>
        <w:pStyle w:val="Heading3"/>
        <w:numPr>
          <w:ilvl w:val="2"/>
          <w:numId w:val="17"/>
        </w:numPr>
        <w:ind w:hanging="0" w:start="0"/>
        <w:rPr>
          <w:szCs w:val="22"/>
        </w:rPr>
      </w:pPr>
      <w:r>
        <w:rPr/>
        <w:t>Dispose of documentation in accordance with GlobalPharma policies and procedures.</w:t>
      </w:r>
    </w:p>
    <w:p>
      <w:pPr>
        <w:pStyle w:val="Heading4"/>
        <w:numPr>
          <w:ilvl w:val="3"/>
          <w:numId w:val="17"/>
        </w:numPr>
        <w:ind w:hanging="0" w:start="0"/>
        <w:rPr/>
      </w:pPr>
      <w:r>
        <w:rPr/>
        <w:t>Zurich, US: Out of scope.</w:t>
      </w:r>
    </w:p>
    <w:p>
      <w:pPr>
        <w:pStyle w:val="Heading3"/>
        <w:numPr>
          <w:ilvl w:val="2"/>
          <w:numId w:val="17"/>
        </w:numPr>
        <w:ind w:hanging="0" w:start="0"/>
        <w:rPr/>
      </w:pPr>
      <w:r>
        <w:rPr>
          <w:szCs w:val="22"/>
          <w:lang w:bidi="en-US"/>
        </w:rPr>
        <w:t>If asked by GlobalPharma assess whether it is more beneficial to change the current third party set up in the US and move it to the Service Provider (mutual agreed on a cost/benefit case prepared by Service Provider).</w:t>
      </w:r>
      <w:r>
        <w:rPr/>
      </w:r>
    </w:p>
    <w:p>
      <w:pPr>
        <w:pStyle w:val="Formatvorlage1"/>
        <w:numPr>
          <w:ilvl w:val="0"/>
          <w:numId w:val="17"/>
        </w:numPr>
        <w:ind w:hanging="0" w:start="0"/>
        <w:rPr/>
      </w:pPr>
      <w:bookmarkStart w:id="14" w:name="__RefHeading___Toc157773133"/>
      <w:bookmarkEnd w:id="14"/>
      <w:r>
        <w:rPr/>
        <w:t>Third Party Material</w:t>
      </w:r>
    </w:p>
    <w:p>
      <w:pPr>
        <w:pStyle w:val="Formatvorlage2"/>
        <w:numPr>
          <w:ilvl w:val="1"/>
          <w:numId w:val="17"/>
        </w:numPr>
        <w:ind w:hanging="0" w:start="0"/>
        <w:rPr/>
      </w:pPr>
      <w:bookmarkStart w:id="15" w:name="__RefHeading___Toc157773134"/>
      <w:bookmarkEnd w:id="15"/>
      <w:r>
        <w:rPr/>
        <w:t>The Service Provider</w:t>
      </w:r>
      <w:r>
        <w:rPr>
          <w:rFonts w:cs="Times New Roman" w:ascii="Times New Roman" w:hAnsi="Times New Roman"/>
        </w:rPr>
        <w:t>’</w:t>
      </w:r>
      <w:r>
        <w:rPr/>
        <w:t>s responsibilities include, but are not limited to</w:t>
      </w:r>
    </w:p>
    <w:p>
      <w:pPr>
        <w:pStyle w:val="Formatvorlage2"/>
        <w:numPr>
          <w:ilvl w:val="1"/>
          <w:numId w:val="17"/>
        </w:numPr>
        <w:ind w:hanging="0" w:start="0"/>
        <w:rPr/>
      </w:pPr>
      <w:bookmarkStart w:id="16" w:name="__RefHeading___Toc157773135"/>
      <w:bookmarkEnd w:id="16"/>
      <w:r>
        <w:rPr/>
        <w:t>Update with the assistance and the approval of GlobalPharma at least at every 6th (sixth) month of the Term of the Agreement the list of third party material in Exhibit 24 (Third Party Materials).</w:t>
      </w:r>
    </w:p>
    <w:p>
      <w:pPr>
        <w:pStyle w:val="Formatvorlage1"/>
        <w:numPr>
          <w:ilvl w:val="0"/>
          <w:numId w:val="17"/>
        </w:numPr>
        <w:ind w:hanging="0" w:start="0"/>
        <w:rPr/>
      </w:pPr>
      <w:bookmarkStart w:id="17" w:name="__RefHeading___Toc157773136"/>
      <w:bookmarkEnd w:id="17"/>
      <w:r>
        <w:rPr/>
        <w:t>IP Rights Listing</w:t>
      </w:r>
    </w:p>
    <w:p>
      <w:pPr>
        <w:pStyle w:val="Normal"/>
        <w:rPr/>
      </w:pPr>
      <w:r>
        <w:rPr>
          <w:lang w:val="en-GB"/>
        </w:rPr>
        <w:t xml:space="preserve">The Parties will list below, as updated periodically </w:t>
      </w:r>
      <w:r>
        <w:rPr/>
        <w:t>at least at every 6</w:t>
      </w:r>
      <w:r>
        <w:rPr>
          <w:vertAlign w:val="superscript"/>
        </w:rPr>
        <w:t>th</w:t>
      </w:r>
      <w:r>
        <w:rPr/>
        <w:t xml:space="preserve"> (sixth) month </w:t>
      </w:r>
      <w:r>
        <w:rPr>
          <w:lang w:val="en-GB"/>
        </w:rPr>
        <w:t>of the Term of The Agreement, Materials developed under The Agreement as described in clause 7.3.1 of the MSA:</w:t>
      </w:r>
    </w:p>
    <w:p>
      <w:pPr>
        <w:pStyle w:val="Formatvorlage2"/>
        <w:numPr>
          <w:ilvl w:val="1"/>
          <w:numId w:val="17"/>
        </w:numPr>
        <w:ind w:hanging="0" w:start="0"/>
        <w:rPr/>
      </w:pPr>
      <w:bookmarkStart w:id="18" w:name="__RefHeading___Toc157773137"/>
      <w:bookmarkEnd w:id="18"/>
      <w:r>
        <w:rPr/>
        <w:t>Type 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ind w:hanging="0" w:start="0"/>
        <w:rPr/>
      </w:pPr>
      <w:bookmarkStart w:id="19" w:name="__RefHeading___Toc157773138"/>
      <w:bookmarkEnd w:id="19"/>
      <w:r>
        <w:rPr/>
        <w:t>Type 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ind w:hanging="0" w:start="0"/>
        <w:rPr/>
      </w:pPr>
      <w:bookmarkStart w:id="20" w:name="__RefHeading___Toc157773139"/>
      <w:bookmarkEnd w:id="20"/>
      <w:r>
        <w:rPr/>
        <w:t>Type III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ind w:hanging="0" w:start="0"/>
        <w:rPr/>
      </w:pPr>
      <w:bookmarkStart w:id="21" w:name="__RefHeading___Toc157773140"/>
      <w:bookmarkEnd w:id="21"/>
      <w:r>
        <w:rPr/>
        <w:t>Type IV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Normal"/>
        <w:rPr/>
      </w:pPr>
      <w:r>
        <w:rPr/>
      </w:r>
    </w:p>
    <w:p>
      <w:pPr>
        <w:pStyle w:val="TableText"/>
        <w:spacing w:before="120" w:after="120"/>
        <w:rPr/>
      </w:pPr>
      <w:r>
        <w:rPr/>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9</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9">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28">
          <wp:simplePos x="0" y="0"/>
          <wp:positionH relativeFrom="column">
            <wp:posOffset>5676900</wp:posOffset>
          </wp:positionH>
          <wp:positionV relativeFrom="paragraph">
            <wp:posOffset>-26035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GB"/>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bullet"/>
      <w:lvlText w:val=""/>
      <w:lvlJc w:val="start"/>
      <w:pPr>
        <w:tabs>
          <w:tab w:val="num" w:pos="1627"/>
        </w:tabs>
        <w:ind w:start="1627" w:hanging="547"/>
      </w:pPr>
      <w:rPr>
        <w:rFonts w:ascii="Symbol" w:hAnsi="Symbol" w:cs="Symbol" w:hint="default"/>
      </w:rPr>
    </w:lvl>
  </w:abstractNum>
  <w:abstractNum w:abstractNumId="20">
    <w:lvl w:ilvl="0">
      <w:start w:val="1"/>
      <w:numFmt w:val="bullet"/>
      <w:lvlText w:val=""/>
      <w:lvlJc w:val="start"/>
      <w:pPr>
        <w:tabs>
          <w:tab w:val="num" w:pos="2160"/>
        </w:tabs>
        <w:ind w:start="2160" w:hanging="533"/>
      </w:pPr>
      <w:rPr>
        <w:rFonts w:ascii="Symbol" w:hAnsi="Symbol" w:cs="Symbol" w:hint="default"/>
      </w:rPr>
    </w:lvl>
  </w:abstractNum>
  <w:abstractNum w:abstractNumId="21">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3">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7"/>
      </w:numPr>
      <w:tabs>
        <w:tab w:val="clear" w:pos="720"/>
        <w:tab w:val="left" w:pos="1134" w:leader="none"/>
      </w:tabs>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7"/>
      </w:numPr>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b w:val="false"/>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2z1">
    <w:name w:val="WW8Num12z1"/>
    <w:qFormat/>
    <w:rPr>
      <w:sz w:val="18"/>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Bold;Times New Roman" w:hAnsi="Times New Roman Bold;Times New Roman" w:cs="Times New Roman Bold;Times New Roman"/>
      <w:b/>
      <w:i w:val="false"/>
      <w:sz w:val="28"/>
    </w:rPr>
  </w:style>
  <w:style w:type="character" w:styleId="WW8Num14z1">
    <w:name w:val="WW8Num14z1"/>
    <w:qFormat/>
    <w:rPr>
      <w:rFonts w:ascii="Times New Roman Bold;Times New Roman" w:hAnsi="Times New Roman Bold;Times New Roman" w:cs="Times New Roman Bold;Times New Roman"/>
      <w:b/>
      <w:i w:val="false"/>
      <w:sz w:val="24"/>
      <w:lang w:val="en-US"/>
    </w:rPr>
  </w:style>
  <w:style w:type="character" w:styleId="WW8Num14z2">
    <w:name w:val="WW8Num14z2"/>
    <w:qFormat/>
    <w:rPr>
      <w:rFonts w:ascii="Times New Roman" w:hAnsi="Times New Roman" w:cs="Times New Roman"/>
      <w:b/>
      <w:i w:val="false"/>
      <w:sz w:val="24"/>
    </w:rPr>
  </w:style>
  <w:style w:type="character" w:styleId="WW8Num14z4">
    <w:name w:val="WW8Num14z4"/>
    <w:qFormat/>
    <w:rPr>
      <w:rFonts w:ascii="Times New Roman Bold;Times New Roman" w:hAnsi="Times New Roman Bold;Times New Roman" w:cs="Times New Roman Bold;Times New Roman"/>
      <w:b/>
      <w:i w:val="false"/>
      <w:sz w:val="22"/>
      <w:szCs w:val="22"/>
    </w:rPr>
  </w:style>
  <w:style w:type="character" w:styleId="WW8Num14z5">
    <w:name w:val="WW8Num14z5"/>
    <w:qFormat/>
    <w:rPr>
      <w:rFonts w:ascii="Times New Roman" w:hAnsi="Times New Roman" w:cs="Times New Roman"/>
      <w:b w:val="false"/>
      <w:i w:val="false"/>
      <w:sz w:val="22"/>
    </w:rPr>
  </w:style>
  <w:style w:type="character" w:styleId="WW8Num14z8">
    <w:name w:val="WW8Num14z8"/>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Bold;Times New Roman" w:hAnsi="Times New Roman Bold;Times New Roman" w:cs="Times New Roman Bold;Times New Roman"/>
      <w:b/>
      <w:i w:val="false"/>
      <w:sz w:val="28"/>
    </w:rPr>
  </w:style>
  <w:style w:type="character" w:styleId="WW8Num16z2">
    <w:name w:val="WW8Num16z2"/>
    <w:qFormat/>
    <w:rPr>
      <w:rFonts w:ascii="Times New Roman" w:hAnsi="Times New Roman" w:cs="Times New Roman"/>
      <w:b/>
      <w:i w:val="false"/>
      <w:sz w:val="24"/>
    </w:rPr>
  </w:style>
  <w:style w:type="character" w:styleId="WW8Num16z4">
    <w:name w:val="WW8Num16z4"/>
    <w:qFormat/>
    <w:rPr>
      <w:rFonts w:ascii="Times New Roman" w:hAnsi="Times New Roman" w:cs="Times New Roman"/>
      <w:b w:val="false"/>
      <w:i w:val="false"/>
      <w:sz w:val="22"/>
    </w:rPr>
  </w:style>
  <w:style w:type="character" w:styleId="WW8Num16z8">
    <w:name w:val="WW8Num16z8"/>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w:b/>
      <w:i w:val="false"/>
      <w:color w:val="000000"/>
      <w:sz w:val="24"/>
    </w:rPr>
  </w:style>
  <w:style w:type="character" w:styleId="WW8Num18z1">
    <w:name w:val="WW8Num18z1"/>
    <w:qFormat/>
    <w:rPr>
      <w:rFonts w:ascii="Times New Roman Bold;Times New Roman" w:hAnsi="Times New Roman Bold;Times New Roman" w:cs="Times New Roman"/>
      <w:b/>
      <w:i w:val="false"/>
      <w:sz w:val="24"/>
    </w:rPr>
  </w:style>
  <w:style w:type="character" w:styleId="WW8Num18z2">
    <w:name w:val="WW8Num18z2"/>
    <w:qFormat/>
    <w:rPr>
      <w:rFonts w:ascii="Times New Roman" w:hAnsi="Times New Roman" w:cs="Times New Roman"/>
      <w:b w:val="false"/>
      <w:i w:val="false"/>
      <w:sz w:val="22"/>
      <w:lang w:val="en-GB"/>
    </w:rPr>
  </w:style>
  <w:style w:type="character" w:styleId="WW8Num18z3">
    <w:name w:val="WW8Num18z3"/>
    <w:qFormat/>
    <w:rPr>
      <w:rFonts w:ascii="Times New Roman" w:hAnsi="Times New Roman" w:cs="Times New Roman"/>
      <w:b w:val="false"/>
      <w:i/>
      <w:sz w:val="22"/>
    </w:rPr>
  </w:style>
  <w:style w:type="character" w:styleId="WW8Num18z4">
    <w:name w:val="WW8Num18z4"/>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z w:val="18"/>
    </w:rPr>
  </w:style>
  <w:style w:type="character" w:styleId="WW8Num21z0">
    <w:name w:val="WW8Num21z0"/>
    <w:qFormat/>
    <w:rPr>
      <w:b w:val="false"/>
    </w:rPr>
  </w:style>
  <w:style w:type="character" w:styleId="WW8Num22z0">
    <w:name w:val="WW8Num22z0"/>
    <w:qFormat/>
    <w:rPr>
      <w:b w:val="false"/>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Bold;Times New Roman" w:hAnsi="Times New Roman Bold;Times New Roman" w:cs="Times New Roman Bold;Times New Roman"/>
      <w:b/>
      <w:i w:val="false"/>
      <w:color w:val="000000"/>
      <w:sz w:val="28"/>
      <w:szCs w:val="28"/>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style>
  <w:style w:type="character" w:styleId="WW8Num26z1">
    <w:name w:val="WW8Num26z1"/>
    <w:qFormat/>
    <w:rPr>
      <w:sz w:val="18"/>
    </w:rPr>
  </w:style>
  <w:style w:type="character" w:styleId="WW8Num27z0">
    <w:name w:val="WW8Num27z0"/>
    <w:qFormat/>
    <w:rPr>
      <w:b w:val="false"/>
    </w:rPr>
  </w:style>
  <w:style w:type="character" w:styleId="WW8Num29z0">
    <w:name w:val="WW8Num29z0"/>
    <w:qFormat/>
    <w:rPr>
      <w:rFonts w:ascii="Times New Roman" w:hAnsi="Times New Roman" w:cs="Times New Roman"/>
      <w:b w:val="false"/>
      <w:i w:val="false"/>
      <w:color w:val="000000"/>
      <w:sz w:val="22"/>
      <w:szCs w:val="20"/>
    </w:rPr>
  </w:style>
  <w:style w:type="character" w:styleId="WW8Num29z1">
    <w:name w:val="WW8Num29z1"/>
    <w:qFormat/>
    <w:rPr>
      <w:rFonts w:ascii="Symbol" w:hAnsi="Symbol" w:eastAsia="Times New Roman" w:cs="Times New Roman"/>
      <w:b w:val="false"/>
      <w:i w:val="false"/>
      <w:color w:val="000000"/>
      <w:sz w:val="22"/>
      <w:szCs w:val="20"/>
    </w:rPr>
  </w:style>
  <w:style w:type="character" w:styleId="WW8Num29z2">
    <w:name w:val="WW8Num29z2"/>
    <w:qFormat/>
    <w:rPr/>
  </w:style>
  <w:style w:type="character" w:styleId="WW8Num30z0">
    <w:name w:val="WW8Num30z0"/>
    <w:qFormat/>
    <w:rPr>
      <w:rFonts w:ascii="Times New Roman" w:hAnsi="Times New Roman" w:cs="Times New Roman"/>
      <w:b w:val="false"/>
      <w:i w:val="false"/>
      <w:color w:val="000000"/>
      <w:sz w:val="22"/>
    </w:rPr>
  </w:style>
  <w:style w:type="character" w:styleId="WW8Num30z1">
    <w:name w:val="WW8Num30z1"/>
    <w:qFormat/>
    <w:rPr>
      <w:rFonts w:ascii="Times New Roman Bold;Times New Roman" w:hAnsi="Times New Roman Bold;Times New Roman" w:cs="Times New Roman Bold;Times New Roman"/>
      <w:b/>
      <w:i w:val="false"/>
      <w:sz w:val="28"/>
      <w:szCs w:val="28"/>
    </w:rPr>
  </w:style>
  <w:style w:type="character" w:styleId="WW8Num30z2">
    <w:name w:val="WW8Num30z2"/>
    <w:qFormat/>
    <w:rPr>
      <w:rFonts w:ascii="Times New Roman" w:hAnsi="Times New Roman" w:cs="Times New Roman"/>
      <w:b w:val="false"/>
      <w:i w:val="false"/>
      <w:sz w:val="22"/>
    </w:rPr>
  </w:style>
  <w:style w:type="character" w:styleId="WW8Num30z4">
    <w:name w:val="WW8Num30z4"/>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b w:val="false"/>
    </w:rPr>
  </w:style>
  <w:style w:type="character" w:styleId="WW8Num33z0">
    <w:name w:val="WW8Num33z0"/>
    <w:qFormat/>
    <w:rPr>
      <w:b w:val="false"/>
    </w:rPr>
  </w:style>
  <w:style w:type="character" w:styleId="WW8Num34z0">
    <w:name w:val="WW8Num34z0"/>
    <w:qFormat/>
    <w:rPr/>
  </w:style>
  <w:style w:type="character" w:styleId="WW8Num35z0">
    <w:name w:val="WW8Num35z0"/>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2"/>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19"/>
      </w:numPr>
      <w:tabs>
        <w:tab w:val="clear" w:pos="720"/>
        <w:tab w:val="left" w:pos="1440" w:leader="none"/>
      </w:tabs>
      <w:ind w:hanging="360" w:start="1440" w:end="0"/>
    </w:pPr>
    <w:rPr/>
  </w:style>
  <w:style w:type="paragraph" w:styleId="BodyTextBulletL1">
    <w:name w:val="Body Text Bullet L1"/>
    <w:basedOn w:val="Normal"/>
    <w:qFormat/>
    <w:pPr>
      <w:numPr>
        <w:ilvl w:val="0"/>
        <w:numId w:val="20"/>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3"/>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1"/>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Dokumentstruktur">
    <w:name w:val="Dokumentstruktur"/>
    <w:basedOn w:val="Normal"/>
    <w:qFormat/>
    <w:pPr>
      <w:shd w:fill="000080" w:val="clear"/>
    </w:pPr>
    <w:rPr>
      <w:rFonts w:ascii="Tahoma" w:hAnsi="Tahoma" w:cs="Tahoma"/>
    </w:rPr>
  </w:style>
  <w:style w:type="paragraph" w:styleId="Char1CharCharCharCharChar">
    <w:name w:val="Char1 Char Char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
    <w:qFormat/>
    <w:pPr>
      <w:numPr>
        <w:ilvl w:val="0"/>
        <w:numId w:val="17"/>
      </w:numPr>
    </w:pPr>
    <w:rPr/>
  </w:style>
  <w:style w:type="paragraph" w:styleId="Formatvorlage2">
    <w:name w:val="Formatvorlage2"/>
    <w:basedOn w:val="Heading2"/>
    <w:qFormat/>
    <w:pPr>
      <w:numPr>
        <w:ilvl w:val="0"/>
        <w:numId w:val="17"/>
      </w:numP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2007-01-29T19:58:00Z</dcterms:created>
  <dc:creator>Bob Szambelan</dc:creator>
  <dc:description/>
  <cp:keywords>General Accounting</cp:keywords>
  <dc:language>en-US</dc:language>
  <cp:lastModifiedBy>Wenger Plattner</cp:lastModifiedBy>
  <cp:lastPrinted>2005-10-31T15:43:00Z</cp:lastPrinted>
  <dcterms:modified xsi:type="dcterms:W3CDTF">2007-01-29T19:58:00Z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