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rFonts w:ascii="Arial" w:hAnsi="Arial" w:cs="Arial"/>
        </w:rPr>
      </w:pPr>
      <w:r>
        <w:rPr>
          <w:rFonts w:cs="Arial" w:ascii="Arial" w:hAnsi="Arial"/>
        </w:rPr>
        <w:t>GlobalPharma</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t>Exhibit 2.7</w:t>
      </w:r>
    </w:p>
    <w:p>
      <w:pPr>
        <w:pStyle w:val="Titel"/>
        <w:rPr>
          <w:rFonts w:ascii="Arial" w:hAnsi="Arial" w:cs="Arial"/>
        </w:rPr>
      </w:pPr>
      <w:r>
        <w:rPr>
          <w:rFonts w:cs="Arial" w:ascii="Arial" w:hAnsi="Arial"/>
        </w:rPr>
        <w:t>Statement of work</w:t>
      </w:r>
    </w:p>
    <w:p>
      <w:pPr>
        <w:pStyle w:val="Titel"/>
        <w:rPr>
          <w:rFonts w:ascii="Arial" w:hAnsi="Arial" w:cs="Arial"/>
        </w:rPr>
      </w:pPr>
      <w:r>
        <w:rPr>
          <w:rFonts w:cs="Arial" w:ascii="Arial" w:hAnsi="Arial"/>
        </w:rPr>
        <w:t>ORDER TO CASH (OTC)</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tbl>
      <w:tblPr>
        <w:tblW w:w="10260" w:type="dxa"/>
        <w:jc w:val="start"/>
        <w:tblInd w:w="288" w:type="dxa"/>
        <w:tblLayout w:type="fixed"/>
        <w:tblCellMar>
          <w:top w:w="0" w:type="dxa"/>
          <w:start w:w="108" w:type="dxa"/>
          <w:bottom w:w="0" w:type="dxa"/>
          <w:end w:w="108" w:type="dxa"/>
        </w:tblCellMar>
      </w:tblPr>
      <w:tblGrid>
        <w:gridCol w:w="10260"/>
      </w:tblGrid>
      <w:tr>
        <w:trPr/>
        <w:tc>
          <w:tcPr>
            <w:tcW w:w="1026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before="120" w:after="120"/>
              <w:ind w:start="72" w:end="0"/>
              <w:jc w:val="both"/>
              <w:rPr/>
            </w:pPr>
            <w:r>
              <w:rPr/>
            </w:r>
          </w:p>
          <w:p>
            <w:pPr>
              <w:pStyle w:val="Normal"/>
              <w:ind w:start="72" w:end="0"/>
              <w:jc w:val="both"/>
              <w:rPr/>
            </w:pPr>
            <w:r>
              <w:rPr>
                <w:rFonts w:cs="Arial" w:ascii="Arial" w:hAnsi="Arial"/>
                <w:sz w:val="24"/>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both"/>
              <w:rPr>
                <w:rFonts w:ascii="Arial" w:hAnsi="Arial" w:cs="Arial"/>
                <w:sz w:val="24"/>
              </w:rPr>
            </w:pPr>
            <w:r>
              <w:rPr>
                <w:rFonts w:cs="Arial" w:ascii="Arial" w:hAnsi="Arial"/>
                <w:sz w:val="24"/>
              </w:rPr>
            </w:r>
          </w:p>
        </w:tc>
      </w:tr>
    </w:tbl>
    <w:p>
      <w:pPr>
        <w:pStyle w:val="Normal"/>
        <w:jc w:val="both"/>
        <w:rPr>
          <w:lang w:val="en-GB"/>
        </w:rPr>
      </w:pPr>
      <w:r>
        <w:rPr>
          <w:lang w:val="en-GB"/>
        </w:rPr>
      </w:r>
    </w:p>
    <w:p>
      <w:pPr>
        <w:pStyle w:val="Titel"/>
        <w:rPr>
          <w:lang w:val="en-GB"/>
        </w:rPr>
      </w:pPr>
      <w:r>
        <w:rPr>
          <w:lang w:val="en-GB"/>
        </w:rPr>
      </w:r>
    </w:p>
    <w:p>
      <w:pPr>
        <w:pStyle w:val="Titel"/>
        <w:rPr>
          <w:sz w:val="22"/>
          <w:szCs w:val="20"/>
        </w:rPr>
      </w:pPr>
      <w:r>
        <w:rPr>
          <w:sz w:val="22"/>
          <w:szCs w:val="20"/>
        </w:rPr>
        <w:t>Table of Contents</w:t>
      </w:r>
    </w:p>
    <w:sdt>
      <w:sdtPr>
        <w:docPartObj>
          <w:docPartGallery w:val="Table of Contents"/>
          <w:docPartUnique w:val="true"/>
        </w:docPartObj>
      </w:sdtPr>
      <w:sdtContent>
        <w:p>
          <w:pPr>
            <w:pStyle w:val="TOC1"/>
            <w:tabs>
              <w:tab w:val="clear" w:pos="720"/>
              <w:tab w:val="left" w:pos="440" w:leader="none"/>
              <w:tab w:val="right" w:pos="10506" w:leader="dot"/>
            </w:tabs>
            <w:rPr>
              <w:b w:val="false"/>
              <w:bCs w:val="false"/>
              <w:caps w:val="false"/>
              <w:smallCaps w:val="false"/>
              <w:sz w:val="24"/>
              <w:szCs w:val="24"/>
              <w:lang w:val="de-CH" w:eastAsia="en-US"/>
            </w:rPr>
          </w:pPr>
          <w:r>
            <w:fldChar w:fldCharType="begin"/>
          </w:r>
          <w:r>
            <w:rPr>
              <w:rStyle w:val="IndexLink"/>
              <w:smallCaps/>
              <w:lang w:val="en-US" w:eastAsia="en-US"/>
            </w:rPr>
            <w:instrText xml:space="preserve"> TOC \h \z \t "Formatvorlage1;1;Formatvorlage2;2" </w:instrText>
          </w:r>
          <w:r>
            <w:rPr>
              <w:rStyle w:val="IndexLink"/>
              <w:smallCaps/>
              <w:lang w:val="en-US" w:eastAsia="en-US"/>
            </w:rPr>
            <w:fldChar w:fldCharType="separate"/>
          </w:r>
          <w:hyperlink w:anchor="__RefHeading___Toc157773421">
            <w:r>
              <w:rPr>
                <w:rStyle w:val="IndexLink"/>
                <w:smallCaps/>
                <w:lang w:val="en-US" w:eastAsia="en-US"/>
              </w:rPr>
              <w:t>1.</w:t>
            </w:r>
            <w:r>
              <w:rPr>
                <w:rStyle w:val="IndexLink"/>
                <w:b w:val="false"/>
                <w:bCs w:val="false"/>
                <w:caps w:val="false"/>
                <w:smallCaps w:val="false"/>
                <w:sz w:val="24"/>
                <w:szCs w:val="24"/>
                <w:lang w:val="de-CH" w:eastAsia="en-US"/>
              </w:rPr>
              <w:tab/>
            </w:r>
            <w:r>
              <w:rPr>
                <w:rStyle w:val="IndexLink"/>
                <w:smallCaps/>
                <w:lang w:val="en-US" w:eastAsia="en-US"/>
              </w:rPr>
              <w:t>Introduction</w:t>
              <w:tab/>
              <w:t>4</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22">
            <w:r>
              <w:rPr>
                <w:rStyle w:val="IndexLink"/>
                <w:lang w:val="en-US" w:eastAsia="en-US"/>
              </w:rPr>
              <w:t>1.1.</w:t>
            </w:r>
            <w:r>
              <w:rPr>
                <w:rStyle w:val="IndexLink"/>
                <w:caps w:val="false"/>
                <w:smallCaps w:val="false"/>
                <w:sz w:val="24"/>
                <w:szCs w:val="24"/>
                <w:lang w:val="de-CH" w:eastAsia="en-US"/>
              </w:rPr>
              <w:tab/>
            </w:r>
            <w:r>
              <w:rPr>
                <w:rStyle w:val="IndexLink"/>
                <w:lang w:val="en-US" w:eastAsia="en-US"/>
              </w:rPr>
              <w:t>General</w:t>
              <w:tab/>
              <w:t>4</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423">
            <w:r>
              <w:rPr>
                <w:rStyle w:val="IndexLink"/>
                <w:lang w:val="en-US" w:eastAsia="en-US"/>
              </w:rPr>
              <w:t>2.</w:t>
            </w:r>
            <w:r>
              <w:rPr>
                <w:rStyle w:val="IndexLink"/>
                <w:b w:val="false"/>
                <w:bCs w:val="false"/>
                <w:caps w:val="false"/>
                <w:smallCaps w:val="false"/>
                <w:sz w:val="24"/>
                <w:szCs w:val="24"/>
                <w:lang w:val="de-CH" w:eastAsia="en-US"/>
              </w:rPr>
              <w:tab/>
            </w:r>
            <w:r>
              <w:rPr>
                <w:rStyle w:val="IndexLink"/>
                <w:lang w:val="en-US" w:eastAsia="en-US"/>
              </w:rPr>
              <w:t>credit processing</w:t>
              <w:tab/>
              <w:t>4</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24">
            <w:r>
              <w:rPr>
                <w:rStyle w:val="IndexLink"/>
                <w:lang w:val="en-US" w:eastAsia="en-US"/>
              </w:rPr>
              <w:t>2.2.</w:t>
            </w:r>
            <w:r>
              <w:rPr>
                <w:rStyle w:val="IndexLink"/>
                <w:caps w:val="false"/>
                <w:smallCaps w:val="false"/>
                <w:sz w:val="24"/>
                <w:szCs w:val="24"/>
                <w:lang w:val="de-CH" w:eastAsia="en-US"/>
              </w:rPr>
              <w:tab/>
            </w:r>
            <w:r>
              <w:rPr>
                <w:rStyle w:val="IndexLink"/>
                <w:lang w:val="en-US" w:eastAsia="en-US"/>
              </w:rPr>
              <w:t>Establish Credit Limits</w:t>
              <w:tab/>
              <w:t>4</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25">
            <w:r>
              <w:rPr>
                <w:rStyle w:val="IndexLink"/>
                <w:lang w:val="en-US" w:eastAsia="en-US"/>
              </w:rPr>
              <w:t>2.3.</w:t>
            </w:r>
            <w:r>
              <w:rPr>
                <w:rStyle w:val="IndexLink"/>
                <w:caps w:val="false"/>
                <w:smallCaps w:val="false"/>
                <w:sz w:val="24"/>
                <w:szCs w:val="24"/>
                <w:lang w:val="de-CH" w:eastAsia="en-US"/>
              </w:rPr>
              <w:tab/>
            </w:r>
            <w:r>
              <w:rPr>
                <w:rStyle w:val="IndexLink"/>
                <w:lang w:val="en-US" w:eastAsia="en-US"/>
              </w:rPr>
              <w:t>Maintain Credit Limits</w:t>
              <w:tab/>
              <w:t>5</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26">
            <w:r>
              <w:rPr>
                <w:rStyle w:val="IndexLink"/>
                <w:lang w:val="en-US" w:eastAsia="en-US"/>
              </w:rPr>
              <w:t>2.4.</w:t>
            </w:r>
            <w:r>
              <w:rPr>
                <w:rStyle w:val="IndexLink"/>
                <w:caps w:val="false"/>
                <w:smallCaps w:val="false"/>
                <w:sz w:val="24"/>
                <w:szCs w:val="24"/>
                <w:lang w:val="de-CH" w:eastAsia="en-US"/>
              </w:rPr>
              <w:tab/>
            </w:r>
            <w:r>
              <w:rPr>
                <w:rStyle w:val="IndexLink"/>
                <w:lang w:val="en-US" w:eastAsia="en-US"/>
              </w:rPr>
              <w:t>Manage Credit Limits</w:t>
              <w:tab/>
              <w:t>6</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27">
            <w:r>
              <w:rPr>
                <w:rStyle w:val="IndexLink"/>
                <w:lang w:val="en-US" w:eastAsia="en-US"/>
              </w:rPr>
              <w:t>2.5.</w:t>
            </w:r>
            <w:r>
              <w:rPr>
                <w:rStyle w:val="IndexLink"/>
                <w:caps w:val="false"/>
                <w:smallCaps w:val="false"/>
                <w:sz w:val="24"/>
                <w:szCs w:val="24"/>
                <w:lang w:val="de-CH" w:eastAsia="en-US"/>
              </w:rPr>
              <w:tab/>
            </w:r>
            <w:r>
              <w:rPr>
                <w:rStyle w:val="IndexLink"/>
                <w:lang w:val="en-US" w:eastAsia="en-US"/>
              </w:rPr>
              <w:t>Other Credit Activities</w:t>
              <w:tab/>
              <w:t>6</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428">
            <w:r>
              <w:rPr>
                <w:rStyle w:val="IndexLink"/>
                <w:lang w:val="en-US" w:eastAsia="en-US"/>
              </w:rPr>
              <w:t>3.</w:t>
            </w:r>
            <w:r>
              <w:rPr>
                <w:rStyle w:val="IndexLink"/>
                <w:b w:val="false"/>
                <w:bCs w:val="false"/>
                <w:caps w:val="false"/>
                <w:smallCaps w:val="false"/>
                <w:sz w:val="24"/>
                <w:szCs w:val="24"/>
                <w:lang w:val="de-CH" w:eastAsia="en-US"/>
              </w:rPr>
              <w:tab/>
            </w:r>
            <w:r>
              <w:rPr>
                <w:rStyle w:val="IndexLink"/>
                <w:lang w:val="en-US" w:eastAsia="en-US"/>
              </w:rPr>
              <w:t>customer maintenance activities</w:t>
              <w:tab/>
              <w:t>7</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429">
            <w:r>
              <w:rPr>
                <w:rStyle w:val="IndexLink"/>
                <w:lang w:val="en-US" w:eastAsia="en-US"/>
              </w:rPr>
              <w:t>4.</w:t>
            </w:r>
            <w:r>
              <w:rPr>
                <w:rStyle w:val="IndexLink"/>
                <w:b w:val="false"/>
                <w:bCs w:val="false"/>
                <w:caps w:val="false"/>
                <w:smallCaps w:val="false"/>
                <w:sz w:val="24"/>
                <w:szCs w:val="24"/>
                <w:lang w:val="de-CH" w:eastAsia="en-US"/>
              </w:rPr>
              <w:tab/>
            </w:r>
            <w:r>
              <w:rPr>
                <w:rStyle w:val="IndexLink"/>
                <w:lang w:val="en-US" w:eastAsia="en-US"/>
              </w:rPr>
              <w:t>INvoicing</w:t>
              <w:tab/>
              <w:t>7</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30">
            <w:r>
              <w:rPr>
                <w:rStyle w:val="IndexLink"/>
                <w:lang w:val="en-US" w:eastAsia="en-US"/>
              </w:rPr>
              <w:t>4.1.</w:t>
            </w:r>
            <w:r>
              <w:rPr>
                <w:rStyle w:val="IndexLink"/>
                <w:caps w:val="false"/>
                <w:smallCaps w:val="false"/>
                <w:sz w:val="24"/>
                <w:szCs w:val="24"/>
                <w:lang w:val="de-CH" w:eastAsia="en-US"/>
              </w:rPr>
              <w:tab/>
            </w:r>
            <w:r>
              <w:rPr>
                <w:rStyle w:val="IndexLink"/>
                <w:lang w:val="en-US" w:eastAsia="en-US"/>
              </w:rPr>
              <w:t>Manual Invoice/Credit Memo Issuances</w:t>
              <w:tab/>
              <w:t>7</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431">
            <w:r>
              <w:rPr>
                <w:rStyle w:val="IndexLink"/>
                <w:lang w:val="en-US" w:eastAsia="en-US"/>
              </w:rPr>
              <w:t>5.</w:t>
            </w:r>
            <w:r>
              <w:rPr>
                <w:rStyle w:val="IndexLink"/>
                <w:b w:val="false"/>
                <w:bCs w:val="false"/>
                <w:caps w:val="false"/>
                <w:smallCaps w:val="false"/>
                <w:sz w:val="24"/>
                <w:szCs w:val="24"/>
                <w:lang w:val="de-CH" w:eastAsia="en-US"/>
              </w:rPr>
              <w:tab/>
            </w:r>
            <w:r>
              <w:rPr>
                <w:rStyle w:val="IndexLink"/>
                <w:lang w:val="en-US" w:eastAsia="en-US"/>
              </w:rPr>
              <w:t>Accounts receivable</w:t>
              <w:tab/>
              <w:t>8</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32">
            <w:r>
              <w:rPr>
                <w:rStyle w:val="IndexLink"/>
                <w:lang w:val="en-US" w:eastAsia="en-US"/>
              </w:rPr>
              <w:t>5.1.</w:t>
            </w:r>
            <w:r>
              <w:rPr>
                <w:rStyle w:val="IndexLink"/>
                <w:caps w:val="false"/>
                <w:smallCaps w:val="false"/>
                <w:sz w:val="24"/>
                <w:szCs w:val="24"/>
                <w:lang w:val="de-CH" w:eastAsia="en-US"/>
              </w:rPr>
              <w:tab/>
            </w:r>
            <w:r>
              <w:rPr>
                <w:rStyle w:val="IndexLink"/>
                <w:lang w:val="en-US" w:eastAsia="en-US"/>
              </w:rPr>
              <w:t>Validate Charges to Accounts Receivable from Subsidiary Ledgers</w:t>
              <w:tab/>
              <w:t>8</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33">
            <w:r>
              <w:rPr>
                <w:rStyle w:val="IndexLink"/>
                <w:lang w:val="en-US" w:eastAsia="en-US"/>
              </w:rPr>
              <w:t>5.2.</w:t>
            </w:r>
            <w:r>
              <w:rPr>
                <w:rStyle w:val="IndexLink"/>
                <w:caps w:val="false"/>
                <w:smallCaps w:val="false"/>
                <w:sz w:val="24"/>
                <w:szCs w:val="24"/>
                <w:lang w:val="de-CH" w:eastAsia="en-US"/>
              </w:rPr>
              <w:tab/>
            </w:r>
            <w:r>
              <w:rPr>
                <w:rStyle w:val="IndexLink"/>
                <w:lang w:val="en-US" w:eastAsia="en-US"/>
              </w:rPr>
              <w:t>Process Manual Customer Payments</w:t>
              <w:tab/>
              <w:t>9</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34">
            <w:r>
              <w:rPr>
                <w:rStyle w:val="IndexLink"/>
                <w:lang w:val="en-US" w:eastAsia="en-US"/>
              </w:rPr>
              <w:t>5.3.</w:t>
            </w:r>
            <w:r>
              <w:rPr>
                <w:rStyle w:val="IndexLink"/>
                <w:caps w:val="false"/>
                <w:smallCaps w:val="false"/>
                <w:sz w:val="24"/>
                <w:szCs w:val="24"/>
                <w:lang w:val="de-CH" w:eastAsia="en-US"/>
              </w:rPr>
              <w:tab/>
            </w:r>
            <w:r>
              <w:rPr>
                <w:rStyle w:val="IndexLink"/>
                <w:lang w:val="en-US" w:eastAsia="en-US"/>
              </w:rPr>
              <w:t>Process Electronic Payments</w:t>
              <w:tab/>
              <w:t>9</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35">
            <w:r>
              <w:rPr>
                <w:rStyle w:val="IndexLink"/>
                <w:lang w:val="en-US" w:eastAsia="en-US"/>
              </w:rPr>
              <w:t>5.4.</w:t>
            </w:r>
            <w:r>
              <w:rPr>
                <w:rStyle w:val="IndexLink"/>
                <w:caps w:val="false"/>
                <w:smallCaps w:val="false"/>
                <w:sz w:val="24"/>
                <w:szCs w:val="24"/>
                <w:lang w:val="de-CH" w:eastAsia="en-US"/>
              </w:rPr>
              <w:tab/>
            </w:r>
            <w:r>
              <w:rPr>
                <w:rStyle w:val="IndexLink"/>
                <w:lang w:val="en-US" w:eastAsia="en-US"/>
              </w:rPr>
              <w:t>Reconcile Unapplied Payments</w:t>
              <w:tab/>
              <w:t>9</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36">
            <w:r>
              <w:rPr>
                <w:rStyle w:val="IndexLink"/>
                <w:lang w:val="en-US" w:eastAsia="en-US"/>
              </w:rPr>
              <w:t>5.5.</w:t>
            </w:r>
            <w:r>
              <w:rPr>
                <w:rStyle w:val="IndexLink"/>
                <w:caps w:val="false"/>
                <w:smallCaps w:val="false"/>
                <w:sz w:val="24"/>
                <w:szCs w:val="24"/>
                <w:lang w:val="de-CH" w:eastAsia="en-US"/>
              </w:rPr>
              <w:tab/>
            </w:r>
            <w:r>
              <w:rPr>
                <w:rStyle w:val="IndexLink"/>
                <w:lang w:val="en-US" w:eastAsia="en-US"/>
              </w:rPr>
              <w:t>Customer Refunds</w:t>
              <w:tab/>
              <w:t>10</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37">
            <w:r>
              <w:rPr>
                <w:rStyle w:val="IndexLink"/>
                <w:lang w:val="en-US" w:eastAsia="en-US"/>
              </w:rPr>
              <w:t>5.6.</w:t>
            </w:r>
            <w:r>
              <w:rPr>
                <w:rStyle w:val="IndexLink"/>
                <w:caps w:val="false"/>
                <w:smallCaps w:val="false"/>
                <w:sz w:val="24"/>
                <w:szCs w:val="24"/>
                <w:lang w:val="de-CH" w:eastAsia="en-US"/>
              </w:rPr>
              <w:tab/>
            </w:r>
            <w:r>
              <w:rPr>
                <w:rStyle w:val="IndexLink"/>
                <w:lang w:val="en-US" w:eastAsia="en-US"/>
              </w:rPr>
              <w:t>Other Payment Processing Activities</w:t>
              <w:tab/>
              <w:t>10</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38">
            <w:r>
              <w:rPr>
                <w:rStyle w:val="IndexLink"/>
                <w:lang w:val="en-US" w:eastAsia="en-US"/>
              </w:rPr>
              <w:t>5.7.</w:t>
            </w:r>
            <w:r>
              <w:rPr>
                <w:rStyle w:val="IndexLink"/>
                <w:caps w:val="false"/>
                <w:smallCaps w:val="false"/>
                <w:sz w:val="24"/>
                <w:szCs w:val="24"/>
                <w:lang w:val="de-CH" w:eastAsia="en-US"/>
              </w:rPr>
              <w:tab/>
            </w:r>
            <w:r>
              <w:rPr>
                <w:rStyle w:val="IndexLink"/>
                <w:lang w:val="en-US" w:eastAsia="en-US"/>
              </w:rPr>
              <w:t>Aged Accounts Receivable</w:t>
              <w:tab/>
              <w:t>12</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439">
            <w:r>
              <w:rPr>
                <w:rStyle w:val="IndexLink"/>
                <w:lang w:val="en-US" w:eastAsia="en-US"/>
              </w:rPr>
              <w:t>6.</w:t>
            </w:r>
            <w:r>
              <w:rPr>
                <w:rStyle w:val="IndexLink"/>
                <w:b w:val="false"/>
                <w:bCs w:val="false"/>
                <w:caps w:val="false"/>
                <w:smallCaps w:val="false"/>
                <w:sz w:val="24"/>
                <w:szCs w:val="24"/>
                <w:lang w:val="de-CH" w:eastAsia="en-US"/>
              </w:rPr>
              <w:tab/>
            </w:r>
            <w:r>
              <w:rPr>
                <w:rStyle w:val="IndexLink"/>
                <w:lang w:val="en-US" w:eastAsia="en-US"/>
              </w:rPr>
              <w:t>Revenue  Accounting</w:t>
              <w:tab/>
              <w:t>12</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40">
            <w:r>
              <w:rPr>
                <w:rStyle w:val="IndexLink"/>
                <w:lang w:val="en-US" w:eastAsia="en-US"/>
              </w:rPr>
              <w:t>6.1.</w:t>
            </w:r>
            <w:r>
              <w:rPr>
                <w:rStyle w:val="IndexLink"/>
                <w:caps w:val="false"/>
                <w:smallCaps w:val="false"/>
                <w:sz w:val="24"/>
                <w:szCs w:val="24"/>
                <w:lang w:val="de-CH" w:eastAsia="en-US"/>
              </w:rPr>
              <w:tab/>
            </w:r>
            <w:r>
              <w:rPr>
                <w:rStyle w:val="IndexLink"/>
                <w:lang w:val="en-US" w:eastAsia="en-US"/>
              </w:rPr>
              <w:t>Journal Entries</w:t>
              <w:tab/>
              <w:t>12</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41">
            <w:r>
              <w:rPr>
                <w:rStyle w:val="IndexLink"/>
                <w:lang w:val="en-US" w:eastAsia="en-US"/>
              </w:rPr>
              <w:t>6.2.</w:t>
            </w:r>
            <w:r>
              <w:rPr>
                <w:rStyle w:val="IndexLink"/>
                <w:caps w:val="false"/>
                <w:smallCaps w:val="false"/>
                <w:sz w:val="24"/>
                <w:szCs w:val="24"/>
                <w:lang w:val="de-CH" w:eastAsia="en-US"/>
              </w:rPr>
              <w:tab/>
            </w:r>
            <w:r>
              <w:rPr>
                <w:rStyle w:val="IndexLink"/>
                <w:lang w:val="en-US" w:eastAsia="en-US"/>
              </w:rPr>
              <w:t>Reconciliations</w:t>
              <w:tab/>
              <w:t>13</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42">
            <w:r>
              <w:rPr>
                <w:rStyle w:val="IndexLink"/>
                <w:lang w:val="en-US" w:eastAsia="en-US"/>
              </w:rPr>
              <w:t>6.3.</w:t>
            </w:r>
            <w:r>
              <w:rPr>
                <w:rStyle w:val="IndexLink"/>
                <w:caps w:val="false"/>
                <w:smallCaps w:val="false"/>
                <w:sz w:val="24"/>
                <w:szCs w:val="24"/>
                <w:lang w:val="de-CH" w:eastAsia="en-US"/>
              </w:rPr>
              <w:tab/>
            </w:r>
            <w:r>
              <w:rPr>
                <w:rStyle w:val="IndexLink"/>
                <w:lang w:val="en-US" w:eastAsia="en-US"/>
              </w:rPr>
              <w:t>Period Close</w:t>
              <w:tab/>
              <w:t>13</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443">
            <w:r>
              <w:rPr>
                <w:rStyle w:val="IndexLink"/>
                <w:lang w:val="en-US" w:eastAsia="en-US"/>
              </w:rPr>
              <w:t>7.</w:t>
            </w:r>
            <w:r>
              <w:rPr>
                <w:rStyle w:val="IndexLink"/>
                <w:b w:val="false"/>
                <w:bCs w:val="false"/>
                <w:caps w:val="false"/>
                <w:smallCaps w:val="false"/>
                <w:sz w:val="24"/>
                <w:szCs w:val="24"/>
                <w:lang w:val="de-CH" w:eastAsia="en-US"/>
              </w:rPr>
              <w:tab/>
            </w:r>
            <w:r>
              <w:rPr>
                <w:rStyle w:val="IndexLink"/>
                <w:lang w:val="en-US" w:eastAsia="en-US"/>
              </w:rPr>
              <w:t>collections</w:t>
              <w:tab/>
              <w:t>14</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44">
            <w:r>
              <w:rPr>
                <w:rStyle w:val="IndexLink"/>
                <w:lang w:val="en-US" w:eastAsia="en-US"/>
              </w:rPr>
              <w:t>7.1.</w:t>
            </w:r>
            <w:r>
              <w:rPr>
                <w:rStyle w:val="IndexLink"/>
                <w:caps w:val="false"/>
                <w:smallCaps w:val="false"/>
                <w:sz w:val="24"/>
                <w:szCs w:val="24"/>
                <w:lang w:val="de-CH" w:eastAsia="en-US"/>
              </w:rPr>
              <w:tab/>
            </w:r>
            <w:r>
              <w:rPr>
                <w:rStyle w:val="IndexLink"/>
                <w:lang w:val="en-US" w:eastAsia="en-US"/>
              </w:rPr>
              <w:t>General</w:t>
              <w:tab/>
              <w:t>14</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45">
            <w:r>
              <w:rPr>
                <w:rStyle w:val="IndexLink"/>
                <w:lang w:val="en-US" w:eastAsia="en-US"/>
              </w:rPr>
              <w:t>7.2.</w:t>
            </w:r>
            <w:r>
              <w:rPr>
                <w:rStyle w:val="IndexLink"/>
                <w:caps w:val="false"/>
                <w:smallCaps w:val="false"/>
                <w:sz w:val="24"/>
                <w:szCs w:val="24"/>
                <w:lang w:val="de-CH" w:eastAsia="en-US"/>
              </w:rPr>
              <w:tab/>
            </w:r>
            <w:r>
              <w:rPr>
                <w:rStyle w:val="IndexLink"/>
                <w:lang w:val="en-US" w:eastAsia="en-US"/>
              </w:rPr>
              <w:t>Collect Past Due Accounts</w:t>
              <w:tab/>
              <w:t>14</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46">
            <w:r>
              <w:rPr>
                <w:rStyle w:val="IndexLink"/>
                <w:lang w:val="en-US" w:eastAsia="en-US"/>
              </w:rPr>
              <w:t>7.3.</w:t>
            </w:r>
            <w:r>
              <w:rPr>
                <w:rStyle w:val="IndexLink"/>
                <w:caps w:val="false"/>
                <w:smallCaps w:val="false"/>
                <w:sz w:val="24"/>
                <w:szCs w:val="24"/>
                <w:lang w:val="de-CH" w:eastAsia="en-US"/>
              </w:rPr>
              <w:tab/>
            </w:r>
            <w:r>
              <w:rPr>
                <w:rStyle w:val="IndexLink"/>
                <w:lang w:val="en-US" w:eastAsia="en-US"/>
              </w:rPr>
              <w:t>Customer Inquiry and Dispute Management</w:t>
              <w:tab/>
              <w:t>16</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47">
            <w:r>
              <w:rPr>
                <w:rStyle w:val="IndexLink"/>
                <w:lang w:val="en-US" w:eastAsia="en-US"/>
              </w:rPr>
              <w:t>7.4.</w:t>
            </w:r>
            <w:r>
              <w:rPr>
                <w:rStyle w:val="IndexLink"/>
                <w:caps w:val="false"/>
                <w:smallCaps w:val="false"/>
                <w:sz w:val="24"/>
                <w:szCs w:val="24"/>
                <w:lang w:val="de-CH" w:eastAsia="en-US"/>
              </w:rPr>
              <w:tab/>
            </w:r>
            <w:r>
              <w:rPr>
                <w:rStyle w:val="IndexLink"/>
                <w:lang w:val="en-US" w:eastAsia="en-US"/>
              </w:rPr>
              <w:t>Collection Accounting</w:t>
              <w:tab/>
              <w:t>17</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48">
            <w:r>
              <w:rPr>
                <w:rStyle w:val="IndexLink"/>
                <w:lang w:val="en-US" w:eastAsia="en-US"/>
              </w:rPr>
              <w:t>7.5.</w:t>
            </w:r>
            <w:r>
              <w:rPr>
                <w:rStyle w:val="IndexLink"/>
                <w:caps w:val="false"/>
                <w:smallCaps w:val="false"/>
                <w:sz w:val="24"/>
                <w:szCs w:val="24"/>
                <w:lang w:val="de-CH" w:eastAsia="en-US"/>
              </w:rPr>
              <w:tab/>
            </w:r>
            <w:r>
              <w:rPr>
                <w:rStyle w:val="IndexLink"/>
                <w:lang w:val="en-US" w:eastAsia="en-US"/>
              </w:rPr>
              <w:t>Other Collection Activities</w:t>
              <w:tab/>
              <w:t>18</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449">
            <w:r>
              <w:rPr>
                <w:rStyle w:val="IndexLink"/>
                <w:lang w:val="en-US" w:eastAsia="en-US"/>
              </w:rPr>
              <w:t>8.</w:t>
            </w:r>
            <w:r>
              <w:rPr>
                <w:rStyle w:val="IndexLink"/>
                <w:b w:val="false"/>
                <w:bCs w:val="false"/>
                <w:caps w:val="false"/>
                <w:smallCaps w:val="false"/>
                <w:sz w:val="24"/>
                <w:szCs w:val="24"/>
                <w:lang w:val="de-CH" w:eastAsia="en-US"/>
              </w:rPr>
              <w:tab/>
            </w:r>
            <w:r>
              <w:rPr>
                <w:rStyle w:val="IndexLink"/>
                <w:lang w:val="en-US" w:eastAsia="en-US"/>
              </w:rPr>
              <w:t>OTC - Other Processing</w:t>
              <w:tab/>
              <w:t>19</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50">
            <w:r>
              <w:rPr>
                <w:rStyle w:val="IndexLink"/>
                <w:lang w:val="en-US" w:eastAsia="en-US"/>
              </w:rPr>
              <w:t>8.1.</w:t>
            </w:r>
            <w:r>
              <w:rPr>
                <w:rStyle w:val="IndexLink"/>
                <w:caps w:val="false"/>
                <w:smallCaps w:val="false"/>
                <w:sz w:val="24"/>
                <w:szCs w:val="24"/>
                <w:lang w:val="de-CH" w:eastAsia="en-US"/>
              </w:rPr>
              <w:tab/>
            </w:r>
            <w:r>
              <w:rPr>
                <w:rStyle w:val="IndexLink"/>
                <w:lang w:val="en-US" w:eastAsia="en-US"/>
              </w:rPr>
              <w:t>Rebate Processing</w:t>
              <w:tab/>
              <w:t>19</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51">
            <w:r>
              <w:rPr>
                <w:rStyle w:val="IndexLink"/>
                <w:lang w:val="en-US" w:eastAsia="en-US"/>
              </w:rPr>
              <w:t>8.2.</w:t>
            </w:r>
            <w:r>
              <w:rPr>
                <w:rStyle w:val="IndexLink"/>
                <w:caps w:val="false"/>
                <w:smallCaps w:val="false"/>
                <w:sz w:val="24"/>
                <w:szCs w:val="24"/>
                <w:lang w:val="de-CH" w:eastAsia="en-US"/>
              </w:rPr>
              <w:tab/>
            </w:r>
            <w:r>
              <w:rPr>
                <w:rStyle w:val="IndexLink"/>
                <w:lang w:val="en-US" w:eastAsia="en-US"/>
              </w:rPr>
              <w:t>Bankruptcy</w:t>
              <w:tab/>
              <w:t>19</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52">
            <w:r>
              <w:rPr>
                <w:rStyle w:val="IndexLink"/>
                <w:lang w:val="en-US" w:eastAsia="en-US"/>
              </w:rPr>
              <w:t>8.3.</w:t>
            </w:r>
            <w:r>
              <w:rPr>
                <w:rStyle w:val="IndexLink"/>
                <w:caps w:val="false"/>
                <w:smallCaps w:val="false"/>
                <w:sz w:val="24"/>
                <w:szCs w:val="24"/>
                <w:lang w:val="de-CH" w:eastAsia="en-US"/>
              </w:rPr>
              <w:tab/>
            </w:r>
            <w:r>
              <w:rPr>
                <w:rStyle w:val="IndexLink"/>
                <w:lang w:val="en-US" w:eastAsia="en-US"/>
              </w:rPr>
              <w:t>Price delivery note in lieu of invoicing</w:t>
              <w:tab/>
              <w:t>19</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53">
            <w:r>
              <w:rPr>
                <w:rStyle w:val="IndexLink"/>
                <w:lang w:val="en-US" w:eastAsia="en-US"/>
              </w:rPr>
              <w:t>8.4.</w:t>
            </w:r>
            <w:r>
              <w:rPr>
                <w:rStyle w:val="IndexLink"/>
                <w:caps w:val="false"/>
                <w:smallCaps w:val="false"/>
                <w:sz w:val="24"/>
                <w:szCs w:val="24"/>
                <w:lang w:val="de-CH" w:eastAsia="en-US"/>
              </w:rPr>
              <w:tab/>
            </w:r>
            <w:r>
              <w:rPr>
                <w:rStyle w:val="IndexLink"/>
                <w:lang w:val="en-US" w:eastAsia="en-US"/>
              </w:rPr>
              <w:t>Account receivable securitization</w:t>
              <w:tab/>
              <w:t>20</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3454">
            <w:r>
              <w:rPr>
                <w:rStyle w:val="IndexLink"/>
                <w:lang w:val="en-US" w:eastAsia="en-US"/>
              </w:rPr>
              <w:t>9.</w:t>
            </w:r>
            <w:r>
              <w:rPr>
                <w:rStyle w:val="IndexLink"/>
                <w:b w:val="false"/>
                <w:bCs w:val="false"/>
                <w:caps w:val="false"/>
                <w:smallCaps w:val="false"/>
                <w:sz w:val="24"/>
                <w:szCs w:val="24"/>
                <w:lang w:val="de-CH" w:eastAsia="en-US"/>
              </w:rPr>
              <w:tab/>
            </w:r>
            <w:r>
              <w:rPr>
                <w:rStyle w:val="IndexLink"/>
                <w:lang w:val="en-US" w:eastAsia="en-US"/>
              </w:rPr>
              <w:t>Third Party Material</w:t>
              <w:tab/>
              <w:t>20</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55">
            <w:r>
              <w:rPr>
                <w:rStyle w:val="IndexLink"/>
                <w:lang w:val="en-US" w:eastAsia="en-US"/>
              </w:rPr>
              <w:t>9.1.</w:t>
            </w:r>
            <w:r>
              <w:rPr>
                <w:rStyle w:val="IndexLink"/>
                <w:caps w:val="false"/>
                <w:smallCaps w:val="false"/>
                <w:sz w:val="24"/>
                <w:szCs w:val="24"/>
                <w:lang w:val="de-CH" w:eastAsia="en-US"/>
              </w:rPr>
              <w:tab/>
            </w:r>
            <w:r>
              <w:rPr>
                <w:rStyle w:val="IndexLink"/>
                <w:lang w:val="en-US" w:eastAsia="en-US"/>
              </w:rPr>
              <w:t>The Service Provider’s responsibilities include, but are not limited to</w:t>
              <w:tab/>
              <w:t>20</w:t>
            </w:r>
          </w:hyperlink>
        </w:p>
        <w:p>
          <w:pPr>
            <w:pStyle w:val="TOC2"/>
            <w:tabs>
              <w:tab w:val="clear" w:pos="720"/>
              <w:tab w:val="left" w:pos="880" w:leader="none"/>
              <w:tab w:val="right" w:pos="10506" w:leader="dot"/>
            </w:tabs>
            <w:ind w:hanging="680" w:start="900" w:end="0"/>
            <w:rPr>
              <w:caps w:val="false"/>
              <w:smallCaps w:val="false"/>
              <w:sz w:val="24"/>
              <w:szCs w:val="24"/>
              <w:lang w:val="de-CH" w:eastAsia="en-US"/>
            </w:rPr>
          </w:pPr>
          <w:hyperlink w:anchor="__RefHeading___Toc157773456">
            <w:r>
              <w:rPr>
                <w:rStyle w:val="IndexLink"/>
                <w:lang w:val="en-US" w:eastAsia="en-US"/>
              </w:rPr>
              <w:t>9.2.</w:t>
            </w:r>
            <w:r>
              <w:rPr>
                <w:rStyle w:val="IndexLink"/>
                <w:caps w:val="false"/>
                <w:smallCaps w:val="false"/>
                <w:sz w:val="24"/>
                <w:szCs w:val="24"/>
                <w:lang w:val="de-CH" w:eastAsia="en-US"/>
              </w:rPr>
              <w:tab/>
            </w:r>
            <w:r>
              <w:rPr>
                <w:rStyle w:val="IndexLink"/>
                <w:lang w:val="en-US" w:eastAsia="en-US"/>
              </w:rPr>
              <w:t>Update with the assistance and the approval of Novartis Pharma at least at every 6th (sixth) month of the Term of the Agreement the list of third party material in Exhibit 24 (Third Party Materials).</w:t>
              <w:tab/>
              <w:t>20</w:t>
            </w:r>
          </w:hyperlink>
        </w:p>
        <w:p>
          <w:pPr>
            <w:pStyle w:val="TOC1"/>
            <w:tabs>
              <w:tab w:val="clear" w:pos="720"/>
              <w:tab w:val="left" w:pos="660" w:leader="none"/>
              <w:tab w:val="right" w:pos="10506" w:leader="dot"/>
            </w:tabs>
            <w:rPr>
              <w:b w:val="false"/>
              <w:bCs w:val="false"/>
              <w:caps w:val="false"/>
              <w:smallCaps w:val="false"/>
              <w:sz w:val="24"/>
              <w:szCs w:val="24"/>
              <w:lang w:val="de-CH" w:eastAsia="en-US"/>
            </w:rPr>
          </w:pPr>
          <w:hyperlink w:anchor="__RefHeading___Toc157773457">
            <w:r>
              <w:rPr>
                <w:rStyle w:val="IndexLink"/>
                <w:lang w:val="en-US" w:eastAsia="en-US"/>
              </w:rPr>
              <w:t>10.</w:t>
            </w:r>
            <w:r>
              <w:rPr>
                <w:rStyle w:val="IndexLink"/>
                <w:b w:val="false"/>
                <w:bCs w:val="false"/>
                <w:caps w:val="false"/>
                <w:smallCaps w:val="false"/>
                <w:sz w:val="24"/>
                <w:szCs w:val="24"/>
                <w:lang w:val="de-CH" w:eastAsia="en-US"/>
              </w:rPr>
              <w:tab/>
            </w:r>
            <w:r>
              <w:rPr>
                <w:rStyle w:val="IndexLink"/>
                <w:lang w:val="en-US" w:eastAsia="en-US"/>
              </w:rPr>
              <w:t>IP Rights Listing</w:t>
              <w:tab/>
              <w:t>20</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58">
            <w:r>
              <w:rPr>
                <w:rStyle w:val="IndexLink"/>
                <w:lang w:val="en-US" w:eastAsia="en-US"/>
              </w:rPr>
              <w:t>10.1.</w:t>
            </w:r>
            <w:r>
              <w:rPr>
                <w:rStyle w:val="IndexLink"/>
                <w:caps w:val="false"/>
                <w:smallCaps w:val="false"/>
                <w:sz w:val="24"/>
                <w:szCs w:val="24"/>
                <w:lang w:val="de-CH" w:eastAsia="en-US"/>
              </w:rPr>
              <w:tab/>
            </w:r>
            <w:r>
              <w:rPr>
                <w:rStyle w:val="IndexLink"/>
                <w:lang w:val="en-US" w:eastAsia="en-US"/>
              </w:rPr>
              <w:t>Type I Materials</w:t>
              <w:tab/>
              <w:t>21</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59">
            <w:r>
              <w:rPr>
                <w:rStyle w:val="IndexLink"/>
                <w:lang w:val="en-US" w:eastAsia="en-US"/>
              </w:rPr>
              <w:t>10.2.</w:t>
            </w:r>
            <w:r>
              <w:rPr>
                <w:rStyle w:val="IndexLink"/>
                <w:caps w:val="false"/>
                <w:smallCaps w:val="false"/>
                <w:sz w:val="24"/>
                <w:szCs w:val="24"/>
                <w:lang w:val="de-CH" w:eastAsia="en-US"/>
              </w:rPr>
              <w:tab/>
            </w:r>
            <w:r>
              <w:rPr>
                <w:rStyle w:val="IndexLink"/>
                <w:lang w:val="en-US" w:eastAsia="en-US"/>
              </w:rPr>
              <w:t>Type II Materials</w:t>
              <w:tab/>
              <w:t>21</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3460">
            <w:r>
              <w:rPr>
                <w:rStyle w:val="IndexLink"/>
                <w:lang w:val="en-US" w:eastAsia="en-US"/>
              </w:rPr>
              <w:t>10.3.</w:t>
            </w:r>
            <w:r>
              <w:rPr>
                <w:rStyle w:val="IndexLink"/>
                <w:caps w:val="false"/>
                <w:smallCaps w:val="false"/>
                <w:sz w:val="24"/>
                <w:szCs w:val="24"/>
                <w:lang w:val="de-CH" w:eastAsia="en-US"/>
              </w:rPr>
              <w:tab/>
            </w:r>
            <w:r>
              <w:rPr>
                <w:rStyle w:val="IndexLink"/>
                <w:lang w:val="en-US" w:eastAsia="en-US"/>
              </w:rPr>
              <w:t>Type III Materials</w:t>
              <w:tab/>
              <w:t>21</w:t>
            </w:r>
          </w:hyperlink>
        </w:p>
        <w:p>
          <w:pPr>
            <w:pStyle w:val="TOC2"/>
            <w:tabs>
              <w:tab w:val="clear" w:pos="720"/>
              <w:tab w:val="left" w:pos="880" w:leader="none"/>
              <w:tab w:val="right" w:pos="10506" w:leader="dot"/>
            </w:tabs>
            <w:rPr>
              <w:sz w:val="24"/>
              <w:szCs w:val="24"/>
              <w:lang w:val="de-CH" w:eastAsia="en-US"/>
            </w:rPr>
          </w:pPr>
          <w:hyperlink w:anchor="__RefHeading___Toc157773461">
            <w:r>
              <w:rPr>
                <w:rStyle w:val="IndexLink"/>
                <w:caps w:val="false"/>
                <w:smallCaps w:val="false"/>
                <w:lang w:val="en-US" w:eastAsia="en-US"/>
              </w:rPr>
              <w:t>10.4.</w:t>
            </w:r>
            <w:r>
              <w:rPr>
                <w:rStyle w:val="IndexLink"/>
                <w:caps w:val="false"/>
                <w:smallCaps w:val="false"/>
                <w:sz w:val="24"/>
                <w:szCs w:val="24"/>
                <w:lang w:val="de-CH" w:eastAsia="en-US"/>
              </w:rPr>
              <w:tab/>
            </w:r>
            <w:r>
              <w:rPr>
                <w:rStyle w:val="IndexLink"/>
                <w:caps w:val="false"/>
                <w:smallCaps w:val="false"/>
                <w:lang w:val="en-US" w:eastAsia="en-US"/>
              </w:rPr>
              <w:t>Type IV Materials</w:t>
              <w:tab/>
              <w:t>21</w:t>
            </w:r>
          </w:hyperlink>
          <w:r>
            <w:rPr>
              <w:rStyle w:val="IndexLink"/>
              <w:smallCaps w:val="false"/>
              <w:caps w:val="false"/>
              <w:lang w:val="en-US" w:eastAsia="en-US"/>
            </w:rPr>
            <w:fldChar w:fldCharType="end"/>
          </w:r>
        </w:p>
      </w:sdtContent>
    </w:sdt>
    <w:p>
      <w:pPr>
        <w:pStyle w:val="Normal"/>
        <w:tabs>
          <w:tab w:val="clear" w:pos="720"/>
          <w:tab w:val="left" w:pos="360" w:leader="none"/>
          <w:tab w:val="left" w:pos="425" w:leader="none"/>
        </w:tabs>
        <w:jc w:val="both"/>
        <w:rPr>
          <w:b/>
          <w:bCs/>
          <w:caps/>
          <w:sz w:val="20"/>
          <w:szCs w:val="20"/>
          <w:lang w:val="de-CH" w:eastAsia="en-US"/>
        </w:rPr>
      </w:pPr>
      <w:r>
        <w:rPr>
          <w:b/>
          <w:bCs/>
          <w:caps/>
          <w:sz w:val="20"/>
          <w:szCs w:val="20"/>
          <w:lang w:val="de-CH" w:eastAsia="en-US"/>
        </w:rPr>
      </w:r>
      <w:r>
        <w:br w:type="page"/>
      </w:r>
    </w:p>
    <w:p>
      <w:pPr>
        <w:pStyle w:val="Formatvorlage1"/>
        <w:numPr>
          <w:ilvl w:val="0"/>
          <w:numId w:val="17"/>
        </w:numPr>
        <w:ind w:hanging="0" w:start="0"/>
        <w:rPr/>
      </w:pPr>
      <w:bookmarkStart w:id="0" w:name="__RefHeading___Toc157773421"/>
      <w:bookmarkEnd w:id="0"/>
      <w:r>
        <w:rPr/>
        <w:t>Introduction</w:t>
      </w:r>
    </w:p>
    <w:p>
      <w:pPr>
        <w:pStyle w:val="Formatvorlage2"/>
        <w:numPr>
          <w:ilvl w:val="1"/>
          <w:numId w:val="17"/>
        </w:numPr>
        <w:rPr/>
      </w:pPr>
      <w:bookmarkStart w:id="1" w:name="__RefHeading___Toc157773422"/>
      <w:bookmarkEnd w:id="1"/>
      <w:r>
        <w:rPr/>
        <w:t>General</w:t>
      </w:r>
    </w:p>
    <w:p>
      <w:pPr>
        <w:pStyle w:val="Heading3"/>
        <w:numPr>
          <w:ilvl w:val="2"/>
          <w:numId w:val="17"/>
        </w:numPr>
        <w:ind w:hanging="0" w:start="0"/>
        <w:rPr/>
      </w:pPr>
      <w:r>
        <w:rPr/>
        <w:t>The Service Provider’s responsibilities include:</w:t>
      </w:r>
    </w:p>
    <w:p>
      <w:pPr>
        <w:pStyle w:val="Heading3"/>
        <w:numPr>
          <w:ilvl w:val="2"/>
          <w:numId w:val="17"/>
        </w:numPr>
        <w:ind w:hanging="0" w:start="0"/>
        <w:rPr>
          <w:rFonts w:ascii="Arial" w:hAnsi="Arial" w:cs="Arial"/>
        </w:rPr>
      </w:pPr>
      <w:r>
        <w:rPr/>
        <w:t>Perform all services, tasks, obligations and responsibilities described in this Exhibit at or above applicable Service Levels and in accordance with the terms of the Agreement as of the Commencement Date unless otherwise specified.</w:t>
      </w:r>
    </w:p>
    <w:p>
      <w:pPr>
        <w:pStyle w:val="Heading3"/>
        <w:numPr>
          <w:ilvl w:val="2"/>
          <w:numId w:val="17"/>
        </w:numPr>
        <w:ind w:hanging="0" w:start="0"/>
        <w:rPr>
          <w:b/>
          <w:szCs w:val="22"/>
        </w:rPr>
      </w:pPr>
      <w:r>
        <w:rPr/>
        <w:t>As part of the Services and the Base Charges, and at no additional charge, fee, cost or expense to GlobalPharma, the Service Provider shall provide all of the services described in this Exhibit including all in-scope activities performed by Affected Employees.</w:t>
      </w:r>
    </w:p>
    <w:p>
      <w:pPr>
        <w:pStyle w:val="Formatvorlage1"/>
        <w:numPr>
          <w:ilvl w:val="0"/>
          <w:numId w:val="17"/>
        </w:numPr>
        <w:ind w:hanging="0" w:start="0"/>
        <w:rPr/>
      </w:pPr>
      <w:bookmarkStart w:id="2" w:name="__RefHeading___Toc157773423"/>
      <w:bookmarkEnd w:id="2"/>
      <w:r>
        <w:rPr/>
        <w:t>credit processing</w:t>
      </w:r>
    </w:p>
    <w:p>
      <w:pPr>
        <w:pStyle w:val="Heading4"/>
        <w:numPr>
          <w:ilvl w:val="3"/>
          <w:numId w:val="17"/>
        </w:numPr>
        <w:ind w:hanging="0" w:start="0"/>
        <w:rPr>
          <w:lang w:val="en-GB"/>
        </w:rPr>
      </w:pPr>
      <w:r>
        <w:rPr>
          <w:lang w:val="en-GB"/>
        </w:rPr>
        <w:t>Out of Scope: US, Zurich</w:t>
      </w:r>
    </w:p>
    <w:p>
      <w:pPr>
        <w:pStyle w:val="Formatvorlage2"/>
        <w:numPr>
          <w:ilvl w:val="1"/>
          <w:numId w:val="17"/>
        </w:numPr>
        <w:rPr/>
      </w:pPr>
      <w:bookmarkStart w:id="3" w:name="__RefHeading___Toc157773424"/>
      <w:bookmarkEnd w:id="3"/>
      <w:r>
        <w:rPr/>
        <w:t>Establish Credit Limits</w:t>
      </w:r>
    </w:p>
    <w:p>
      <w:pPr>
        <w:pStyle w:val="Heading3"/>
        <w:numPr>
          <w:ilvl w:val="2"/>
          <w:numId w:val="17"/>
        </w:numPr>
        <w:ind w:hanging="0" w:start="0"/>
        <w:rPr/>
      </w:pPr>
      <w:r>
        <w:rPr/>
        <w:t>The Service Providers responsibilities include, but are not limited to the following:</w:t>
      </w:r>
    </w:p>
    <w:p>
      <w:pPr>
        <w:pStyle w:val="Heading3"/>
        <w:numPr>
          <w:ilvl w:val="2"/>
          <w:numId w:val="17"/>
        </w:numPr>
        <w:ind w:hanging="0" w:start="0"/>
        <w:rPr/>
      </w:pPr>
      <w:r>
        <w:rPr/>
        <w:t>Assist GlobalPharma in the development of credit ratings, credit limits, and related policies and procedures.</w:t>
      </w:r>
    </w:p>
    <w:p>
      <w:pPr>
        <w:pStyle w:val="Heading3"/>
        <w:numPr>
          <w:ilvl w:val="2"/>
          <w:numId w:val="17"/>
        </w:numPr>
        <w:ind w:hanging="0" w:start="0"/>
        <w:rPr/>
      </w:pPr>
      <w:r>
        <w:rPr/>
        <w:t>Receive and process credit requests/ applications.</w:t>
      </w:r>
    </w:p>
    <w:p>
      <w:pPr>
        <w:pStyle w:val="Heading3"/>
        <w:numPr>
          <w:ilvl w:val="2"/>
          <w:numId w:val="17"/>
        </w:numPr>
        <w:ind w:hanging="0" w:start="0"/>
        <w:rPr/>
      </w:pPr>
      <w:r>
        <w:rPr/>
        <w:t xml:space="preserve">Evaluate credit risk for new customers based on GlobalPharma risk profiles. </w:t>
      </w:r>
    </w:p>
    <w:p>
      <w:pPr>
        <w:pStyle w:val="Heading4"/>
        <w:numPr>
          <w:ilvl w:val="3"/>
          <w:numId w:val="17"/>
        </w:numPr>
        <w:ind w:hanging="0" w:start="0"/>
        <w:rPr/>
      </w:pPr>
      <w:r>
        <w:rPr/>
        <w:t>Italy: Out of scope.</w:t>
      </w:r>
    </w:p>
    <w:p>
      <w:pPr>
        <w:pStyle w:val="Heading3"/>
        <w:numPr>
          <w:ilvl w:val="2"/>
          <w:numId w:val="17"/>
        </w:numPr>
        <w:ind w:hanging="0" w:start="0"/>
        <w:rPr/>
      </w:pPr>
      <w:r>
        <w:rPr/>
        <w:t>Obtain missing information for credit application from Customer or GlobalPharma.</w:t>
      </w:r>
    </w:p>
    <w:p>
      <w:pPr>
        <w:pStyle w:val="Heading3"/>
        <w:numPr>
          <w:ilvl w:val="2"/>
          <w:numId w:val="17"/>
        </w:numPr>
        <w:ind w:hanging="0" w:start="0"/>
        <w:rPr/>
      </w:pPr>
      <w:r>
        <w:rPr/>
        <w:t>Perform and provide the analysis to support the approval for credit requests/applications.</w:t>
      </w:r>
    </w:p>
    <w:p>
      <w:pPr>
        <w:pStyle w:val="Heading3"/>
        <w:numPr>
          <w:ilvl w:val="2"/>
          <w:numId w:val="17"/>
        </w:numPr>
        <w:ind w:hanging="0" w:start="0"/>
        <w:rPr/>
      </w:pPr>
      <w:r>
        <w:rPr/>
        <w:t>Approve customer credit limits for amounts within Service Provider threshold</w:t>
      </w:r>
    </w:p>
    <w:p>
      <w:pPr>
        <w:pStyle w:val="Heading4"/>
        <w:numPr>
          <w:ilvl w:val="3"/>
          <w:numId w:val="17"/>
        </w:numPr>
        <w:ind w:hanging="0" w:start="0"/>
        <w:rPr>
          <w:szCs w:val="22"/>
        </w:rPr>
      </w:pPr>
      <w:r>
        <w:rPr/>
        <w:t>UK, France, Italy, Spain: Out of scope</w:t>
      </w:r>
    </w:p>
    <w:p>
      <w:pPr>
        <w:pStyle w:val="Heading3"/>
        <w:numPr>
          <w:ilvl w:val="2"/>
          <w:numId w:val="17"/>
        </w:numPr>
        <w:ind w:hanging="0" w:start="0"/>
        <w:rPr/>
      </w:pPr>
      <w:r>
        <w:rPr/>
        <w:t>Provide credit limit recommendations for amounts above Service Provider threshold to GlobalPharma for approval.</w:t>
      </w:r>
    </w:p>
    <w:p>
      <w:pPr>
        <w:pStyle w:val="Heading3"/>
        <w:numPr>
          <w:ilvl w:val="2"/>
          <w:numId w:val="17"/>
        </w:numPr>
        <w:ind w:hanging="0" w:start="0"/>
        <w:rPr/>
      </w:pPr>
      <w:r>
        <w:rPr/>
        <w:t>Configure credit risk profile and credit limits in system(s)</w:t>
      </w:r>
    </w:p>
    <w:p>
      <w:pPr>
        <w:pStyle w:val="Heading3"/>
        <w:numPr>
          <w:ilvl w:val="2"/>
          <w:numId w:val="17"/>
        </w:numPr>
        <w:ind w:hanging="0" w:start="0"/>
        <w:rPr/>
      </w:pPr>
      <w:r>
        <w:rPr/>
        <w:t>Obtain and provide credit rating(s) from agency reports, that are already being paid for by and provided to GlobalPharma, as requested by GlobalPharma.</w:t>
      </w:r>
    </w:p>
    <w:p>
      <w:pPr>
        <w:pStyle w:val="Heading4"/>
        <w:numPr>
          <w:ilvl w:val="3"/>
          <w:numId w:val="17"/>
        </w:numPr>
        <w:ind w:hanging="0" w:start="0"/>
        <w:rPr/>
      </w:pPr>
      <w:r>
        <w:rPr/>
        <w:t>Italy: Out of scope.</w:t>
      </w:r>
    </w:p>
    <w:p>
      <w:pPr>
        <w:pStyle w:val="Formatvorlage2"/>
        <w:numPr>
          <w:ilvl w:val="1"/>
          <w:numId w:val="17"/>
        </w:numPr>
        <w:rPr/>
      </w:pPr>
      <w:bookmarkStart w:id="4" w:name="__RefHeading___Toc157773425"/>
      <w:bookmarkEnd w:id="4"/>
      <w:r>
        <w:rPr/>
        <w:t>Maintain Credit Limits</w:t>
      </w:r>
    </w:p>
    <w:p>
      <w:pPr>
        <w:pStyle w:val="Heading3"/>
        <w:numPr>
          <w:ilvl w:val="2"/>
          <w:numId w:val="17"/>
        </w:numPr>
        <w:ind w:hanging="0" w:start="0"/>
        <w:rPr/>
      </w:pPr>
      <w:r>
        <w:rPr/>
        <w:t>The Service Providers responsibilities include, but are not limited to the following:</w:t>
      </w:r>
    </w:p>
    <w:p>
      <w:pPr>
        <w:pStyle w:val="Heading3"/>
        <w:numPr>
          <w:ilvl w:val="2"/>
          <w:numId w:val="17"/>
        </w:numPr>
        <w:ind w:hanging="0" w:start="0"/>
        <w:rPr/>
      </w:pPr>
      <w:r>
        <w:rPr/>
        <w:t>Evaluate select accounts, including major accounts and GlobalPharma-selected high credit risk accounts and make recommendation to GlobalPharma regarding customer’s credit limit.</w:t>
      </w:r>
    </w:p>
    <w:p>
      <w:pPr>
        <w:pStyle w:val="Heading3"/>
        <w:numPr>
          <w:ilvl w:val="2"/>
          <w:numId w:val="17"/>
        </w:numPr>
        <w:ind w:hanging="0" w:start="0"/>
        <w:rPr/>
      </w:pPr>
      <w:r>
        <w:rPr/>
        <w:t>Re-evaluate credit limits for those customer requested by GlobalPharma.</w:t>
      </w:r>
    </w:p>
    <w:p>
      <w:pPr>
        <w:pStyle w:val="Heading3"/>
        <w:numPr>
          <w:ilvl w:val="2"/>
          <w:numId w:val="17"/>
        </w:numPr>
        <w:ind w:hanging="0" w:start="0"/>
        <w:rPr/>
      </w:pPr>
      <w:r>
        <w:rPr/>
        <w:t>Obtain required credit rating information that is already being paid for by and provided to GlobalPharma and perform credit analysis.</w:t>
      </w:r>
    </w:p>
    <w:p>
      <w:pPr>
        <w:pStyle w:val="Heading4"/>
        <w:numPr>
          <w:ilvl w:val="3"/>
          <w:numId w:val="17"/>
        </w:numPr>
        <w:ind w:hanging="0" w:start="0"/>
        <w:rPr/>
      </w:pPr>
      <w:r>
        <w:rPr/>
        <w:t>Italy: Out of scope.</w:t>
      </w:r>
    </w:p>
    <w:p>
      <w:pPr>
        <w:pStyle w:val="Heading3"/>
        <w:numPr>
          <w:ilvl w:val="2"/>
          <w:numId w:val="17"/>
        </w:numPr>
        <w:ind w:hanging="0" w:start="0"/>
        <w:rPr/>
      </w:pPr>
      <w:r>
        <w:rPr/>
        <w:t xml:space="preserve">Recommend upgrade/downgrade to credit limits for those within Service Provider approval threshold. </w:t>
      </w:r>
    </w:p>
    <w:p>
      <w:pPr>
        <w:pStyle w:val="Heading4"/>
        <w:numPr>
          <w:ilvl w:val="3"/>
          <w:numId w:val="17"/>
        </w:numPr>
        <w:ind w:hanging="0" w:start="0"/>
        <w:rPr/>
      </w:pPr>
      <w:r>
        <w:rPr/>
        <w:t>Italy: Out of scope.</w:t>
      </w:r>
    </w:p>
    <w:p>
      <w:pPr>
        <w:pStyle w:val="Heading3"/>
        <w:numPr>
          <w:ilvl w:val="2"/>
          <w:numId w:val="17"/>
        </w:numPr>
        <w:ind w:hanging="0" w:start="0"/>
        <w:rPr/>
      </w:pPr>
      <w:r>
        <w:rPr/>
        <w:t>Approve upgrades/downgrades to credit limits within Service Provider approval thresholds.</w:t>
      </w:r>
    </w:p>
    <w:p>
      <w:pPr>
        <w:pStyle w:val="Heading4"/>
        <w:numPr>
          <w:ilvl w:val="3"/>
          <w:numId w:val="17"/>
        </w:numPr>
        <w:ind w:hanging="0" w:start="0"/>
        <w:rPr/>
      </w:pPr>
      <w:r>
        <w:rPr/>
        <w:t>UK, France, Italy, Spain: Out of scope.</w:t>
      </w:r>
    </w:p>
    <w:p>
      <w:pPr>
        <w:pStyle w:val="Heading3"/>
        <w:numPr>
          <w:ilvl w:val="2"/>
          <w:numId w:val="17"/>
        </w:numPr>
        <w:ind w:hanging="0" w:start="0"/>
        <w:rPr/>
      </w:pPr>
      <w:r>
        <w:rPr/>
        <w:t>Recommend upgrade/downgrade to credit limits to GlobalPharma for approval credit limits outside of Service Provider approval threshold.</w:t>
      </w:r>
    </w:p>
    <w:p>
      <w:pPr>
        <w:pStyle w:val="Heading4"/>
        <w:numPr>
          <w:ilvl w:val="3"/>
          <w:numId w:val="17"/>
        </w:numPr>
        <w:ind w:hanging="0" w:start="0"/>
        <w:rPr/>
      </w:pPr>
      <w:r>
        <w:rPr/>
        <w:t xml:space="preserve"> </w:t>
      </w:r>
      <w:r>
        <w:rPr/>
        <w:t>Italy: Out of scope.</w:t>
      </w:r>
    </w:p>
    <w:p>
      <w:pPr>
        <w:pStyle w:val="Heading3"/>
        <w:numPr>
          <w:ilvl w:val="2"/>
          <w:numId w:val="17"/>
        </w:numPr>
        <w:ind w:hanging="0" w:start="0"/>
        <w:rPr/>
      </w:pPr>
      <w:r>
        <w:rPr/>
        <w:t xml:space="preserve">Update credit limits in system(s) upon approval by GlobalPharma and for those within Service Provider approval threshold. </w:t>
      </w:r>
    </w:p>
    <w:p>
      <w:pPr>
        <w:pStyle w:val="Heading4"/>
        <w:numPr>
          <w:ilvl w:val="3"/>
          <w:numId w:val="17"/>
        </w:numPr>
        <w:ind w:hanging="0" w:start="0"/>
        <w:rPr/>
      </w:pPr>
      <w:r>
        <w:rPr/>
        <w:t>Italy: Out of scope.</w:t>
      </w:r>
    </w:p>
    <w:p>
      <w:pPr>
        <w:pStyle w:val="Heading3"/>
        <w:numPr>
          <w:ilvl w:val="2"/>
          <w:numId w:val="17"/>
        </w:numPr>
        <w:ind w:hanging="0" w:start="0"/>
        <w:rPr/>
      </w:pPr>
      <w:r>
        <w:rPr/>
        <w:t>Recommend options for reducing GlobalPharma’s risk exposure.</w:t>
      </w:r>
    </w:p>
    <w:p>
      <w:pPr>
        <w:pStyle w:val="Heading3"/>
        <w:numPr>
          <w:ilvl w:val="2"/>
          <w:numId w:val="17"/>
        </w:numPr>
        <w:ind w:hanging="0" w:start="0"/>
        <w:rPr>
          <w:szCs w:val="22"/>
        </w:rPr>
      </w:pPr>
      <w:r>
        <w:rPr/>
        <w:t>Prepare and provide credit analysis reporting as required by GlobalPharma (number and type of reports applicable as indicated in Attachment 13-A to the extent provided by the in-scope FTEs).</w:t>
      </w:r>
      <w:r>
        <w:rPr>
          <w:b/>
        </w:rPr>
      </w:r>
      <w:r>
        <w:rPr/>
      </w:r>
    </w:p>
    <w:p>
      <w:pPr>
        <w:pStyle w:val="Formatvorlage2"/>
        <w:numPr>
          <w:ilvl w:val="1"/>
          <w:numId w:val="17"/>
        </w:numPr>
        <w:rPr/>
      </w:pPr>
      <w:bookmarkStart w:id="5" w:name="__RefHeading___Toc157773426"/>
      <w:bookmarkEnd w:id="5"/>
      <w:r>
        <w:rPr/>
        <w:t>Manage Credit Limits</w:t>
      </w:r>
    </w:p>
    <w:p>
      <w:pPr>
        <w:pStyle w:val="Heading3"/>
        <w:numPr>
          <w:ilvl w:val="2"/>
          <w:numId w:val="17"/>
        </w:numPr>
        <w:ind w:hanging="0" w:start="0"/>
        <w:rPr/>
      </w:pPr>
      <w:r>
        <w:rPr/>
        <w:t>The Service Providers responsibilities include, but are not limited to the following:</w:t>
      </w:r>
    </w:p>
    <w:p>
      <w:pPr>
        <w:pStyle w:val="Heading3"/>
        <w:numPr>
          <w:ilvl w:val="2"/>
          <w:numId w:val="17"/>
        </w:numPr>
        <w:ind w:hanging="0" w:start="0"/>
        <w:rPr/>
      </w:pPr>
      <w:r>
        <w:rPr/>
        <w:t>Analyze order against available credit limit and/or forecasted order. Analyze and clear blocked orders according to GlobalPharma policies and procedures.</w:t>
      </w:r>
    </w:p>
    <w:p>
      <w:pPr>
        <w:pStyle w:val="Heading4"/>
        <w:numPr>
          <w:ilvl w:val="3"/>
          <w:numId w:val="17"/>
        </w:numPr>
        <w:ind w:hanging="0" w:start="0"/>
        <w:rPr>
          <w:szCs w:val="22"/>
        </w:rPr>
      </w:pPr>
      <w:r>
        <w:rPr/>
        <w:t>Italy, Spain: Out of scope.</w:t>
      </w:r>
    </w:p>
    <w:p>
      <w:pPr>
        <w:pStyle w:val="Heading3"/>
        <w:numPr>
          <w:ilvl w:val="2"/>
          <w:numId w:val="17"/>
        </w:numPr>
        <w:ind w:hanging="0" w:start="0"/>
        <w:rPr/>
      </w:pPr>
      <w:r>
        <w:rPr/>
        <w:t>Identify customers who have exceeded established credit limits.</w:t>
      </w:r>
    </w:p>
    <w:p>
      <w:pPr>
        <w:pStyle w:val="Heading3"/>
        <w:numPr>
          <w:ilvl w:val="2"/>
          <w:numId w:val="17"/>
        </w:numPr>
        <w:ind w:hanging="0" w:start="0"/>
        <w:rPr/>
      </w:pPr>
      <w:r>
        <w:rPr/>
        <w:t xml:space="preserve">Take action on customers exceeding established credit limits according to GlobalPharma policy guidelines. (e.g. placing credit holds) </w:t>
      </w:r>
    </w:p>
    <w:p>
      <w:pPr>
        <w:pStyle w:val="Heading4"/>
        <w:numPr>
          <w:ilvl w:val="3"/>
          <w:numId w:val="17"/>
        </w:numPr>
        <w:ind w:hanging="0" w:start="0"/>
        <w:rPr>
          <w:szCs w:val="22"/>
        </w:rPr>
      </w:pPr>
      <w:r>
        <w:rPr/>
        <w:t>Italy, Spain: Out of scope.</w:t>
      </w:r>
    </w:p>
    <w:p>
      <w:pPr>
        <w:pStyle w:val="Heading3"/>
        <w:numPr>
          <w:ilvl w:val="2"/>
          <w:numId w:val="17"/>
        </w:numPr>
        <w:ind w:hanging="0" w:start="0"/>
        <w:rPr/>
      </w:pPr>
      <w:r>
        <w:rPr/>
        <w:t>Recommend accounts where credit facilities should be suspended (stop services) due to unsuccessful collection action or cash on delivery.</w:t>
      </w:r>
    </w:p>
    <w:p>
      <w:pPr>
        <w:pStyle w:val="Heading3"/>
        <w:numPr>
          <w:ilvl w:val="2"/>
          <w:numId w:val="17"/>
        </w:numPr>
        <w:ind w:hanging="0" w:start="0"/>
        <w:rPr/>
      </w:pPr>
      <w:r>
        <w:rPr/>
        <w:t xml:space="preserve">Approve suspension of credit as defined by Service Provider approval thresholds </w:t>
      </w:r>
    </w:p>
    <w:p>
      <w:pPr>
        <w:pStyle w:val="Heading4"/>
        <w:numPr>
          <w:ilvl w:val="3"/>
          <w:numId w:val="17"/>
        </w:numPr>
        <w:ind w:hanging="0" w:start="0"/>
        <w:rPr>
          <w:szCs w:val="22"/>
        </w:rPr>
      </w:pPr>
      <w:r>
        <w:rPr/>
        <w:t>UK, Italy, Spain, France: Out of scope.</w:t>
      </w:r>
    </w:p>
    <w:p>
      <w:pPr>
        <w:pStyle w:val="Heading3"/>
        <w:numPr>
          <w:ilvl w:val="2"/>
          <w:numId w:val="17"/>
        </w:numPr>
        <w:ind w:hanging="0" w:start="0"/>
        <w:rPr/>
      </w:pPr>
      <w:r>
        <w:rPr/>
        <w:t xml:space="preserve">Send stop ship notification to customer upon approval from GlobalPharma. </w:t>
      </w:r>
    </w:p>
    <w:p>
      <w:pPr>
        <w:pStyle w:val="Heading4"/>
        <w:numPr>
          <w:ilvl w:val="3"/>
          <w:numId w:val="17"/>
        </w:numPr>
        <w:ind w:hanging="0" w:start="0"/>
        <w:rPr>
          <w:szCs w:val="22"/>
        </w:rPr>
      </w:pPr>
      <w:r>
        <w:rPr/>
        <w:t>Italy, France: Out of scope.</w:t>
      </w:r>
    </w:p>
    <w:p>
      <w:pPr>
        <w:pStyle w:val="Heading3"/>
        <w:numPr>
          <w:ilvl w:val="2"/>
          <w:numId w:val="17"/>
        </w:numPr>
        <w:ind w:hanging="0" w:start="0"/>
        <w:rPr/>
      </w:pPr>
      <w:r>
        <w:rPr/>
        <w:t>Provide recommendations on changes to selling terms.</w:t>
      </w:r>
    </w:p>
    <w:p>
      <w:pPr>
        <w:pStyle w:val="Heading3"/>
        <w:numPr>
          <w:ilvl w:val="2"/>
          <w:numId w:val="17"/>
        </w:numPr>
        <w:ind w:hanging="0" w:start="0"/>
        <w:rPr/>
      </w:pPr>
      <w:r>
        <w:rPr/>
        <w:t xml:space="preserve">Implement approved recommendations. </w:t>
      </w:r>
    </w:p>
    <w:p>
      <w:pPr>
        <w:pStyle w:val="Heading3"/>
        <w:numPr>
          <w:ilvl w:val="2"/>
          <w:numId w:val="17"/>
        </w:numPr>
        <w:ind w:hanging="0" w:start="0"/>
        <w:rPr/>
      </w:pPr>
      <w:r>
        <w:rPr/>
        <w:t>Document issues for customers whose financial stability is in question for potential use in litigation in a bankruptcy action.</w:t>
      </w:r>
    </w:p>
    <w:p>
      <w:pPr>
        <w:pStyle w:val="Heading3"/>
        <w:numPr>
          <w:ilvl w:val="2"/>
          <w:numId w:val="17"/>
        </w:numPr>
        <w:ind w:hanging="0" w:start="0"/>
        <w:rPr/>
      </w:pPr>
      <w:r>
        <w:rPr/>
        <w:t>Provide supporting documentation for a bankruptcy action.</w:t>
      </w:r>
    </w:p>
    <w:p>
      <w:pPr>
        <w:pStyle w:val="Heading3"/>
        <w:numPr>
          <w:ilvl w:val="2"/>
          <w:numId w:val="17"/>
        </w:numPr>
        <w:ind w:hanging="0" w:start="0"/>
        <w:rPr/>
      </w:pPr>
      <w:r>
        <w:rPr/>
        <w:t xml:space="preserve">Process authorized credit hold activities. </w:t>
      </w:r>
    </w:p>
    <w:p>
      <w:pPr>
        <w:pStyle w:val="Heading4"/>
        <w:numPr>
          <w:ilvl w:val="3"/>
          <w:numId w:val="17"/>
        </w:numPr>
        <w:ind w:hanging="0" w:start="0"/>
        <w:rPr>
          <w:szCs w:val="22"/>
        </w:rPr>
      </w:pPr>
      <w:r>
        <w:rPr/>
        <w:t>Italy: Out of scope.</w:t>
      </w:r>
    </w:p>
    <w:p>
      <w:pPr>
        <w:pStyle w:val="Formatvorlage2"/>
        <w:numPr>
          <w:ilvl w:val="1"/>
          <w:numId w:val="17"/>
        </w:numPr>
        <w:rPr/>
      </w:pPr>
      <w:bookmarkStart w:id="6" w:name="__RefHeading___Toc157773427"/>
      <w:bookmarkEnd w:id="6"/>
      <w:r>
        <w:rPr/>
        <w:t>Other Credit Activities</w:t>
      </w:r>
    </w:p>
    <w:p>
      <w:pPr>
        <w:pStyle w:val="Heading3"/>
        <w:numPr>
          <w:ilvl w:val="2"/>
          <w:numId w:val="17"/>
        </w:numPr>
        <w:ind w:hanging="0" w:start="0"/>
        <w:rPr/>
      </w:pPr>
      <w:r>
        <w:rPr/>
        <w:t>The Service Providers responsibilities include, but are not limited to the following:</w:t>
      </w:r>
    </w:p>
    <w:p>
      <w:pPr>
        <w:pStyle w:val="Heading3"/>
        <w:numPr>
          <w:ilvl w:val="2"/>
          <w:numId w:val="17"/>
        </w:numPr>
        <w:ind w:hanging="0" w:start="0"/>
        <w:rPr/>
      </w:pPr>
      <w:r>
        <w:rPr/>
        <w:t>Document and communicate internal GlobalPharma policy issues and process defects which cause customer credit issues.</w:t>
      </w:r>
    </w:p>
    <w:p>
      <w:pPr>
        <w:pStyle w:val="Heading3"/>
        <w:numPr>
          <w:ilvl w:val="2"/>
          <w:numId w:val="17"/>
        </w:numPr>
        <w:ind w:hanging="0" w:start="0"/>
        <w:rPr/>
      </w:pPr>
      <w:r>
        <w:rPr/>
        <w:t>Participate as requested by GlobalPharma on process improvement teams and new product or service offering teams.</w:t>
      </w:r>
    </w:p>
    <w:p>
      <w:pPr>
        <w:pStyle w:val="Heading3"/>
        <w:numPr>
          <w:ilvl w:val="2"/>
          <w:numId w:val="17"/>
        </w:numPr>
        <w:ind w:hanging="0" w:start="0"/>
        <w:rPr/>
      </w:pPr>
      <w:r>
        <w:rPr/>
        <w:t>Attend industry credit meetings at request of GlobalPharma to gain information on key accounts credit performance (travel expenses are born by GlobalPharma)</w:t>
      </w:r>
    </w:p>
    <w:p>
      <w:pPr>
        <w:pStyle w:val="Formatvorlage1"/>
        <w:numPr>
          <w:ilvl w:val="0"/>
          <w:numId w:val="17"/>
        </w:numPr>
        <w:ind w:hanging="0" w:start="0"/>
        <w:rPr/>
      </w:pPr>
      <w:bookmarkStart w:id="7" w:name="__RefHeading___Toc157773428"/>
      <w:bookmarkEnd w:id="7"/>
      <w:r>
        <w:rPr/>
        <w:t>customer maintenance activities</w:t>
      </w:r>
    </w:p>
    <w:p>
      <w:pPr>
        <w:pStyle w:val="Heading3"/>
        <w:numPr>
          <w:ilvl w:val="2"/>
          <w:numId w:val="17"/>
        </w:numPr>
        <w:ind w:hanging="0" w:start="0"/>
        <w:rPr/>
      </w:pPr>
      <w:r>
        <w:rPr/>
        <w:t>The Service Providers responsibilities include, but are not limited to the following:</w:t>
      </w:r>
    </w:p>
    <w:p>
      <w:pPr>
        <w:pStyle w:val="Heading3"/>
        <w:numPr>
          <w:ilvl w:val="2"/>
          <w:numId w:val="17"/>
        </w:numPr>
        <w:ind w:hanging="0" w:start="0"/>
        <w:rPr/>
      </w:pPr>
      <w:r>
        <w:rPr/>
        <w:t>Implement Lean and Six Sigma management philosophies as an approach to process improvements e.g. to replace manual steps by automating reports, reduce errors and improve quality and accuracy.</w:t>
      </w:r>
    </w:p>
    <w:p>
      <w:pPr>
        <w:pStyle w:val="Heading3"/>
        <w:numPr>
          <w:ilvl w:val="2"/>
          <w:numId w:val="17"/>
        </w:numPr>
        <w:ind w:hanging="0" w:start="0"/>
        <w:rPr/>
      </w:pPr>
      <w:r>
        <w:rPr/>
        <w:t>Receive customer application/maintenance requests</w:t>
      </w:r>
    </w:p>
    <w:p>
      <w:pPr>
        <w:pStyle w:val="Heading4"/>
        <w:numPr>
          <w:ilvl w:val="3"/>
          <w:numId w:val="17"/>
        </w:numPr>
        <w:ind w:hanging="0" w:start="0"/>
        <w:rPr/>
      </w:pPr>
      <w:r>
        <w:rPr>
          <w:lang w:val="en-GB"/>
        </w:rPr>
        <w:t>US, Zurich, UK, Spain, Italy: Out of scope.</w:t>
      </w:r>
      <w:r>
        <w:rPr/>
      </w:r>
    </w:p>
    <w:p>
      <w:pPr>
        <w:pStyle w:val="Heading3"/>
        <w:numPr>
          <w:ilvl w:val="2"/>
          <w:numId w:val="17"/>
        </w:numPr>
        <w:ind w:hanging="0" w:start="0"/>
        <w:rPr/>
      </w:pPr>
      <w:r>
        <w:rPr/>
        <w:t>Set up and maintain finance view of the customer in system including electronic banking/payment information. Maintain payment terms in SD view.</w:t>
      </w:r>
    </w:p>
    <w:p>
      <w:pPr>
        <w:pStyle w:val="Heading4"/>
        <w:numPr>
          <w:ilvl w:val="3"/>
          <w:numId w:val="17"/>
        </w:numPr>
        <w:ind w:hanging="0" w:start="0"/>
        <w:rPr/>
      </w:pPr>
      <w:r>
        <w:rPr>
          <w:lang w:val="en-GB"/>
        </w:rPr>
        <w:t>US, Zurich, UK, Spain: Out of scope</w:t>
      </w:r>
      <w:r>
        <w:rPr/>
      </w:r>
    </w:p>
    <w:p>
      <w:pPr>
        <w:pStyle w:val="Heading3"/>
        <w:numPr>
          <w:ilvl w:val="2"/>
          <w:numId w:val="17"/>
        </w:numPr>
        <w:ind w:hanging="0" w:start="0"/>
        <w:rPr/>
      </w:pPr>
      <w:r>
        <w:rPr/>
        <w:t>Audit customer master per GlobalPharma policy guidelines.</w:t>
      </w:r>
    </w:p>
    <w:p>
      <w:pPr>
        <w:pStyle w:val="Heading4"/>
        <w:numPr>
          <w:ilvl w:val="3"/>
          <w:numId w:val="17"/>
        </w:numPr>
        <w:ind w:hanging="0" w:start="0"/>
        <w:rPr/>
      </w:pPr>
      <w:r>
        <w:rPr>
          <w:lang w:val="en-GB"/>
        </w:rPr>
        <w:t>US, Zurich, UK, Spain: Out of scope</w:t>
      </w:r>
      <w:r>
        <w:rPr/>
      </w:r>
    </w:p>
    <w:p>
      <w:pPr>
        <w:pStyle w:val="Formatvorlage1"/>
        <w:numPr>
          <w:ilvl w:val="0"/>
          <w:numId w:val="17"/>
        </w:numPr>
        <w:ind w:hanging="0" w:start="0"/>
        <w:rPr/>
      </w:pPr>
      <w:bookmarkStart w:id="8" w:name="__RefHeading___Toc157773429"/>
      <w:bookmarkEnd w:id="8"/>
      <w:r>
        <w:rPr/>
        <w:t>INvoicing</w:t>
      </w:r>
    </w:p>
    <w:p>
      <w:pPr>
        <w:pStyle w:val="Formatvorlage2"/>
        <w:numPr>
          <w:ilvl w:val="1"/>
          <w:numId w:val="17"/>
        </w:numPr>
        <w:rPr/>
      </w:pPr>
      <w:bookmarkStart w:id="9" w:name="__RefHeading___Toc157773430"/>
      <w:bookmarkEnd w:id="9"/>
      <w:r>
        <w:rPr/>
        <w:t>Manual Invoice/Credit Memo Issuances</w:t>
      </w:r>
    </w:p>
    <w:p>
      <w:pPr>
        <w:pStyle w:val="Heading3"/>
        <w:numPr>
          <w:ilvl w:val="2"/>
          <w:numId w:val="17"/>
        </w:numPr>
        <w:ind w:hanging="0" w:start="0"/>
        <w:rPr/>
      </w:pPr>
      <w:r>
        <w:rPr/>
        <w:t>The Service Providers responsibilities include, but are not limited to the following:</w:t>
      </w:r>
    </w:p>
    <w:p>
      <w:pPr>
        <w:pStyle w:val="Heading3"/>
        <w:numPr>
          <w:ilvl w:val="2"/>
          <w:numId w:val="17"/>
        </w:numPr>
        <w:ind w:hanging="0" w:start="0"/>
        <w:rPr/>
      </w:pPr>
      <w:r>
        <w:rPr/>
        <w:t>Receive request from GlobalPharma for recording of manual invoices.</w:t>
      </w:r>
    </w:p>
    <w:p>
      <w:pPr>
        <w:pStyle w:val="Heading4"/>
        <w:numPr>
          <w:ilvl w:val="3"/>
          <w:numId w:val="17"/>
        </w:numPr>
        <w:ind w:hanging="0" w:start="0"/>
        <w:rPr/>
      </w:pPr>
      <w:r>
        <w:rPr/>
        <w:t>US, UK, Zurich, Italy, Spain: Out of Scope</w:t>
      </w:r>
    </w:p>
    <w:p>
      <w:pPr>
        <w:pStyle w:val="Heading3"/>
        <w:numPr>
          <w:ilvl w:val="2"/>
          <w:numId w:val="17"/>
        </w:numPr>
        <w:ind w:hanging="0" w:start="0"/>
        <w:rPr/>
      </w:pPr>
      <w:r>
        <w:rPr/>
        <w:t>Verify approval authority to request manual invoice/credit memo.</w:t>
      </w:r>
    </w:p>
    <w:p>
      <w:pPr>
        <w:pStyle w:val="Heading4"/>
        <w:numPr>
          <w:ilvl w:val="3"/>
          <w:numId w:val="17"/>
        </w:numPr>
        <w:ind w:hanging="0" w:start="0"/>
        <w:rPr/>
      </w:pPr>
      <w:r>
        <w:rPr/>
        <w:t>US, UK, Zurich, Italy, Spain: Out of Scope</w:t>
      </w:r>
    </w:p>
    <w:p>
      <w:pPr>
        <w:pStyle w:val="Heading3"/>
        <w:numPr>
          <w:ilvl w:val="2"/>
          <w:numId w:val="17"/>
        </w:numPr>
        <w:ind w:hanging="0" w:start="0"/>
        <w:rPr/>
      </w:pPr>
      <w:r>
        <w:rPr/>
        <w:t>Create/generate manual invoice/credit memo</w:t>
      </w:r>
    </w:p>
    <w:p>
      <w:pPr>
        <w:pStyle w:val="Heading4"/>
        <w:numPr>
          <w:ilvl w:val="3"/>
          <w:numId w:val="17"/>
        </w:numPr>
        <w:ind w:hanging="0" w:start="0"/>
        <w:rPr/>
      </w:pPr>
      <w:r>
        <w:rPr/>
        <w:t>US, UK, Zurich, Italy, Spain: Out of Scope</w:t>
      </w:r>
    </w:p>
    <w:p>
      <w:pPr>
        <w:pStyle w:val="Heading3"/>
        <w:numPr>
          <w:ilvl w:val="2"/>
          <w:numId w:val="17"/>
        </w:numPr>
        <w:ind w:hanging="0" w:start="0"/>
        <w:rPr/>
      </w:pPr>
      <w:r>
        <w:rPr/>
        <w:t>Enter manual invoice/credit memo into system if required.</w:t>
      </w:r>
    </w:p>
    <w:p>
      <w:pPr>
        <w:pStyle w:val="Heading4"/>
        <w:numPr>
          <w:ilvl w:val="3"/>
          <w:numId w:val="17"/>
        </w:numPr>
        <w:ind w:hanging="0" w:start="0"/>
        <w:rPr/>
      </w:pPr>
      <w:r>
        <w:rPr/>
        <w:t>US, UK, Zurich, Italy, Spain: Out of Scope</w:t>
      </w:r>
    </w:p>
    <w:p>
      <w:pPr>
        <w:pStyle w:val="Heading3"/>
        <w:numPr>
          <w:ilvl w:val="2"/>
          <w:numId w:val="17"/>
        </w:numPr>
        <w:ind w:hanging="0" w:start="0"/>
        <w:rPr/>
      </w:pPr>
      <w:r>
        <w:rPr/>
        <w:t xml:space="preserve">Create manual journal entry if required. </w:t>
      </w:r>
    </w:p>
    <w:p>
      <w:pPr>
        <w:pStyle w:val="Heading4"/>
        <w:numPr>
          <w:ilvl w:val="3"/>
          <w:numId w:val="17"/>
        </w:numPr>
        <w:ind w:hanging="0" w:start="0"/>
        <w:rPr/>
      </w:pPr>
      <w:r>
        <w:rPr/>
        <w:t>US, UK, Zurich, Italy, Spain: Out of Scope</w:t>
      </w:r>
    </w:p>
    <w:p>
      <w:pPr>
        <w:pStyle w:val="Heading3"/>
        <w:numPr>
          <w:ilvl w:val="2"/>
          <w:numId w:val="17"/>
        </w:numPr>
        <w:ind w:hanging="0" w:start="0"/>
        <w:rPr/>
      </w:pPr>
      <w:r>
        <w:rPr/>
        <w:t>Distribute manual invoice/credit memo to customer.</w:t>
      </w:r>
    </w:p>
    <w:p>
      <w:pPr>
        <w:pStyle w:val="Heading4"/>
        <w:numPr>
          <w:ilvl w:val="3"/>
          <w:numId w:val="17"/>
        </w:numPr>
        <w:ind w:hanging="0" w:start="0"/>
        <w:rPr/>
      </w:pPr>
      <w:r>
        <w:rPr/>
        <w:t>US, UK, Zurich, Italy, Spain: Out of Scope</w:t>
      </w:r>
    </w:p>
    <w:p>
      <w:pPr>
        <w:pStyle w:val="Formatvorlage1"/>
        <w:numPr>
          <w:ilvl w:val="0"/>
          <w:numId w:val="17"/>
        </w:numPr>
        <w:ind w:hanging="0" w:start="0"/>
        <w:rPr/>
      </w:pPr>
      <w:bookmarkStart w:id="10" w:name="__RefHeading___Toc157773431"/>
      <w:bookmarkEnd w:id="10"/>
      <w:r>
        <w:rPr/>
        <w:t>Accounts receivable</w:t>
      </w:r>
    </w:p>
    <w:p>
      <w:pPr>
        <w:pStyle w:val="Formatvorlage2"/>
        <w:numPr>
          <w:ilvl w:val="1"/>
          <w:numId w:val="17"/>
        </w:numPr>
        <w:rPr/>
      </w:pPr>
      <w:bookmarkStart w:id="11" w:name="__RefHeading___Toc157773432"/>
      <w:bookmarkEnd w:id="11"/>
      <w:r>
        <w:rPr/>
        <w:t>Validate Charges to Accounts Receivable from Subsidiary Ledgers</w:t>
      </w:r>
    </w:p>
    <w:p>
      <w:pPr>
        <w:pStyle w:val="Heading3"/>
        <w:numPr>
          <w:ilvl w:val="2"/>
          <w:numId w:val="17"/>
        </w:numPr>
        <w:ind w:hanging="0" w:start="0"/>
        <w:rPr/>
      </w:pPr>
      <w:r>
        <w:rPr/>
        <w:t>The Service Providers responsibilities include, but are not limited to the following:</w:t>
      </w:r>
    </w:p>
    <w:p>
      <w:pPr>
        <w:pStyle w:val="Heading3"/>
        <w:numPr>
          <w:ilvl w:val="2"/>
          <w:numId w:val="17"/>
        </w:numPr>
        <w:ind w:hanging="0" w:start="0"/>
        <w:rPr/>
      </w:pPr>
      <w:r>
        <w:rPr/>
        <w:t>Reconcile trade/customer receivables charges to trade/customer sales report and correct variances.</w:t>
      </w:r>
    </w:p>
    <w:p>
      <w:pPr>
        <w:pStyle w:val="Heading4"/>
        <w:numPr>
          <w:ilvl w:val="3"/>
          <w:numId w:val="17"/>
        </w:numPr>
        <w:ind w:hanging="0" w:start="0"/>
        <w:rPr/>
      </w:pPr>
      <w:r>
        <w:rPr/>
        <w:t>US, UK, Zurich, Germany, Italy: Out of Scope.</w:t>
      </w:r>
    </w:p>
    <w:p>
      <w:pPr>
        <w:pStyle w:val="Heading3"/>
        <w:numPr>
          <w:ilvl w:val="2"/>
          <w:numId w:val="17"/>
        </w:numPr>
        <w:ind w:hanging="0" w:start="0"/>
        <w:rPr/>
      </w:pPr>
      <w:r>
        <w:rPr/>
        <w:t>Reconcile inter-company receivables charges to inter-company sales report and correct variances</w:t>
      </w:r>
    </w:p>
    <w:p>
      <w:pPr>
        <w:pStyle w:val="Heading4"/>
        <w:numPr>
          <w:ilvl w:val="3"/>
          <w:numId w:val="17"/>
        </w:numPr>
        <w:ind w:hanging="0" w:start="0"/>
        <w:rPr/>
      </w:pPr>
      <w:r>
        <w:rPr/>
        <w:t>US: Out of Scope.</w:t>
      </w:r>
    </w:p>
    <w:p>
      <w:pPr>
        <w:pStyle w:val="Heading3"/>
        <w:numPr>
          <w:ilvl w:val="2"/>
          <w:numId w:val="17"/>
        </w:numPr>
        <w:ind w:hanging="0" w:start="0"/>
        <w:rPr/>
      </w:pPr>
      <w:r>
        <w:rPr/>
        <w:t>Reconcile miscellaneous receivables charges to miscellaneous sales report and correct variances</w:t>
      </w:r>
    </w:p>
    <w:p>
      <w:pPr>
        <w:pStyle w:val="Heading4"/>
        <w:numPr>
          <w:ilvl w:val="3"/>
          <w:numId w:val="17"/>
        </w:numPr>
        <w:ind w:hanging="0" w:start="0"/>
        <w:rPr/>
      </w:pPr>
      <w:r>
        <w:rPr/>
        <w:t>US, UK: Out of Scope.</w:t>
      </w:r>
    </w:p>
    <w:p>
      <w:pPr>
        <w:pStyle w:val="Heading3"/>
        <w:numPr>
          <w:ilvl w:val="2"/>
          <w:numId w:val="17"/>
        </w:numPr>
        <w:ind w:hanging="0" w:start="0"/>
        <w:rPr/>
      </w:pPr>
      <w:r>
        <w:rPr/>
        <w:t>Reconcile employee receivables charges to payroll or other appropriate input sources and correct variances.</w:t>
      </w:r>
    </w:p>
    <w:p>
      <w:pPr>
        <w:pStyle w:val="Heading4"/>
        <w:numPr>
          <w:ilvl w:val="3"/>
          <w:numId w:val="17"/>
        </w:numPr>
        <w:ind w:hanging="0" w:start="0"/>
        <w:rPr/>
      </w:pPr>
      <w:r>
        <w:rPr/>
        <w:t>US, UK, France, Spain: Out of Scope.</w:t>
      </w:r>
    </w:p>
    <w:p>
      <w:pPr>
        <w:pStyle w:val="Formatvorlage2"/>
        <w:numPr>
          <w:ilvl w:val="1"/>
          <w:numId w:val="17"/>
        </w:numPr>
        <w:rPr/>
      </w:pPr>
      <w:bookmarkStart w:id="12" w:name="__RefHeading___Toc157773433"/>
      <w:bookmarkEnd w:id="12"/>
      <w:r>
        <w:rPr/>
        <w:t>Process Manual Customer Payments</w:t>
      </w:r>
    </w:p>
    <w:p>
      <w:pPr>
        <w:pStyle w:val="Heading3"/>
        <w:numPr>
          <w:ilvl w:val="2"/>
          <w:numId w:val="17"/>
        </w:numPr>
        <w:ind w:hanging="0" w:start="0"/>
        <w:rPr/>
      </w:pPr>
      <w:r>
        <w:rPr/>
        <w:t>The Service Providers responsibilities include, but are not limited to the following:</w:t>
      </w:r>
    </w:p>
    <w:p>
      <w:pPr>
        <w:pStyle w:val="Heading3"/>
        <w:numPr>
          <w:ilvl w:val="2"/>
          <w:numId w:val="17"/>
        </w:numPr>
        <w:ind w:hanging="0" w:start="0"/>
        <w:rPr/>
      </w:pPr>
      <w:r>
        <w:rPr/>
        <w:t>Receive payment documents (e.g. remittance advices) from GlobalPharma (via fax or paper). In case you receive paper from GlobalPharma or customers scan document and return to GlobalPharma.</w:t>
      </w:r>
    </w:p>
    <w:p>
      <w:pPr>
        <w:pStyle w:val="Heading4"/>
        <w:numPr>
          <w:ilvl w:val="3"/>
          <w:numId w:val="17"/>
        </w:numPr>
        <w:ind w:hanging="0" w:start="0"/>
        <w:rPr>
          <w:szCs w:val="22"/>
        </w:rPr>
      </w:pPr>
      <w:r>
        <w:rPr/>
        <w:t>US: Out of scope.</w:t>
      </w:r>
    </w:p>
    <w:p>
      <w:pPr>
        <w:pStyle w:val="Heading3"/>
        <w:numPr>
          <w:ilvl w:val="2"/>
          <w:numId w:val="17"/>
        </w:numPr>
        <w:ind w:hanging="0" w:start="0"/>
        <w:rPr/>
      </w:pPr>
      <w:r>
        <w:rPr/>
        <w:t xml:space="preserve">Review all remittance advices (matched and unmatched) including service cancellations and short payments to determine required processing as may be required by GlobalPharma </w:t>
      </w:r>
    </w:p>
    <w:p>
      <w:pPr>
        <w:pStyle w:val="Heading4"/>
        <w:numPr>
          <w:ilvl w:val="3"/>
          <w:numId w:val="17"/>
        </w:numPr>
        <w:ind w:hanging="0" w:start="0"/>
        <w:rPr>
          <w:szCs w:val="22"/>
        </w:rPr>
      </w:pPr>
      <w:r>
        <w:rPr/>
        <w:t>US: Out of scope.</w:t>
      </w:r>
    </w:p>
    <w:p>
      <w:pPr>
        <w:pStyle w:val="Heading3"/>
        <w:numPr>
          <w:ilvl w:val="2"/>
          <w:numId w:val="17"/>
        </w:numPr>
        <w:ind w:hanging="0" w:start="0"/>
        <w:rPr>
          <w:szCs w:val="22"/>
        </w:rPr>
      </w:pPr>
      <w:r>
        <w:rPr/>
        <w:t>Investigate and manage the process of unallocated receipts and postings to suspense accounts and report on suspense postings. US: Out of scope.</w:t>
      </w:r>
    </w:p>
    <w:p>
      <w:pPr>
        <w:pStyle w:val="Heading4"/>
        <w:numPr>
          <w:ilvl w:val="3"/>
          <w:numId w:val="17"/>
        </w:numPr>
        <w:ind w:hanging="0" w:start="0"/>
        <w:rPr>
          <w:szCs w:val="22"/>
        </w:rPr>
      </w:pPr>
      <w:r>
        <w:rPr/>
        <w:t>US: Out of scope.</w:t>
      </w:r>
    </w:p>
    <w:p>
      <w:pPr>
        <w:pStyle w:val="Heading3"/>
        <w:numPr>
          <w:ilvl w:val="2"/>
          <w:numId w:val="17"/>
        </w:numPr>
        <w:ind w:hanging="0" w:start="0"/>
        <w:rPr/>
      </w:pPr>
      <w:r>
        <w:rPr/>
        <w:t xml:space="preserve">Prepare, log and apply payments to customer invoices.  </w:t>
      </w:r>
    </w:p>
    <w:p>
      <w:pPr>
        <w:pStyle w:val="Heading4"/>
        <w:numPr>
          <w:ilvl w:val="3"/>
          <w:numId w:val="17"/>
        </w:numPr>
        <w:ind w:hanging="0" w:start="0"/>
        <w:rPr>
          <w:szCs w:val="22"/>
        </w:rPr>
      </w:pPr>
      <w:r>
        <w:rPr/>
        <w:t>US: Out of scope.</w:t>
      </w:r>
    </w:p>
    <w:p>
      <w:pPr>
        <w:pStyle w:val="Formatvorlage2"/>
        <w:numPr>
          <w:ilvl w:val="1"/>
          <w:numId w:val="17"/>
        </w:numPr>
        <w:rPr/>
      </w:pPr>
      <w:bookmarkStart w:id="13" w:name="__RefHeading___Toc157773434"/>
      <w:bookmarkEnd w:id="13"/>
      <w:r>
        <w:rPr/>
        <w:t>Process Electronic Payments</w:t>
      </w:r>
    </w:p>
    <w:p>
      <w:pPr>
        <w:pStyle w:val="Heading3"/>
        <w:numPr>
          <w:ilvl w:val="2"/>
          <w:numId w:val="17"/>
        </w:numPr>
        <w:ind w:hanging="0" w:start="0"/>
        <w:rPr/>
      </w:pPr>
      <w:r>
        <w:rPr/>
        <w:t>The Service Providers responsibilities include, but are not limited to the following:</w:t>
      </w:r>
    </w:p>
    <w:p>
      <w:pPr>
        <w:pStyle w:val="Heading3"/>
        <w:numPr>
          <w:ilvl w:val="2"/>
          <w:numId w:val="17"/>
        </w:numPr>
        <w:ind w:hanging="0" w:start="0"/>
        <w:rPr/>
      </w:pPr>
      <w:r>
        <w:rPr/>
        <w:t>Receive electronic payment information from bank, prepare, log, and update entries and apply cash to customer invoices.</w:t>
      </w:r>
    </w:p>
    <w:p>
      <w:pPr>
        <w:pStyle w:val="Heading4"/>
        <w:numPr>
          <w:ilvl w:val="3"/>
          <w:numId w:val="17"/>
        </w:numPr>
        <w:ind w:hanging="0" w:start="0"/>
        <w:rPr>
          <w:szCs w:val="22"/>
        </w:rPr>
      </w:pPr>
      <w:r>
        <w:rPr/>
        <w:t>US: Out of scope.</w:t>
      </w:r>
    </w:p>
    <w:p>
      <w:pPr>
        <w:pStyle w:val="Heading3"/>
        <w:numPr>
          <w:ilvl w:val="2"/>
          <w:numId w:val="17"/>
        </w:numPr>
        <w:ind w:hanging="0" w:start="0"/>
        <w:rPr/>
      </w:pPr>
      <w:r>
        <w:rPr/>
        <w:t>Process electronic payments according to defined GlobalPharma policies and procedures.</w:t>
      </w:r>
    </w:p>
    <w:p>
      <w:pPr>
        <w:pStyle w:val="Heading4"/>
        <w:numPr>
          <w:ilvl w:val="3"/>
          <w:numId w:val="17"/>
        </w:numPr>
        <w:ind w:hanging="0" w:start="0"/>
        <w:rPr>
          <w:szCs w:val="22"/>
        </w:rPr>
      </w:pPr>
      <w:r>
        <w:rPr/>
        <w:t>US: Out of scope.</w:t>
      </w:r>
    </w:p>
    <w:p>
      <w:pPr>
        <w:pStyle w:val="Formatvorlage2"/>
        <w:numPr>
          <w:ilvl w:val="1"/>
          <w:numId w:val="17"/>
        </w:numPr>
        <w:rPr/>
      </w:pPr>
      <w:bookmarkStart w:id="14" w:name="__RefHeading___Toc157773435"/>
      <w:bookmarkEnd w:id="14"/>
      <w:r>
        <w:rPr/>
        <w:t>Reconcile Unapplied Payments</w:t>
      </w:r>
    </w:p>
    <w:p>
      <w:pPr>
        <w:pStyle w:val="Heading3"/>
        <w:numPr>
          <w:ilvl w:val="2"/>
          <w:numId w:val="17"/>
        </w:numPr>
        <w:ind w:hanging="0" w:start="0"/>
        <w:rPr/>
      </w:pPr>
      <w:r>
        <w:rPr/>
        <w:t>The Service Providers responsibilities include, but are not limited to the following:</w:t>
      </w:r>
    </w:p>
    <w:p>
      <w:pPr>
        <w:pStyle w:val="Heading3"/>
        <w:numPr>
          <w:ilvl w:val="2"/>
          <w:numId w:val="17"/>
        </w:numPr>
        <w:ind w:hanging="0" w:start="0"/>
        <w:rPr/>
      </w:pPr>
      <w:r>
        <w:rPr/>
        <w:t>Create schedule of charge-backs and unapplied cash exceptions for Service Provider review within tolerance limits and GlobalPharma review outside of tolerance limits.</w:t>
      </w:r>
    </w:p>
    <w:p>
      <w:pPr>
        <w:pStyle w:val="Heading4"/>
        <w:numPr>
          <w:ilvl w:val="3"/>
          <w:numId w:val="17"/>
        </w:numPr>
        <w:ind w:hanging="0" w:start="0"/>
        <w:rPr>
          <w:szCs w:val="22"/>
        </w:rPr>
      </w:pPr>
      <w:r>
        <w:rPr/>
        <w:t>US: Out of scope.</w:t>
      </w:r>
    </w:p>
    <w:p>
      <w:pPr>
        <w:pStyle w:val="Heading3"/>
        <w:numPr>
          <w:ilvl w:val="2"/>
          <w:numId w:val="17"/>
        </w:numPr>
        <w:ind w:hanging="0" w:start="0"/>
        <w:rPr/>
      </w:pPr>
      <w:r>
        <w:rPr/>
        <w:t>Assist GlobalPharma management in review and approval of chargeback and unapplied cash exceptions.</w:t>
      </w:r>
    </w:p>
    <w:p>
      <w:pPr>
        <w:pStyle w:val="Heading4"/>
        <w:numPr>
          <w:ilvl w:val="3"/>
          <w:numId w:val="17"/>
        </w:numPr>
        <w:ind w:hanging="0" w:start="0"/>
        <w:rPr>
          <w:szCs w:val="22"/>
        </w:rPr>
      </w:pPr>
      <w:r>
        <w:rPr/>
        <w:t>US: Out of scope.</w:t>
      </w:r>
    </w:p>
    <w:p>
      <w:pPr>
        <w:pStyle w:val="Heading3"/>
        <w:numPr>
          <w:ilvl w:val="2"/>
          <w:numId w:val="17"/>
        </w:numPr>
        <w:ind w:hanging="0" w:start="0"/>
        <w:rPr/>
      </w:pPr>
      <w:r>
        <w:rPr/>
        <w:t>Provide month end chargeback and unapplied cash exceptions file to GlobalPharma.</w:t>
      </w:r>
    </w:p>
    <w:p>
      <w:pPr>
        <w:pStyle w:val="Heading4"/>
        <w:numPr>
          <w:ilvl w:val="3"/>
          <w:numId w:val="17"/>
        </w:numPr>
        <w:ind w:hanging="0" w:start="0"/>
        <w:rPr>
          <w:szCs w:val="22"/>
        </w:rPr>
      </w:pPr>
      <w:r>
        <w:rPr/>
        <w:t>US: Out of scope.</w:t>
      </w:r>
    </w:p>
    <w:p>
      <w:pPr>
        <w:pStyle w:val="Heading3"/>
        <w:numPr>
          <w:ilvl w:val="2"/>
          <w:numId w:val="17"/>
        </w:numPr>
        <w:ind w:hanging="0" w:start="0"/>
        <w:rPr/>
      </w:pPr>
      <w:r>
        <w:rPr/>
        <w:t>Resolve and process unapplied cash based upon research, collaboration with collections and approved management decisions.</w:t>
      </w:r>
    </w:p>
    <w:p>
      <w:pPr>
        <w:pStyle w:val="Heading4"/>
        <w:numPr>
          <w:ilvl w:val="3"/>
          <w:numId w:val="17"/>
        </w:numPr>
        <w:ind w:hanging="0" w:start="0"/>
        <w:rPr>
          <w:szCs w:val="22"/>
        </w:rPr>
      </w:pPr>
      <w:r>
        <w:rPr/>
        <w:t>US: Out of scope.</w:t>
      </w:r>
    </w:p>
    <w:p>
      <w:pPr>
        <w:pStyle w:val="Formatvorlage2"/>
        <w:numPr>
          <w:ilvl w:val="1"/>
          <w:numId w:val="17"/>
        </w:numPr>
        <w:rPr/>
      </w:pPr>
      <w:bookmarkStart w:id="15" w:name="__RefHeading___Toc157773436"/>
      <w:bookmarkEnd w:id="15"/>
      <w:r>
        <w:rPr/>
        <w:t>Customer Refunds</w:t>
      </w:r>
    </w:p>
    <w:p>
      <w:pPr>
        <w:pStyle w:val="Heading3"/>
        <w:numPr>
          <w:ilvl w:val="2"/>
          <w:numId w:val="17"/>
        </w:numPr>
        <w:ind w:hanging="0" w:start="0"/>
        <w:rPr/>
      </w:pPr>
      <w:r>
        <w:rPr/>
        <w:t>The Service Providers responsibilities include, but are not limited to the following:</w:t>
      </w:r>
    </w:p>
    <w:p>
      <w:pPr>
        <w:pStyle w:val="Heading3"/>
        <w:numPr>
          <w:ilvl w:val="2"/>
          <w:numId w:val="17"/>
        </w:numPr>
        <w:ind w:hanging="0" w:start="0"/>
        <w:rPr/>
      </w:pPr>
      <w:r>
        <w:rPr/>
        <w:t xml:space="preserve">Prepare customer refunds with supporting documentation (coordinate with GlobalPharma if required as described in policies and procedures of GlobalPharma). </w:t>
      </w:r>
    </w:p>
    <w:p>
      <w:pPr>
        <w:pStyle w:val="Heading4"/>
        <w:numPr>
          <w:ilvl w:val="3"/>
          <w:numId w:val="17"/>
        </w:numPr>
        <w:ind w:hanging="0" w:start="0"/>
        <w:rPr>
          <w:szCs w:val="22"/>
        </w:rPr>
      </w:pPr>
      <w:r>
        <w:rPr/>
        <w:t>US, UK, Zurich, Italy: Out of scope.</w:t>
      </w:r>
    </w:p>
    <w:p>
      <w:pPr>
        <w:pStyle w:val="Heading3"/>
        <w:numPr>
          <w:ilvl w:val="2"/>
          <w:numId w:val="17"/>
        </w:numPr>
        <w:ind w:hanging="0" w:start="0"/>
        <w:rPr/>
      </w:pPr>
      <w:r>
        <w:rPr/>
        <w:t>Review and process customer refunds under Service Provider authority limits (This would exclude issuing a physical check).</w:t>
      </w:r>
    </w:p>
    <w:p>
      <w:pPr>
        <w:pStyle w:val="Heading4"/>
        <w:numPr>
          <w:ilvl w:val="3"/>
          <w:numId w:val="17"/>
        </w:numPr>
        <w:ind w:hanging="0" w:start="0"/>
        <w:rPr>
          <w:szCs w:val="22"/>
        </w:rPr>
      </w:pPr>
      <w:r>
        <w:rPr/>
        <w:t>US, UK, Zurich, Italy, Spain: Out of scope.</w:t>
      </w:r>
    </w:p>
    <w:p>
      <w:pPr>
        <w:pStyle w:val="Heading3"/>
        <w:numPr>
          <w:ilvl w:val="2"/>
          <w:numId w:val="17"/>
        </w:numPr>
        <w:ind w:hanging="0" w:start="0"/>
        <w:rPr/>
      </w:pPr>
      <w:r>
        <w:rPr/>
        <w:t>Provide recommendation and supporting documentation for refunds above Service Provider authority limits to GlobalPharma for approval.</w:t>
      </w:r>
    </w:p>
    <w:p>
      <w:pPr>
        <w:pStyle w:val="Heading4"/>
        <w:numPr>
          <w:ilvl w:val="3"/>
          <w:numId w:val="17"/>
        </w:numPr>
        <w:ind w:hanging="0" w:start="0"/>
        <w:rPr>
          <w:szCs w:val="22"/>
        </w:rPr>
      </w:pPr>
      <w:r>
        <w:rPr/>
        <w:t>US, UK, Zurich, Italy, Spain: Out of scope.</w:t>
      </w:r>
    </w:p>
    <w:p>
      <w:pPr>
        <w:pStyle w:val="Formatvorlage2"/>
        <w:numPr>
          <w:ilvl w:val="1"/>
          <w:numId w:val="17"/>
        </w:numPr>
        <w:rPr/>
      </w:pPr>
      <w:bookmarkStart w:id="16" w:name="__RefHeading___Toc157773437"/>
      <w:bookmarkEnd w:id="16"/>
      <w:r>
        <w:rPr/>
        <w:t>Other Payment Processing Activities</w:t>
      </w:r>
    </w:p>
    <w:p>
      <w:pPr>
        <w:pStyle w:val="TableText"/>
        <w:rPr>
          <w:szCs w:val="20"/>
        </w:rPr>
      </w:pPr>
      <w:r>
        <w:rPr/>
        <w:t>The Service Providers responsibilities include, but are not limited to the following:</w:t>
      </w:r>
    </w:p>
    <w:p>
      <w:pPr>
        <w:pStyle w:val="Heading3"/>
        <w:numPr>
          <w:ilvl w:val="2"/>
          <w:numId w:val="17"/>
        </w:numPr>
        <w:ind w:hanging="0" w:start="0"/>
        <w:rPr/>
      </w:pPr>
      <w:r>
        <w:rPr/>
        <w:t>Complete or assist in daily reconciliation of cash clearing accounts.</w:t>
      </w:r>
    </w:p>
    <w:p>
      <w:pPr>
        <w:pStyle w:val="Heading4"/>
        <w:numPr>
          <w:ilvl w:val="3"/>
          <w:numId w:val="17"/>
        </w:numPr>
        <w:ind w:hanging="0" w:start="0"/>
        <w:rPr>
          <w:szCs w:val="22"/>
        </w:rPr>
      </w:pPr>
      <w:r>
        <w:rPr/>
        <w:t>US, Zurich: Out of scope.</w:t>
      </w:r>
    </w:p>
    <w:p>
      <w:pPr>
        <w:pStyle w:val="Heading3"/>
        <w:numPr>
          <w:ilvl w:val="2"/>
          <w:numId w:val="17"/>
        </w:numPr>
        <w:ind w:hanging="0" w:start="0"/>
        <w:rPr/>
      </w:pPr>
      <w:r>
        <w:rPr/>
        <w:t xml:space="preserve">Analyze and clear payments against multiple accounts for a single customer. </w:t>
      </w:r>
    </w:p>
    <w:p>
      <w:pPr>
        <w:pStyle w:val="Heading4"/>
        <w:numPr>
          <w:ilvl w:val="3"/>
          <w:numId w:val="17"/>
        </w:numPr>
        <w:ind w:hanging="0" w:start="0"/>
        <w:rPr>
          <w:szCs w:val="22"/>
        </w:rPr>
      </w:pPr>
      <w:r>
        <w:rPr/>
        <w:t xml:space="preserve"> US, Zurich: Out of scope.</w:t>
      </w:r>
      <w:r>
        <w:rPr/>
      </w:r>
    </w:p>
    <w:p>
      <w:pPr>
        <w:pStyle w:val="Heading3"/>
        <w:numPr>
          <w:ilvl w:val="2"/>
          <w:numId w:val="17"/>
        </w:numPr>
        <w:ind w:hanging="0" w:start="0"/>
        <w:rPr/>
      </w:pPr>
      <w:r>
        <w:rPr/>
        <w:t>Enter approved debit and credit memo adjustments to customer accounts.</w:t>
      </w:r>
    </w:p>
    <w:p>
      <w:pPr>
        <w:pStyle w:val="Heading4"/>
        <w:numPr>
          <w:ilvl w:val="3"/>
          <w:numId w:val="17"/>
        </w:numPr>
        <w:ind w:hanging="0" w:start="0"/>
        <w:rPr/>
      </w:pPr>
      <w:r>
        <w:rPr/>
        <w:t>US, Zurich, Italy: Out of scope.</w:t>
      </w:r>
    </w:p>
    <w:p>
      <w:pPr>
        <w:pStyle w:val="Heading3"/>
        <w:numPr>
          <w:ilvl w:val="2"/>
          <w:numId w:val="17"/>
        </w:numPr>
        <w:ind w:hanging="0" w:start="0"/>
        <w:rPr/>
      </w:pPr>
      <w:r>
        <w:rPr/>
        <w:t>Analyze and clear payments offset by customer credit notes and/or vendor debit notes.</w:t>
      </w:r>
    </w:p>
    <w:p>
      <w:pPr>
        <w:pStyle w:val="Heading4"/>
        <w:numPr>
          <w:ilvl w:val="3"/>
          <w:numId w:val="17"/>
        </w:numPr>
        <w:ind w:hanging="0" w:start="0"/>
        <w:rPr>
          <w:szCs w:val="22"/>
        </w:rPr>
      </w:pPr>
      <w:r>
        <w:rPr/>
        <w:t>US: Out of scope.</w:t>
      </w:r>
    </w:p>
    <w:p>
      <w:pPr>
        <w:pStyle w:val="Heading3"/>
        <w:numPr>
          <w:ilvl w:val="2"/>
          <w:numId w:val="17"/>
        </w:numPr>
        <w:ind w:hanging="0" w:start="0"/>
        <w:rPr/>
      </w:pPr>
      <w:r>
        <w:rPr/>
        <w:t xml:space="preserve">Clear payments according to GlobalPharma directions for provision for reversals of doubtful debt. </w:t>
      </w:r>
    </w:p>
    <w:p>
      <w:pPr>
        <w:pStyle w:val="Heading4"/>
        <w:numPr>
          <w:ilvl w:val="3"/>
          <w:numId w:val="17"/>
        </w:numPr>
        <w:ind w:hanging="0" w:start="0"/>
        <w:rPr>
          <w:szCs w:val="22"/>
        </w:rPr>
      </w:pPr>
      <w:r>
        <w:rPr/>
        <w:t>US: Out of scope.</w:t>
      </w:r>
    </w:p>
    <w:p>
      <w:pPr>
        <w:pStyle w:val="Heading3"/>
        <w:numPr>
          <w:ilvl w:val="2"/>
          <w:numId w:val="17"/>
        </w:numPr>
        <w:ind w:hanging="0" w:start="0"/>
        <w:rPr/>
      </w:pPr>
      <w:r>
        <w:rPr/>
        <w:t>Research and provide resolution recommendation for GlobalPharma approval of short payments and overpayments greater than tolerance levels.</w:t>
      </w:r>
    </w:p>
    <w:p>
      <w:pPr>
        <w:pStyle w:val="Heading4"/>
        <w:numPr>
          <w:ilvl w:val="3"/>
          <w:numId w:val="17"/>
        </w:numPr>
        <w:ind w:hanging="0" w:start="0"/>
        <w:rPr>
          <w:szCs w:val="22"/>
        </w:rPr>
      </w:pPr>
      <w:r>
        <w:rPr/>
        <w:t>US: Out of scope.</w:t>
      </w:r>
    </w:p>
    <w:p>
      <w:pPr>
        <w:pStyle w:val="Heading3"/>
        <w:numPr>
          <w:ilvl w:val="2"/>
          <w:numId w:val="17"/>
        </w:numPr>
        <w:ind w:hanging="0" w:start="0"/>
        <w:rPr/>
      </w:pPr>
      <w:r>
        <w:rPr/>
        <w:t>Respond to inquiries relating to customer account reconciliations.</w:t>
      </w:r>
    </w:p>
    <w:p>
      <w:pPr>
        <w:pStyle w:val="Heading4"/>
        <w:numPr>
          <w:ilvl w:val="3"/>
          <w:numId w:val="17"/>
        </w:numPr>
        <w:ind w:hanging="0" w:start="0"/>
        <w:rPr>
          <w:szCs w:val="22"/>
        </w:rPr>
      </w:pPr>
      <w:r>
        <w:rPr/>
        <w:t>US: Out of scope.</w:t>
      </w:r>
    </w:p>
    <w:p>
      <w:pPr>
        <w:pStyle w:val="Heading3"/>
        <w:numPr>
          <w:ilvl w:val="2"/>
          <w:numId w:val="17"/>
        </w:numPr>
        <w:ind w:hanging="0" w:start="0"/>
        <w:rPr/>
      </w:pPr>
      <w:r>
        <w:rPr/>
        <w:t>Escalate written customer communication according to GlobalPharma policy guidelines.</w:t>
      </w:r>
    </w:p>
    <w:p>
      <w:pPr>
        <w:pStyle w:val="Heading4"/>
        <w:numPr>
          <w:ilvl w:val="3"/>
          <w:numId w:val="17"/>
        </w:numPr>
        <w:ind w:hanging="0" w:start="0"/>
        <w:rPr>
          <w:szCs w:val="22"/>
        </w:rPr>
      </w:pPr>
      <w:r>
        <w:rPr/>
        <w:t>US: Out of scope.</w:t>
      </w:r>
    </w:p>
    <w:p>
      <w:pPr>
        <w:pStyle w:val="Heading3"/>
        <w:numPr>
          <w:ilvl w:val="2"/>
          <w:numId w:val="17"/>
        </w:numPr>
        <w:ind w:hanging="0" w:start="0"/>
        <w:rPr/>
      </w:pPr>
      <w:r>
        <w:rPr/>
        <w:t>Prepare and send customer statements based on customer or GlobalPharma request.</w:t>
      </w:r>
    </w:p>
    <w:p>
      <w:pPr>
        <w:pStyle w:val="Heading4"/>
        <w:numPr>
          <w:ilvl w:val="3"/>
          <w:numId w:val="17"/>
        </w:numPr>
        <w:ind w:hanging="0" w:start="0"/>
        <w:rPr>
          <w:szCs w:val="22"/>
        </w:rPr>
      </w:pPr>
      <w:r>
        <w:rPr/>
        <w:t>US: Out of scope.</w:t>
      </w:r>
    </w:p>
    <w:p>
      <w:pPr>
        <w:pStyle w:val="Heading3"/>
        <w:numPr>
          <w:ilvl w:val="2"/>
          <w:numId w:val="17"/>
        </w:numPr>
        <w:ind w:hanging="0" w:start="0"/>
        <w:rPr/>
      </w:pPr>
      <w:r>
        <w:rPr/>
        <w:t>Reconcile customer account as requested by GlobalPharma.</w:t>
      </w:r>
    </w:p>
    <w:p>
      <w:pPr>
        <w:pStyle w:val="Heading4"/>
        <w:numPr>
          <w:ilvl w:val="3"/>
          <w:numId w:val="17"/>
        </w:numPr>
        <w:ind w:hanging="0" w:start="0"/>
        <w:rPr>
          <w:szCs w:val="22"/>
        </w:rPr>
      </w:pPr>
      <w:r>
        <w:rPr/>
        <w:t>US: Out of scope.</w:t>
      </w:r>
    </w:p>
    <w:p>
      <w:pPr>
        <w:pStyle w:val="Heading3"/>
        <w:numPr>
          <w:ilvl w:val="2"/>
          <w:numId w:val="17"/>
        </w:numPr>
        <w:ind w:hanging="0" w:start="0"/>
        <w:rPr/>
      </w:pPr>
      <w:r>
        <w:rPr/>
        <w:t xml:space="preserve">Prepare write-off journal entries and clear payments over/under that are within GlobalPharma write-off tolerance levels. </w:t>
      </w:r>
    </w:p>
    <w:p>
      <w:pPr>
        <w:pStyle w:val="Heading4"/>
        <w:numPr>
          <w:ilvl w:val="3"/>
          <w:numId w:val="17"/>
        </w:numPr>
        <w:ind w:hanging="0" w:start="0"/>
        <w:rPr>
          <w:szCs w:val="22"/>
        </w:rPr>
      </w:pPr>
      <w:r>
        <w:rPr/>
        <w:t>US: Out of scope.</w:t>
      </w:r>
    </w:p>
    <w:p>
      <w:pPr>
        <w:pStyle w:val="Heading3"/>
        <w:numPr>
          <w:ilvl w:val="2"/>
          <w:numId w:val="17"/>
        </w:numPr>
        <w:ind w:hanging="0" w:start="0"/>
        <w:rPr/>
      </w:pPr>
      <w:r>
        <w:rPr/>
        <w:t>Create correcting journal entry and clear payment for short payment due to rebates.</w:t>
      </w:r>
    </w:p>
    <w:p>
      <w:pPr>
        <w:pStyle w:val="Heading4"/>
        <w:numPr>
          <w:ilvl w:val="3"/>
          <w:numId w:val="17"/>
        </w:numPr>
        <w:ind w:hanging="0" w:start="0"/>
        <w:rPr>
          <w:szCs w:val="22"/>
        </w:rPr>
      </w:pPr>
      <w:r>
        <w:rPr/>
        <w:t>US, Zurich: Out of scope.</w:t>
      </w:r>
    </w:p>
    <w:p>
      <w:pPr>
        <w:pStyle w:val="Heading3"/>
        <w:numPr>
          <w:ilvl w:val="2"/>
          <w:numId w:val="17"/>
        </w:numPr>
        <w:ind w:hanging="0" w:start="0"/>
        <w:rPr/>
      </w:pPr>
      <w:r>
        <w:rPr/>
        <w:t>Cancel manual invoice, create corrected manual invoice, and make correcting journal entry for manual invoices as requested by GlobalPharma.</w:t>
      </w:r>
    </w:p>
    <w:p>
      <w:pPr>
        <w:pStyle w:val="Heading4"/>
        <w:numPr>
          <w:ilvl w:val="3"/>
          <w:numId w:val="17"/>
        </w:numPr>
        <w:ind w:hanging="0" w:start="0"/>
        <w:rPr>
          <w:szCs w:val="22"/>
        </w:rPr>
      </w:pPr>
      <w:r>
        <w:rPr/>
        <w:t>US, Zurich: Out of scope.</w:t>
      </w:r>
    </w:p>
    <w:p>
      <w:pPr>
        <w:pStyle w:val="Formatvorlage2"/>
        <w:numPr>
          <w:ilvl w:val="1"/>
          <w:numId w:val="17"/>
        </w:numPr>
        <w:rPr/>
      </w:pPr>
      <w:bookmarkStart w:id="17" w:name="__RefHeading___Toc157773438"/>
      <w:bookmarkEnd w:id="17"/>
      <w:r>
        <w:rPr/>
        <w:t>Aged Accounts Receivable</w:t>
      </w:r>
    </w:p>
    <w:p>
      <w:pPr>
        <w:pStyle w:val="Heading3"/>
        <w:numPr>
          <w:ilvl w:val="2"/>
          <w:numId w:val="17"/>
        </w:numPr>
        <w:ind w:hanging="0" w:start="0"/>
        <w:rPr>
          <w:szCs w:val="20"/>
        </w:rPr>
      </w:pPr>
      <w:r>
        <w:rPr/>
        <w:t>The Service Providers responsibilities include, but are not limited to the following:</w:t>
      </w:r>
    </w:p>
    <w:p>
      <w:pPr>
        <w:pStyle w:val="Heading3"/>
        <w:numPr>
          <w:ilvl w:val="2"/>
          <w:numId w:val="17"/>
        </w:numPr>
        <w:ind w:hanging="0" w:start="0"/>
        <w:rPr>
          <w:szCs w:val="20"/>
        </w:rPr>
      </w:pPr>
      <w:r>
        <w:rPr/>
        <w:t>Generate aging reports and complete analysis.</w:t>
      </w:r>
    </w:p>
    <w:p>
      <w:pPr>
        <w:pStyle w:val="Heading4"/>
        <w:numPr>
          <w:ilvl w:val="3"/>
          <w:numId w:val="17"/>
        </w:numPr>
        <w:ind w:hanging="0" w:start="0"/>
        <w:rPr>
          <w:szCs w:val="22"/>
        </w:rPr>
      </w:pPr>
      <w:r>
        <w:rPr/>
        <w:t>US: Out of scope.</w:t>
      </w:r>
    </w:p>
    <w:p>
      <w:pPr>
        <w:pStyle w:val="Heading3"/>
        <w:numPr>
          <w:ilvl w:val="2"/>
          <w:numId w:val="17"/>
        </w:numPr>
        <w:ind w:hanging="0" w:start="0"/>
        <w:rPr/>
      </w:pPr>
      <w:r>
        <w:rPr/>
        <w:t>Review reports and analysis with GlobalPharma.</w:t>
      </w:r>
    </w:p>
    <w:p>
      <w:pPr>
        <w:pStyle w:val="Heading4"/>
        <w:numPr>
          <w:ilvl w:val="3"/>
          <w:numId w:val="17"/>
        </w:numPr>
        <w:ind w:hanging="0" w:start="0"/>
        <w:rPr>
          <w:szCs w:val="22"/>
        </w:rPr>
      </w:pPr>
      <w:r>
        <w:rPr/>
        <w:t>US: Out of scope.</w:t>
      </w:r>
    </w:p>
    <w:p>
      <w:pPr>
        <w:pStyle w:val="Formatvorlage1"/>
        <w:numPr>
          <w:ilvl w:val="0"/>
          <w:numId w:val="17"/>
        </w:numPr>
        <w:ind w:hanging="0" w:start="0"/>
        <w:rPr/>
      </w:pPr>
      <w:bookmarkStart w:id="18" w:name="__RefHeading___Toc157773439"/>
      <w:bookmarkEnd w:id="18"/>
      <w:r>
        <w:rPr/>
        <w:t>Revenue  Accounting</w:t>
      </w:r>
    </w:p>
    <w:p>
      <w:pPr>
        <w:pStyle w:val="Formatvorlage2"/>
        <w:numPr>
          <w:ilvl w:val="1"/>
          <w:numId w:val="17"/>
        </w:numPr>
        <w:rPr/>
      </w:pPr>
      <w:bookmarkStart w:id="19" w:name="__RefHeading___Toc157773440"/>
      <w:r>
        <w:rPr/>
        <w:t>Journal Entries</w:t>
      </w:r>
      <w:bookmarkEnd w:id="19"/>
      <w:r>
        <w:rPr/>
        <w:t xml:space="preserve"> </w:t>
      </w:r>
    </w:p>
    <w:p>
      <w:pPr>
        <w:pStyle w:val="Heading3"/>
        <w:numPr>
          <w:ilvl w:val="2"/>
          <w:numId w:val="17"/>
        </w:numPr>
        <w:ind w:hanging="0" w:start="0"/>
        <w:rPr/>
      </w:pPr>
      <w:r>
        <w:rPr/>
        <w:t>The Service Providers responsibilities include, but are not limited to the following:</w:t>
      </w:r>
    </w:p>
    <w:p>
      <w:pPr>
        <w:pStyle w:val="Heading3"/>
        <w:numPr>
          <w:ilvl w:val="2"/>
          <w:numId w:val="17"/>
        </w:numPr>
        <w:ind w:hanging="0" w:start="0"/>
        <w:rPr/>
      </w:pPr>
      <w:r>
        <w:rPr/>
        <w:t>Prepare standard, recurring, and ad hoc journal entries for input.</w:t>
      </w:r>
    </w:p>
    <w:p>
      <w:pPr>
        <w:pStyle w:val="Heading4"/>
        <w:numPr>
          <w:ilvl w:val="3"/>
          <w:numId w:val="17"/>
        </w:numPr>
        <w:ind w:hanging="0" w:start="0"/>
        <w:rPr>
          <w:szCs w:val="22"/>
        </w:rPr>
      </w:pPr>
      <w:r>
        <w:rPr/>
        <w:t>US, Zurich: Out of scope.</w:t>
      </w:r>
    </w:p>
    <w:p>
      <w:pPr>
        <w:pStyle w:val="Heading3"/>
        <w:numPr>
          <w:ilvl w:val="2"/>
          <w:numId w:val="17"/>
        </w:numPr>
        <w:ind w:hanging="0" w:start="0"/>
        <w:rPr/>
      </w:pPr>
      <w:r>
        <w:rPr/>
        <w:t>Obtain approval of journal entries in accordance with GlobalPharma’s approval hierarchy.</w:t>
      </w:r>
    </w:p>
    <w:p>
      <w:pPr>
        <w:pStyle w:val="Heading4"/>
        <w:numPr>
          <w:ilvl w:val="3"/>
          <w:numId w:val="17"/>
        </w:numPr>
        <w:ind w:hanging="0" w:start="0"/>
        <w:rPr>
          <w:szCs w:val="22"/>
        </w:rPr>
      </w:pPr>
      <w:r>
        <w:rPr/>
        <w:t>US, Zurich: Out of scope.</w:t>
      </w:r>
    </w:p>
    <w:p>
      <w:pPr>
        <w:pStyle w:val="Heading3"/>
        <w:numPr>
          <w:ilvl w:val="2"/>
          <w:numId w:val="17"/>
        </w:numPr>
        <w:ind w:hanging="0" w:start="0"/>
        <w:rPr/>
      </w:pPr>
      <w:r>
        <w:rPr/>
        <w:t>Calculate and process recurring, reversing, and accrual journals related to the revenue cycle.</w:t>
      </w:r>
    </w:p>
    <w:p>
      <w:pPr>
        <w:pStyle w:val="Heading4"/>
        <w:numPr>
          <w:ilvl w:val="3"/>
          <w:numId w:val="17"/>
        </w:numPr>
        <w:ind w:hanging="0" w:start="0"/>
        <w:rPr>
          <w:szCs w:val="22"/>
        </w:rPr>
      </w:pPr>
      <w:r>
        <w:rPr/>
        <w:t>US, Zurich: Out of scope.</w:t>
      </w:r>
    </w:p>
    <w:p>
      <w:pPr>
        <w:pStyle w:val="Heading3"/>
        <w:numPr>
          <w:ilvl w:val="2"/>
          <w:numId w:val="17"/>
        </w:numPr>
        <w:ind w:hanging="0" w:start="0"/>
        <w:rPr/>
      </w:pPr>
      <w:r>
        <w:rPr/>
        <w:t>Track, review, analyze and audit accrual requests related to the revenue cycle.</w:t>
      </w:r>
    </w:p>
    <w:p>
      <w:pPr>
        <w:pStyle w:val="Heading4"/>
        <w:numPr>
          <w:ilvl w:val="3"/>
          <w:numId w:val="17"/>
        </w:numPr>
        <w:ind w:hanging="0" w:start="0"/>
        <w:rPr>
          <w:szCs w:val="22"/>
        </w:rPr>
      </w:pPr>
      <w:r>
        <w:rPr/>
        <w:t>US, Zurich: Out of scope.</w:t>
      </w:r>
    </w:p>
    <w:p>
      <w:pPr>
        <w:pStyle w:val="Heading3"/>
        <w:numPr>
          <w:ilvl w:val="2"/>
          <w:numId w:val="17"/>
        </w:numPr>
        <w:ind w:hanging="0" w:start="0"/>
        <w:rPr/>
      </w:pPr>
      <w:r>
        <w:rPr/>
        <w:t>Clear the account receivable suspense accounts.</w:t>
      </w:r>
    </w:p>
    <w:p>
      <w:pPr>
        <w:pStyle w:val="Heading4"/>
        <w:numPr>
          <w:ilvl w:val="3"/>
          <w:numId w:val="17"/>
        </w:numPr>
        <w:ind w:hanging="0" w:start="0"/>
        <w:rPr>
          <w:szCs w:val="22"/>
        </w:rPr>
      </w:pPr>
      <w:r>
        <w:rPr/>
        <w:t>US, Zurich: Out of scope.</w:t>
      </w:r>
    </w:p>
    <w:p>
      <w:pPr>
        <w:pStyle w:val="Heading3"/>
        <w:numPr>
          <w:ilvl w:val="2"/>
          <w:numId w:val="17"/>
        </w:numPr>
        <w:ind w:hanging="0" w:start="0"/>
        <w:rPr/>
      </w:pPr>
      <w:r>
        <w:rPr/>
        <w:t>Prepare adjusting journal entries as required.</w:t>
      </w:r>
    </w:p>
    <w:p>
      <w:pPr>
        <w:pStyle w:val="Heading4"/>
        <w:numPr>
          <w:ilvl w:val="3"/>
          <w:numId w:val="17"/>
        </w:numPr>
        <w:ind w:hanging="0" w:start="0"/>
        <w:rPr>
          <w:szCs w:val="22"/>
        </w:rPr>
      </w:pPr>
      <w:r>
        <w:rPr/>
        <w:t>US, Zurich: Out of scope.</w:t>
      </w:r>
    </w:p>
    <w:p>
      <w:pPr>
        <w:pStyle w:val="Formatvorlage2"/>
        <w:numPr>
          <w:ilvl w:val="1"/>
          <w:numId w:val="17"/>
        </w:numPr>
        <w:rPr/>
      </w:pPr>
      <w:bookmarkStart w:id="20" w:name="__RefHeading___Toc157773441"/>
      <w:bookmarkEnd w:id="20"/>
      <w:r>
        <w:rPr/>
        <w:t>Reconciliations</w:t>
      </w:r>
    </w:p>
    <w:p>
      <w:pPr>
        <w:pStyle w:val="Heading3"/>
        <w:numPr>
          <w:ilvl w:val="2"/>
          <w:numId w:val="17"/>
        </w:numPr>
        <w:ind w:hanging="0" w:start="0"/>
        <w:rPr/>
      </w:pPr>
      <w:r>
        <w:rPr/>
        <w:t>The Service Providers responsibilities include, but are not limited to the following:</w:t>
      </w:r>
    </w:p>
    <w:p>
      <w:pPr>
        <w:pStyle w:val="Heading3"/>
        <w:numPr>
          <w:ilvl w:val="2"/>
          <w:numId w:val="17"/>
        </w:numPr>
        <w:ind w:hanging="0" w:start="0"/>
        <w:rPr/>
      </w:pPr>
      <w:r>
        <w:rPr/>
        <w:t>Prepare balance sheet reconciliations for accounts receivable accounts.</w:t>
      </w:r>
    </w:p>
    <w:p>
      <w:pPr>
        <w:pStyle w:val="Heading4"/>
        <w:numPr>
          <w:ilvl w:val="3"/>
          <w:numId w:val="17"/>
        </w:numPr>
        <w:ind w:hanging="0" w:start="0"/>
        <w:rPr>
          <w:szCs w:val="22"/>
        </w:rPr>
      </w:pPr>
      <w:r>
        <w:rPr/>
        <w:t>US: Out of scope.</w:t>
      </w:r>
    </w:p>
    <w:p>
      <w:pPr>
        <w:pStyle w:val="Heading3"/>
        <w:numPr>
          <w:ilvl w:val="2"/>
          <w:numId w:val="17"/>
        </w:numPr>
        <w:ind w:hanging="0" w:start="0"/>
        <w:rPr/>
      </w:pPr>
      <w:r>
        <w:rPr/>
        <w:t>Research and resolve reconciling differences, and record reconciling difference journal entries.</w:t>
      </w:r>
    </w:p>
    <w:p>
      <w:pPr>
        <w:pStyle w:val="Heading4"/>
        <w:numPr>
          <w:ilvl w:val="3"/>
          <w:numId w:val="17"/>
        </w:numPr>
        <w:ind w:hanging="0" w:start="0"/>
        <w:rPr>
          <w:szCs w:val="22"/>
        </w:rPr>
      </w:pPr>
      <w:r>
        <w:rPr/>
        <w:t>US: Out of scope.</w:t>
      </w:r>
    </w:p>
    <w:p>
      <w:pPr>
        <w:pStyle w:val="Heading3"/>
        <w:numPr>
          <w:ilvl w:val="2"/>
          <w:numId w:val="17"/>
        </w:numPr>
        <w:ind w:hanging="0" w:start="0"/>
        <w:rPr/>
      </w:pPr>
      <w:r>
        <w:rPr/>
        <w:t>Review and approve accounts receivable account reconciliations in accordance with Service Provider approval thresholds.</w:t>
      </w:r>
    </w:p>
    <w:p>
      <w:pPr>
        <w:pStyle w:val="Heading4"/>
        <w:numPr>
          <w:ilvl w:val="3"/>
          <w:numId w:val="17"/>
        </w:numPr>
        <w:ind w:hanging="0" w:start="0"/>
        <w:rPr>
          <w:szCs w:val="22"/>
        </w:rPr>
      </w:pPr>
      <w:r>
        <w:rPr/>
        <w:t>US: Out of scope.</w:t>
      </w:r>
    </w:p>
    <w:p>
      <w:pPr>
        <w:pStyle w:val="Heading3"/>
        <w:numPr>
          <w:ilvl w:val="2"/>
          <w:numId w:val="17"/>
        </w:numPr>
        <w:ind w:hanging="0" w:start="0"/>
        <w:rPr/>
      </w:pPr>
      <w:r>
        <w:rPr/>
        <w:t>Provide accounts receivable account reconciliations that exceed GlobalPharma approval threshold to GlobalPharma for approval.</w:t>
      </w:r>
    </w:p>
    <w:p>
      <w:pPr>
        <w:pStyle w:val="Heading4"/>
        <w:numPr>
          <w:ilvl w:val="3"/>
          <w:numId w:val="17"/>
        </w:numPr>
        <w:ind w:hanging="0" w:start="0"/>
        <w:rPr>
          <w:szCs w:val="22"/>
        </w:rPr>
      </w:pPr>
      <w:r>
        <w:rPr/>
        <w:t>US: Out of scope.</w:t>
      </w:r>
    </w:p>
    <w:p>
      <w:pPr>
        <w:pStyle w:val="Heading3"/>
        <w:numPr>
          <w:ilvl w:val="2"/>
          <w:numId w:val="17"/>
        </w:numPr>
        <w:ind w:hanging="0" w:start="0"/>
        <w:rPr/>
      </w:pPr>
      <w:r>
        <w:rPr>
          <w:lang w:val="en-GB"/>
        </w:rPr>
        <w:t>Monitor and report accounts receivable sub-s</w:t>
      </w:r>
      <w:r>
        <w:rPr/>
        <w:t xml:space="preserve">ystem to general ledger balance (number and type of reports applicable as indicated in </w:t>
      </w:r>
      <w:r>
        <w:rPr>
          <w:b/>
        </w:rPr>
        <w:t>Attachment 13-A</w:t>
      </w:r>
      <w:r>
        <w:rPr/>
        <w:t xml:space="preserve"> to the extent provided by the in-scope FTEs).</w:t>
      </w:r>
    </w:p>
    <w:p>
      <w:pPr>
        <w:pStyle w:val="Formatvorlage2"/>
        <w:numPr>
          <w:ilvl w:val="1"/>
          <w:numId w:val="17"/>
        </w:numPr>
        <w:rPr/>
      </w:pPr>
      <w:bookmarkStart w:id="21" w:name="__RefHeading___Toc157773442"/>
      <w:bookmarkEnd w:id="21"/>
      <w:r>
        <w:rPr/>
        <w:t>Period Close</w:t>
      </w:r>
    </w:p>
    <w:p>
      <w:pPr>
        <w:pStyle w:val="Heading3"/>
        <w:numPr>
          <w:ilvl w:val="2"/>
          <w:numId w:val="17"/>
        </w:numPr>
        <w:ind w:hanging="0" w:start="0"/>
        <w:rPr/>
      </w:pPr>
      <w:r>
        <w:rPr/>
        <w:t>The Service Providers responsibilities include, but are not limited to the following:</w:t>
      </w:r>
    </w:p>
    <w:p>
      <w:pPr>
        <w:pStyle w:val="Heading3"/>
        <w:numPr>
          <w:ilvl w:val="2"/>
          <w:numId w:val="17"/>
        </w:numPr>
        <w:ind w:hanging="0" w:start="0"/>
        <w:rPr/>
      </w:pPr>
      <w:r>
        <w:rPr/>
        <w:t>Produce variance analysis reports at current detail and complexity to support the close process as described in the policies and procedures of GlobalPharma.</w:t>
      </w:r>
    </w:p>
    <w:p>
      <w:pPr>
        <w:pStyle w:val="Heading4"/>
        <w:numPr>
          <w:ilvl w:val="3"/>
          <w:numId w:val="17"/>
        </w:numPr>
        <w:ind w:hanging="0" w:start="0"/>
        <w:rPr>
          <w:szCs w:val="22"/>
        </w:rPr>
      </w:pPr>
      <w:r>
        <w:rPr/>
        <w:t>US: Out of scope.</w:t>
      </w:r>
    </w:p>
    <w:p>
      <w:pPr>
        <w:pStyle w:val="Heading3"/>
        <w:numPr>
          <w:ilvl w:val="2"/>
          <w:numId w:val="17"/>
        </w:numPr>
        <w:ind w:hanging="0" w:start="0"/>
        <w:rPr/>
      </w:pPr>
      <w:r>
        <w:rPr/>
        <w:t>Prepare detailed account analysis at current detail and complexity for GlobalPharma management reviews such as providing information on transaction on accounts, researching issues and suggesting next steps.</w:t>
      </w:r>
    </w:p>
    <w:p>
      <w:pPr>
        <w:pStyle w:val="Heading4"/>
        <w:numPr>
          <w:ilvl w:val="3"/>
          <w:numId w:val="17"/>
        </w:numPr>
        <w:ind w:hanging="0" w:start="0"/>
        <w:rPr/>
      </w:pPr>
      <w:r>
        <w:rPr/>
        <w:t>US: Out of scope</w:t>
      </w:r>
    </w:p>
    <w:p>
      <w:pPr>
        <w:pStyle w:val="Formatvorlage1"/>
        <w:numPr>
          <w:ilvl w:val="0"/>
          <w:numId w:val="17"/>
        </w:numPr>
        <w:ind w:hanging="0" w:start="0"/>
        <w:rPr/>
      </w:pPr>
      <w:bookmarkStart w:id="22" w:name="__RefHeading___Toc157773443"/>
      <w:bookmarkEnd w:id="22"/>
      <w:r>
        <w:rPr/>
        <w:t>collections</w:t>
      </w:r>
    </w:p>
    <w:p>
      <w:pPr>
        <w:pStyle w:val="Formatvorlage2"/>
        <w:numPr>
          <w:ilvl w:val="1"/>
          <w:numId w:val="17"/>
        </w:numPr>
        <w:rPr/>
      </w:pPr>
      <w:bookmarkStart w:id="23" w:name="__RefHeading___Toc157773444"/>
      <w:bookmarkEnd w:id="23"/>
      <w:r>
        <w:rPr/>
        <w:t>General</w:t>
      </w:r>
    </w:p>
    <w:p>
      <w:pPr>
        <w:pStyle w:val="Heading3"/>
        <w:numPr>
          <w:ilvl w:val="2"/>
          <w:numId w:val="17"/>
        </w:numPr>
        <w:ind w:hanging="0" w:start="0"/>
        <w:rPr>
          <w:szCs w:val="22"/>
        </w:rPr>
      </w:pPr>
      <w:r>
        <w:rPr/>
        <w:t>The Service Providers responsibilities include, but are not limited to the following:</w:t>
      </w:r>
    </w:p>
    <w:p>
      <w:pPr>
        <w:pStyle w:val="Heading3"/>
        <w:numPr>
          <w:ilvl w:val="2"/>
          <w:numId w:val="17"/>
        </w:numPr>
        <w:ind w:hanging="0" w:start="0"/>
        <w:rPr/>
      </w:pPr>
      <w:r>
        <w:rPr/>
        <w:t>Implement Lean and Six Sigma as an approach to process improvements e.g. to design and continuously update customer level workflows to drive productivity, to establish workflows for disputes and deductions to aggregate, associate and disseminate data and images to the appropriate process owners for resolution, to establish performance management tools and controls to ensure work is allocated timely and productivity is maximized.</w:t>
      </w:r>
    </w:p>
    <w:p>
      <w:pPr>
        <w:pStyle w:val="Heading3"/>
        <w:numPr>
          <w:ilvl w:val="2"/>
          <w:numId w:val="17"/>
        </w:numPr>
        <w:ind w:hanging="0" w:start="0"/>
        <w:rPr/>
      </w:pPr>
      <w:r>
        <w:rPr/>
        <w:t>Deploy other technologies to improve productivity and AR performance: Use Service Provider’s tools ‘Associate Productivity Tracker’ to drive collector efficiency and ‘“Nice” Call Recording/Monitoring’ to drive process quality.</w:t>
      </w:r>
    </w:p>
    <w:p>
      <w:pPr>
        <w:pStyle w:val="Formatvorlage2"/>
        <w:numPr>
          <w:ilvl w:val="1"/>
          <w:numId w:val="17"/>
        </w:numPr>
        <w:rPr/>
      </w:pPr>
      <w:bookmarkStart w:id="24" w:name="__RefHeading___Toc157773445"/>
      <w:bookmarkEnd w:id="24"/>
      <w:r>
        <w:rPr/>
        <w:t>Collect Past Due Accounts</w:t>
      </w:r>
    </w:p>
    <w:p>
      <w:pPr>
        <w:pStyle w:val="Heading3"/>
        <w:numPr>
          <w:ilvl w:val="2"/>
          <w:numId w:val="17"/>
        </w:numPr>
        <w:ind w:hanging="0" w:start="0"/>
        <w:rPr>
          <w:szCs w:val="22"/>
        </w:rPr>
      </w:pPr>
      <w:bookmarkStart w:id="25" w:name="OLE_LINK10"/>
      <w:bookmarkStart w:id="26" w:name="OLE_LINK9"/>
      <w:r>
        <w:rPr/>
        <w:t>The Service Providers responsibilities include, but are not limited to the following:</w:t>
      </w:r>
      <w:bookmarkEnd w:id="25"/>
      <w:bookmarkEnd w:id="26"/>
    </w:p>
    <w:p>
      <w:pPr>
        <w:pStyle w:val="Heading3"/>
        <w:numPr>
          <w:ilvl w:val="2"/>
          <w:numId w:val="17"/>
        </w:numPr>
        <w:ind w:hanging="0" w:start="0"/>
        <w:rPr/>
      </w:pPr>
      <w:r>
        <w:rPr/>
        <w:t>Contact customers to initiate collection activity in accordance with GlobalPharma policies and procedures</w:t>
      </w:r>
    </w:p>
    <w:p>
      <w:pPr>
        <w:pStyle w:val="Heading4"/>
        <w:numPr>
          <w:ilvl w:val="3"/>
          <w:numId w:val="17"/>
        </w:numPr>
        <w:ind w:hanging="0" w:start="0"/>
        <w:rPr>
          <w:lang w:val="en-GB"/>
        </w:rPr>
      </w:pPr>
      <w:r>
        <w:rPr/>
        <w:t>US except Ophthalmics OTC accounts, France wholesalers, Italy hospitals, Spain hospitals</w:t>
      </w:r>
      <w:r>
        <w:rPr>
          <w:szCs w:val="22"/>
        </w:rPr>
        <w:t xml:space="preserve"> and co-licensors</w:t>
      </w:r>
      <w:r>
        <w:rPr/>
        <w:t>: Out of Scope</w:t>
      </w:r>
    </w:p>
    <w:p>
      <w:pPr>
        <w:pStyle w:val="Heading3"/>
        <w:numPr>
          <w:ilvl w:val="2"/>
          <w:numId w:val="17"/>
        </w:numPr>
        <w:ind w:hanging="0" w:start="0"/>
        <w:rPr/>
      </w:pPr>
      <w:r>
        <w:rPr/>
        <w:t>Coordinate collaborative collection efforts requiring support from other GlobalPharma departments.</w:t>
      </w:r>
    </w:p>
    <w:p>
      <w:pPr>
        <w:pStyle w:val="Heading4"/>
        <w:numPr>
          <w:ilvl w:val="3"/>
          <w:numId w:val="17"/>
        </w:numPr>
        <w:ind w:hanging="0" w:start="0"/>
        <w:rPr>
          <w:lang w:val="en-GB"/>
        </w:rPr>
      </w:pPr>
      <w:r>
        <w:rPr/>
        <w:t>US except Ophthalmics OTC accounts: Out of Scope</w:t>
      </w:r>
    </w:p>
    <w:p>
      <w:pPr>
        <w:pStyle w:val="Heading3"/>
        <w:numPr>
          <w:ilvl w:val="2"/>
          <w:numId w:val="17"/>
        </w:numPr>
        <w:ind w:hanging="0" w:start="0"/>
        <w:rPr/>
      </w:pPr>
      <w:r>
        <w:rPr/>
        <w:t>Categorize accounts e.g. third party, inter-company.</w:t>
      </w:r>
    </w:p>
    <w:p>
      <w:pPr>
        <w:pStyle w:val="Heading4"/>
        <w:numPr>
          <w:ilvl w:val="3"/>
          <w:numId w:val="17"/>
        </w:numPr>
        <w:ind w:hanging="0" w:start="0"/>
        <w:rPr>
          <w:lang w:val="en-GB"/>
        </w:rPr>
      </w:pPr>
      <w:r>
        <w:rPr/>
        <w:t>US except Ophthalmics OTC accounts: Out of Scope</w:t>
      </w:r>
    </w:p>
    <w:p>
      <w:pPr>
        <w:pStyle w:val="Heading3"/>
        <w:numPr>
          <w:ilvl w:val="2"/>
          <w:numId w:val="17"/>
        </w:numPr>
        <w:ind w:hanging="0" w:start="0"/>
        <w:rPr/>
      </w:pPr>
      <w:r>
        <w:rPr/>
        <w:t xml:space="preserve">Document external and internal discussions regarding collections matters.  </w:t>
      </w:r>
    </w:p>
    <w:p>
      <w:pPr>
        <w:pStyle w:val="Heading4"/>
        <w:numPr>
          <w:ilvl w:val="3"/>
          <w:numId w:val="17"/>
        </w:numPr>
        <w:ind w:hanging="0" w:start="0"/>
        <w:rPr>
          <w:lang w:val="en-GB"/>
        </w:rPr>
      </w:pPr>
      <w:r>
        <w:rPr/>
        <w:t>US except Ophthalmics OTC accounts: Out of Scope</w:t>
      </w:r>
    </w:p>
    <w:p>
      <w:pPr>
        <w:pStyle w:val="Heading3"/>
        <w:numPr>
          <w:ilvl w:val="2"/>
          <w:numId w:val="17"/>
        </w:numPr>
        <w:ind w:hanging="0" w:start="0"/>
        <w:rPr/>
      </w:pPr>
      <w:r>
        <w:rPr/>
        <w:t>Escalate issues that require resolution as mutually agreed to by Service Provider and GlobalPharma.</w:t>
      </w:r>
    </w:p>
    <w:p>
      <w:pPr>
        <w:pStyle w:val="Heading4"/>
        <w:numPr>
          <w:ilvl w:val="3"/>
          <w:numId w:val="17"/>
        </w:numPr>
        <w:ind w:hanging="0" w:start="0"/>
        <w:rPr>
          <w:lang w:val="en-GB"/>
        </w:rPr>
      </w:pPr>
      <w:r>
        <w:rPr/>
        <w:t>US except Ophthalmics OTC accounts: Out of Scope</w:t>
      </w:r>
    </w:p>
    <w:p>
      <w:pPr>
        <w:pStyle w:val="Heading3"/>
        <w:numPr>
          <w:ilvl w:val="2"/>
          <w:numId w:val="17"/>
        </w:numPr>
        <w:ind w:hanging="0" w:start="0"/>
        <w:rPr/>
      </w:pPr>
      <w:r>
        <w:rPr/>
        <w:t>Communicate customer dissatisfaction / complaints (e.g. billing errors, service problems, etc.) to GlobalPharma.</w:t>
      </w:r>
    </w:p>
    <w:p>
      <w:pPr>
        <w:pStyle w:val="Heading4"/>
        <w:numPr>
          <w:ilvl w:val="3"/>
          <w:numId w:val="17"/>
        </w:numPr>
        <w:ind w:hanging="0" w:start="0"/>
        <w:rPr>
          <w:lang w:val="en-GB"/>
        </w:rPr>
      </w:pPr>
      <w:r>
        <w:rPr/>
        <w:t>US except Ophthalmics OTC accounts: Out of Scope</w:t>
      </w:r>
    </w:p>
    <w:p>
      <w:pPr>
        <w:pStyle w:val="Heading3"/>
        <w:numPr>
          <w:ilvl w:val="2"/>
          <w:numId w:val="17"/>
        </w:numPr>
        <w:ind w:hanging="0" w:start="0"/>
        <w:rPr/>
      </w:pPr>
      <w:r>
        <w:rPr/>
        <w:t>Manage collection of delinquent accounts for assigned accounts as defined by GlobalPharma.</w:t>
      </w:r>
    </w:p>
    <w:p>
      <w:pPr>
        <w:pStyle w:val="Heading4"/>
        <w:numPr>
          <w:ilvl w:val="3"/>
          <w:numId w:val="17"/>
        </w:numPr>
        <w:ind w:hanging="0" w:start="0"/>
        <w:rPr>
          <w:lang w:val="en-GB"/>
        </w:rPr>
      </w:pPr>
      <w:r>
        <w:rPr/>
        <w:t>US except Ophthalmics OTC accounts: Out of Scope</w:t>
      </w:r>
    </w:p>
    <w:p>
      <w:pPr>
        <w:pStyle w:val="Heading3"/>
        <w:numPr>
          <w:ilvl w:val="2"/>
          <w:numId w:val="17"/>
        </w:numPr>
        <w:ind w:hanging="0" w:start="0"/>
        <w:rPr>
          <w:szCs w:val="22"/>
        </w:rPr>
      </w:pPr>
      <w:r>
        <w:rPr/>
        <w:t>Produce and send collection notices (dunning letters) and demand letters in accordance with GlobalPharma's policy guidelines.</w:t>
      </w:r>
    </w:p>
    <w:p>
      <w:pPr>
        <w:pStyle w:val="Heading4"/>
        <w:numPr>
          <w:ilvl w:val="3"/>
          <w:numId w:val="17"/>
        </w:numPr>
        <w:ind w:hanging="0" w:start="0"/>
        <w:rPr>
          <w:lang w:val="en-GB"/>
        </w:rPr>
      </w:pPr>
      <w:r>
        <w:rPr/>
        <w:t>US except Ophthalmics OTC accounts: Out of Scope</w:t>
      </w:r>
    </w:p>
    <w:p>
      <w:pPr>
        <w:pStyle w:val="Heading3"/>
        <w:numPr>
          <w:ilvl w:val="2"/>
          <w:numId w:val="17"/>
        </w:numPr>
        <w:ind w:hanging="0" w:start="0"/>
        <w:rPr>
          <w:szCs w:val="22"/>
        </w:rPr>
      </w:pPr>
      <w:r>
        <w:rPr/>
        <w:t>Invoke and revoke automatic system distribution of collection notices and demand letters.</w:t>
      </w:r>
    </w:p>
    <w:p>
      <w:pPr>
        <w:pStyle w:val="Heading4"/>
        <w:numPr>
          <w:ilvl w:val="3"/>
          <w:numId w:val="17"/>
        </w:numPr>
        <w:ind w:hanging="0" w:start="0"/>
        <w:rPr>
          <w:lang w:val="en-GB"/>
        </w:rPr>
      </w:pPr>
      <w:r>
        <w:rPr/>
        <w:t>US except Ophthalmics OTC accounts: Out of Scope</w:t>
      </w:r>
    </w:p>
    <w:p>
      <w:pPr>
        <w:pStyle w:val="Heading3"/>
        <w:numPr>
          <w:ilvl w:val="2"/>
          <w:numId w:val="17"/>
        </w:numPr>
        <w:ind w:hanging="0" w:start="0"/>
        <w:rPr>
          <w:szCs w:val="22"/>
        </w:rPr>
      </w:pPr>
      <w:r>
        <w:rPr/>
        <w:t>Track, research, resolve and document issues and inquiries regarding collections payments.</w:t>
      </w:r>
    </w:p>
    <w:p>
      <w:pPr>
        <w:pStyle w:val="Heading4"/>
        <w:numPr>
          <w:ilvl w:val="3"/>
          <w:numId w:val="17"/>
        </w:numPr>
        <w:ind w:hanging="0" w:start="0"/>
        <w:rPr>
          <w:lang w:val="en-GB"/>
        </w:rPr>
      </w:pPr>
      <w:r>
        <w:rPr/>
        <w:t>US except Ophthalmics OTC accounts: Out of Scope</w:t>
      </w:r>
    </w:p>
    <w:p>
      <w:pPr>
        <w:pStyle w:val="Heading3"/>
        <w:numPr>
          <w:ilvl w:val="2"/>
          <w:numId w:val="17"/>
        </w:numPr>
        <w:ind w:hanging="0" w:start="0"/>
        <w:rPr>
          <w:szCs w:val="22"/>
        </w:rPr>
      </w:pPr>
      <w:r>
        <w:rPr/>
        <w:t>Make collections calls to customers in applicable languages in accordance with the timing and frequency defined by GlobalPharma.</w:t>
      </w:r>
    </w:p>
    <w:p>
      <w:pPr>
        <w:pStyle w:val="Heading4"/>
        <w:numPr>
          <w:ilvl w:val="3"/>
          <w:numId w:val="17"/>
        </w:numPr>
        <w:ind w:hanging="0" w:start="0"/>
        <w:rPr>
          <w:lang w:val="en-GB"/>
        </w:rPr>
      </w:pPr>
      <w:r>
        <w:rPr/>
        <w:t>US except Ophthalmics OTC accounts: Out of Scope</w:t>
      </w:r>
    </w:p>
    <w:p>
      <w:pPr>
        <w:pStyle w:val="Heading3"/>
        <w:numPr>
          <w:ilvl w:val="2"/>
          <w:numId w:val="17"/>
        </w:numPr>
        <w:ind w:hanging="0" w:start="0"/>
        <w:rPr>
          <w:szCs w:val="22"/>
        </w:rPr>
      </w:pPr>
      <w:r>
        <w:rPr/>
        <w:t>Communicate to GlobalPharma (regional/ branch offices, etc.) customer balances and accounts receivable information per request.</w:t>
      </w:r>
    </w:p>
    <w:p>
      <w:pPr>
        <w:pStyle w:val="Heading4"/>
        <w:numPr>
          <w:ilvl w:val="3"/>
          <w:numId w:val="17"/>
        </w:numPr>
        <w:ind w:hanging="0" w:start="0"/>
        <w:rPr>
          <w:lang w:val="en-GB"/>
        </w:rPr>
      </w:pPr>
      <w:r>
        <w:rPr/>
        <w:t>US except Ophthalmics OTC accounts: Out of Scope</w:t>
      </w:r>
    </w:p>
    <w:p>
      <w:pPr>
        <w:pStyle w:val="Heading3"/>
        <w:numPr>
          <w:ilvl w:val="2"/>
          <w:numId w:val="17"/>
        </w:numPr>
        <w:ind w:hanging="0" w:start="0"/>
        <w:rPr>
          <w:szCs w:val="22"/>
        </w:rPr>
      </w:pPr>
      <w:r>
        <w:rPr/>
        <w:t>Resolve customer claims and disputes according to GlobalPharma policy guidelines.</w:t>
      </w:r>
    </w:p>
    <w:p>
      <w:pPr>
        <w:pStyle w:val="Heading4"/>
        <w:numPr>
          <w:ilvl w:val="3"/>
          <w:numId w:val="17"/>
        </w:numPr>
        <w:ind w:hanging="0" w:start="0"/>
        <w:rPr>
          <w:lang w:val="en-GB"/>
        </w:rPr>
      </w:pPr>
      <w:r>
        <w:rPr/>
        <w:t>US except Ophthalmics OTC accounts: Out of Scope</w:t>
      </w:r>
    </w:p>
    <w:p>
      <w:pPr>
        <w:pStyle w:val="Heading3"/>
        <w:numPr>
          <w:ilvl w:val="2"/>
          <w:numId w:val="17"/>
        </w:numPr>
        <w:ind w:hanging="0" w:start="0"/>
        <w:rPr/>
      </w:pPr>
      <w:r>
        <w:rPr/>
        <w:t>Abide by local regulations concerning allowable times and methods of making collection calls, lien placement, Account cancellation process, and other local collection laws as provided by GlobalPharma.</w:t>
      </w:r>
    </w:p>
    <w:p>
      <w:pPr>
        <w:pStyle w:val="Heading4"/>
        <w:numPr>
          <w:ilvl w:val="3"/>
          <w:numId w:val="17"/>
        </w:numPr>
        <w:ind w:hanging="0" w:start="0"/>
        <w:rPr>
          <w:lang w:val="en-GB"/>
        </w:rPr>
      </w:pPr>
      <w:r>
        <w:rPr/>
        <w:t>US except Ophthalmics OTC accounts: Out of Scope</w:t>
      </w:r>
    </w:p>
    <w:p>
      <w:pPr>
        <w:pStyle w:val="Formatvorlage2"/>
        <w:numPr>
          <w:ilvl w:val="1"/>
          <w:numId w:val="17"/>
        </w:numPr>
        <w:rPr/>
      </w:pPr>
      <w:bookmarkStart w:id="27" w:name="__RefHeading___Toc157773446"/>
      <w:bookmarkEnd w:id="27"/>
      <w:r>
        <w:rPr/>
        <w:t>Customer Inquiry and Dispute Management</w:t>
      </w:r>
    </w:p>
    <w:p>
      <w:pPr>
        <w:pStyle w:val="Heading3"/>
        <w:numPr>
          <w:ilvl w:val="2"/>
          <w:numId w:val="17"/>
        </w:numPr>
        <w:ind w:hanging="0" w:start="0"/>
        <w:rPr>
          <w:szCs w:val="22"/>
        </w:rPr>
      </w:pPr>
      <w:r>
        <w:rPr/>
        <w:t>The Service Providers responsibilities include, but are not limited to the following:</w:t>
      </w:r>
    </w:p>
    <w:p>
      <w:pPr>
        <w:pStyle w:val="Heading3"/>
        <w:numPr>
          <w:ilvl w:val="2"/>
          <w:numId w:val="17"/>
        </w:numPr>
        <w:ind w:hanging="0" w:start="0"/>
        <w:rPr/>
      </w:pPr>
      <w:r>
        <w:rPr/>
        <w:t>Receive incoming calls.</w:t>
      </w:r>
    </w:p>
    <w:p>
      <w:pPr>
        <w:pStyle w:val="Heading4"/>
        <w:numPr>
          <w:ilvl w:val="3"/>
          <w:numId w:val="17"/>
        </w:numPr>
        <w:ind w:hanging="0" w:start="0"/>
        <w:rPr>
          <w:lang w:val="en-GB"/>
        </w:rPr>
      </w:pPr>
      <w:r>
        <w:rPr/>
        <w:t>US except Ophthalmics OTC accounts, Spain: Out of Scope</w:t>
      </w:r>
    </w:p>
    <w:p>
      <w:pPr>
        <w:pStyle w:val="Heading3"/>
        <w:numPr>
          <w:ilvl w:val="2"/>
          <w:numId w:val="17"/>
        </w:numPr>
        <w:ind w:hanging="0" w:start="0"/>
        <w:rPr/>
      </w:pPr>
      <w:r>
        <w:rPr/>
        <w:t>Determine type of call (e.g. billing, complaint).</w:t>
      </w:r>
    </w:p>
    <w:p>
      <w:pPr>
        <w:pStyle w:val="Heading4"/>
        <w:numPr>
          <w:ilvl w:val="3"/>
          <w:numId w:val="17"/>
        </w:numPr>
        <w:ind w:hanging="0" w:start="0"/>
        <w:rPr>
          <w:lang w:val="en-GB"/>
        </w:rPr>
      </w:pPr>
      <w:r>
        <w:rPr/>
        <w:t xml:space="preserve"> </w:t>
      </w:r>
      <w:r>
        <w:rPr/>
        <w:t>US except Ophthalmics OTC accounts, Spain: Out of Scope</w:t>
      </w:r>
    </w:p>
    <w:p>
      <w:pPr>
        <w:pStyle w:val="Heading3"/>
        <w:numPr>
          <w:ilvl w:val="2"/>
          <w:numId w:val="17"/>
        </w:numPr>
        <w:ind w:hanging="0" w:start="0"/>
        <w:rPr/>
      </w:pPr>
      <w:r>
        <w:rPr/>
        <w:t>Update customer file in system with call information.</w:t>
      </w:r>
    </w:p>
    <w:p>
      <w:pPr>
        <w:pStyle w:val="Heading4"/>
        <w:numPr>
          <w:ilvl w:val="3"/>
          <w:numId w:val="17"/>
        </w:numPr>
        <w:ind w:hanging="0" w:start="0"/>
        <w:rPr>
          <w:lang w:val="en-GB"/>
        </w:rPr>
      </w:pPr>
      <w:r>
        <w:rPr/>
        <w:t xml:space="preserve"> </w:t>
      </w:r>
      <w:r>
        <w:rPr/>
        <w:t>US except Ophthalmics OTC accounts, Spain: Out of Scope</w:t>
      </w:r>
    </w:p>
    <w:p>
      <w:pPr>
        <w:pStyle w:val="Heading3"/>
        <w:numPr>
          <w:ilvl w:val="2"/>
          <w:numId w:val="17"/>
        </w:numPr>
        <w:ind w:hanging="0" w:start="0"/>
        <w:rPr/>
      </w:pPr>
      <w:r>
        <w:rPr/>
        <w:t>Provide information to the appropriate person to work/resolve the issue.</w:t>
      </w:r>
    </w:p>
    <w:p>
      <w:pPr>
        <w:pStyle w:val="Heading4"/>
        <w:numPr>
          <w:ilvl w:val="3"/>
          <w:numId w:val="17"/>
        </w:numPr>
        <w:ind w:hanging="0" w:start="0"/>
        <w:rPr>
          <w:lang w:val="en-GB"/>
        </w:rPr>
      </w:pPr>
      <w:r>
        <w:rPr/>
        <w:t xml:space="preserve"> </w:t>
      </w:r>
      <w:r>
        <w:rPr/>
        <w:t>US except Ophthalmics OTC accounts, Spain: Out of Scope</w:t>
      </w:r>
    </w:p>
    <w:p>
      <w:pPr>
        <w:pStyle w:val="Heading3"/>
        <w:numPr>
          <w:ilvl w:val="2"/>
          <w:numId w:val="17"/>
        </w:numPr>
        <w:ind w:hanging="0" w:start="0"/>
        <w:rPr>
          <w:szCs w:val="22"/>
        </w:rPr>
      </w:pPr>
      <w:r>
        <w:rPr/>
        <w:t>Receive customer communication about a dispute.</w:t>
      </w:r>
    </w:p>
    <w:p>
      <w:pPr>
        <w:pStyle w:val="Heading4"/>
        <w:numPr>
          <w:ilvl w:val="3"/>
          <w:numId w:val="17"/>
        </w:numPr>
        <w:ind w:hanging="0" w:start="0"/>
        <w:rPr>
          <w:lang w:val="en-GB"/>
        </w:rPr>
      </w:pPr>
      <w:r>
        <w:rPr/>
        <w:t>US except Ophthalmics OTC accounts, Italy, Spain: Out of Scope</w:t>
      </w:r>
    </w:p>
    <w:p>
      <w:pPr>
        <w:pStyle w:val="Heading3"/>
        <w:numPr>
          <w:ilvl w:val="2"/>
          <w:numId w:val="17"/>
        </w:numPr>
        <w:ind w:hanging="0" w:start="0"/>
        <w:rPr/>
      </w:pPr>
      <w:r>
        <w:rPr/>
        <w:t>Document dispute in Collections system.</w:t>
      </w:r>
    </w:p>
    <w:p>
      <w:pPr>
        <w:pStyle w:val="Heading4"/>
        <w:numPr>
          <w:ilvl w:val="3"/>
          <w:numId w:val="17"/>
        </w:numPr>
        <w:ind w:hanging="0" w:start="0"/>
        <w:rPr>
          <w:lang w:val="en-GB"/>
        </w:rPr>
      </w:pPr>
      <w:r>
        <w:rPr/>
        <w:t>US except Ophthalmics OTC accounts, Spain: Out of Scope</w:t>
      </w:r>
    </w:p>
    <w:p>
      <w:pPr>
        <w:pStyle w:val="Heading3"/>
        <w:numPr>
          <w:ilvl w:val="2"/>
          <w:numId w:val="17"/>
        </w:numPr>
        <w:ind w:hanging="0" w:start="0"/>
        <w:rPr/>
      </w:pPr>
      <w:r>
        <w:rPr/>
        <w:t>Stop Dunning Letters on disputed accounts.</w:t>
      </w:r>
    </w:p>
    <w:p>
      <w:pPr>
        <w:pStyle w:val="Heading4"/>
        <w:numPr>
          <w:ilvl w:val="3"/>
          <w:numId w:val="17"/>
        </w:numPr>
        <w:ind w:hanging="0" w:start="0"/>
        <w:rPr>
          <w:lang w:val="en-GB"/>
        </w:rPr>
      </w:pPr>
      <w:r>
        <w:rPr/>
        <w:t>US except Ophthalmics OTC accounts, Spain: Out of Scope</w:t>
      </w:r>
    </w:p>
    <w:p>
      <w:pPr>
        <w:pStyle w:val="Heading3"/>
        <w:numPr>
          <w:ilvl w:val="2"/>
          <w:numId w:val="17"/>
        </w:numPr>
        <w:ind w:hanging="0" w:start="0"/>
        <w:rPr/>
      </w:pPr>
      <w:r>
        <w:rPr/>
        <w:t>Monitor disputes to ensure action is being taken on each disputed item.</w:t>
      </w:r>
    </w:p>
    <w:p>
      <w:pPr>
        <w:pStyle w:val="Heading4"/>
        <w:numPr>
          <w:ilvl w:val="3"/>
          <w:numId w:val="17"/>
        </w:numPr>
        <w:ind w:hanging="0" w:start="0"/>
        <w:rPr>
          <w:lang w:val="en-GB"/>
        </w:rPr>
      </w:pPr>
      <w:r>
        <w:rPr/>
        <w:t>US except Ophthalmics OTC accounts, Spain: Out of Scope</w:t>
      </w:r>
    </w:p>
    <w:p>
      <w:pPr>
        <w:pStyle w:val="Heading3"/>
        <w:numPr>
          <w:ilvl w:val="2"/>
          <w:numId w:val="17"/>
        </w:numPr>
        <w:ind w:hanging="0" w:start="0"/>
        <w:rPr/>
      </w:pPr>
      <w:r>
        <w:rPr/>
        <w:t>Escalate disputed items to GlobalPharma as required.</w:t>
      </w:r>
    </w:p>
    <w:p>
      <w:pPr>
        <w:pStyle w:val="Heading4"/>
        <w:numPr>
          <w:ilvl w:val="3"/>
          <w:numId w:val="17"/>
        </w:numPr>
        <w:ind w:hanging="0" w:start="0"/>
        <w:rPr>
          <w:lang w:val="en-GB"/>
        </w:rPr>
      </w:pPr>
      <w:r>
        <w:rPr/>
        <w:t>US except Ophthalmics OTC accounts, Spain: Out of Scope</w:t>
      </w:r>
    </w:p>
    <w:p>
      <w:pPr>
        <w:pStyle w:val="Heading3"/>
        <w:numPr>
          <w:ilvl w:val="2"/>
          <w:numId w:val="17"/>
        </w:numPr>
        <w:ind w:hanging="0" w:start="0"/>
        <w:rPr/>
      </w:pPr>
      <w:r>
        <w:rPr/>
        <w:t>Create schedule to categorize disputes in accordance with GlobalPharma guidelines.</w:t>
      </w:r>
    </w:p>
    <w:p>
      <w:pPr>
        <w:pStyle w:val="Heading4"/>
        <w:numPr>
          <w:ilvl w:val="3"/>
          <w:numId w:val="17"/>
        </w:numPr>
        <w:ind w:hanging="0" w:start="0"/>
        <w:rPr>
          <w:lang w:val="en-GB"/>
        </w:rPr>
      </w:pPr>
      <w:r>
        <w:rPr/>
        <w:t>US except Ophthalmics OTC accounts, Spain: Out of Scope</w:t>
      </w:r>
    </w:p>
    <w:p>
      <w:pPr>
        <w:pStyle w:val="Heading3"/>
        <w:numPr>
          <w:ilvl w:val="2"/>
          <w:numId w:val="17"/>
        </w:numPr>
        <w:ind w:hanging="0" w:start="0"/>
        <w:rPr/>
      </w:pPr>
      <w:r>
        <w:rPr/>
        <w:t>Provide schedule to GlobalPharma for review.</w:t>
      </w:r>
    </w:p>
    <w:p>
      <w:pPr>
        <w:pStyle w:val="Heading4"/>
        <w:numPr>
          <w:ilvl w:val="3"/>
          <w:numId w:val="17"/>
        </w:numPr>
        <w:ind w:hanging="0" w:start="0"/>
        <w:rPr>
          <w:lang w:val="en-GB"/>
        </w:rPr>
      </w:pPr>
      <w:r>
        <w:rPr/>
        <w:t xml:space="preserve"> </w:t>
      </w:r>
      <w:r>
        <w:rPr/>
        <w:t>US except Ophthalmics OTC accounts, Spain: Out of Scope</w:t>
      </w:r>
    </w:p>
    <w:p>
      <w:pPr>
        <w:pStyle w:val="Heading3"/>
        <w:numPr>
          <w:ilvl w:val="2"/>
          <w:numId w:val="17"/>
        </w:numPr>
        <w:ind w:hanging="0" w:start="0"/>
        <w:rPr/>
      </w:pPr>
      <w:r>
        <w:rPr/>
        <w:t>Resolve Standard disputes using FAQ's (Frequently Asked Questions) and other approved tools provided by GlobalPharma.</w:t>
      </w:r>
    </w:p>
    <w:p>
      <w:pPr>
        <w:pStyle w:val="Heading4"/>
        <w:numPr>
          <w:ilvl w:val="3"/>
          <w:numId w:val="17"/>
        </w:numPr>
        <w:ind w:hanging="0" w:start="0"/>
        <w:rPr>
          <w:lang w:val="en-GB"/>
        </w:rPr>
      </w:pPr>
      <w:r>
        <w:rPr/>
        <w:t xml:space="preserve"> </w:t>
      </w:r>
      <w:r>
        <w:rPr/>
        <w:t>US except Ophthalmics OTC accounts, Spain: Out of Scope</w:t>
      </w:r>
    </w:p>
    <w:p>
      <w:pPr>
        <w:pStyle w:val="Heading3"/>
        <w:numPr>
          <w:ilvl w:val="2"/>
          <w:numId w:val="17"/>
        </w:numPr>
        <w:ind w:hanging="0" w:start="0"/>
        <w:rPr/>
      </w:pPr>
      <w:r>
        <w:rPr/>
        <w:t>Escalate and manage issues that require resolution as mutually agreed to by Service Provider and GlobalPharma.</w:t>
      </w:r>
    </w:p>
    <w:p>
      <w:pPr>
        <w:pStyle w:val="Heading4"/>
        <w:numPr>
          <w:ilvl w:val="3"/>
          <w:numId w:val="17"/>
        </w:numPr>
        <w:ind w:hanging="0" w:start="0"/>
        <w:rPr>
          <w:lang w:val="en-GB"/>
        </w:rPr>
      </w:pPr>
      <w:r>
        <w:rPr/>
        <w:t>US except Ophthalmics OTC accounts, Spain: Out of Scope</w:t>
      </w:r>
    </w:p>
    <w:p>
      <w:pPr>
        <w:pStyle w:val="Heading3"/>
        <w:numPr>
          <w:ilvl w:val="2"/>
          <w:numId w:val="17"/>
        </w:numPr>
        <w:ind w:hanging="0" w:start="0"/>
        <w:rPr/>
      </w:pPr>
      <w:r>
        <w:rPr/>
        <w:t>Manage all disputes to resolution.</w:t>
      </w:r>
    </w:p>
    <w:p>
      <w:pPr>
        <w:pStyle w:val="Heading4"/>
        <w:numPr>
          <w:ilvl w:val="3"/>
          <w:numId w:val="17"/>
        </w:numPr>
        <w:ind w:hanging="0" w:start="0"/>
        <w:rPr>
          <w:lang w:val="en-GB"/>
        </w:rPr>
      </w:pPr>
      <w:r>
        <w:rPr/>
        <w:t>US except Ophthalmics OTC accounts, Spain: Out of Scope</w:t>
      </w:r>
    </w:p>
    <w:p>
      <w:pPr>
        <w:pStyle w:val="Heading3"/>
        <w:numPr>
          <w:ilvl w:val="2"/>
          <w:numId w:val="17"/>
        </w:numPr>
        <w:ind w:hanging="0" w:start="0"/>
        <w:rPr/>
      </w:pPr>
      <w:r>
        <w:rPr/>
        <w:t>Produce reports of disputes as required by GlobalPharma (number and type of reports applicable as indicated in Attachment 13-A to the extent provided by the in-scope FTEs).</w:t>
      </w:r>
      <w:r>
        <w:rPr>
          <w:b/>
        </w:rPr>
      </w:r>
      <w:r>
        <w:rPr/>
      </w:r>
    </w:p>
    <w:p>
      <w:pPr>
        <w:pStyle w:val="Heading4"/>
        <w:numPr>
          <w:ilvl w:val="3"/>
          <w:numId w:val="17"/>
        </w:numPr>
        <w:ind w:hanging="0" w:start="0"/>
        <w:rPr>
          <w:lang w:val="en-GB"/>
        </w:rPr>
      </w:pPr>
      <w:r>
        <w:rPr/>
        <w:t>US except Ophthalmics OTC accounts, Spain: Out of Scope</w:t>
      </w:r>
    </w:p>
    <w:p>
      <w:pPr>
        <w:pStyle w:val="Formatvorlage2"/>
        <w:numPr>
          <w:ilvl w:val="1"/>
          <w:numId w:val="17"/>
        </w:numPr>
        <w:rPr/>
      </w:pPr>
      <w:bookmarkStart w:id="28" w:name="__RefHeading___Toc157773447"/>
      <w:bookmarkEnd w:id="28"/>
      <w:r>
        <w:rPr/>
        <w:t>Collection Accounting</w:t>
      </w:r>
    </w:p>
    <w:p>
      <w:pPr>
        <w:pStyle w:val="Heading3"/>
        <w:numPr>
          <w:ilvl w:val="2"/>
          <w:numId w:val="17"/>
        </w:numPr>
        <w:ind w:hanging="0" w:start="0"/>
        <w:rPr/>
      </w:pPr>
      <w:r>
        <w:rPr/>
        <w:t>The Service Providers responsibilities include, but are not limited to the following:</w:t>
      </w:r>
    </w:p>
    <w:p>
      <w:pPr>
        <w:pStyle w:val="Heading3"/>
        <w:numPr>
          <w:ilvl w:val="2"/>
          <w:numId w:val="17"/>
        </w:numPr>
        <w:ind w:hanging="0" w:start="0"/>
        <w:rPr/>
      </w:pPr>
      <w:r>
        <w:rPr/>
        <w:t>Submit collections adjustments and backup documentation to accounts receivable department.</w:t>
      </w:r>
    </w:p>
    <w:p>
      <w:pPr>
        <w:pStyle w:val="Heading4"/>
        <w:numPr>
          <w:ilvl w:val="3"/>
          <w:numId w:val="17"/>
        </w:numPr>
        <w:ind w:hanging="0" w:start="0"/>
        <w:rPr>
          <w:lang w:val="en-GB"/>
        </w:rPr>
      </w:pPr>
      <w:r>
        <w:rPr/>
        <w:t>US except Ophthalmics OTC accounts: Out of Scope</w:t>
      </w:r>
    </w:p>
    <w:p>
      <w:pPr>
        <w:pStyle w:val="Heading3"/>
        <w:numPr>
          <w:ilvl w:val="2"/>
          <w:numId w:val="17"/>
        </w:numPr>
        <w:ind w:hanging="0" w:start="0"/>
        <w:rPr/>
      </w:pPr>
      <w:r>
        <w:rPr/>
        <w:t>Conduct collections meeting/calls with Accounts Receivable.</w:t>
      </w:r>
    </w:p>
    <w:p>
      <w:pPr>
        <w:pStyle w:val="Heading4"/>
        <w:numPr>
          <w:ilvl w:val="3"/>
          <w:numId w:val="17"/>
        </w:numPr>
        <w:ind w:hanging="0" w:start="0"/>
        <w:rPr>
          <w:lang w:val="en-GB"/>
        </w:rPr>
      </w:pPr>
      <w:r>
        <w:rPr/>
        <w:t>US except Ophthalmics OTC accounts: Out of Scope</w:t>
      </w:r>
    </w:p>
    <w:p>
      <w:pPr>
        <w:pStyle w:val="Heading3"/>
        <w:numPr>
          <w:ilvl w:val="2"/>
          <w:numId w:val="17"/>
        </w:numPr>
        <w:ind w:hanging="0" w:start="0"/>
        <w:rPr/>
      </w:pPr>
      <w:r>
        <w:rPr/>
        <w:t xml:space="preserve">Analyze customer aging accounts and prepare recommendation and supporting documentation for bad debt or uneconomical to pursue debtors write offs. </w:t>
      </w:r>
    </w:p>
    <w:p>
      <w:pPr>
        <w:pStyle w:val="Heading4"/>
        <w:numPr>
          <w:ilvl w:val="3"/>
          <w:numId w:val="17"/>
        </w:numPr>
        <w:ind w:hanging="0" w:start="0"/>
        <w:rPr>
          <w:lang w:val="en-GB"/>
        </w:rPr>
      </w:pPr>
      <w:r>
        <w:rPr/>
        <w:t>US except Ophthalmics OTC accounts: Out of Scope</w:t>
      </w:r>
    </w:p>
    <w:p>
      <w:pPr>
        <w:pStyle w:val="Heading3"/>
        <w:numPr>
          <w:ilvl w:val="2"/>
          <w:numId w:val="17"/>
        </w:numPr>
        <w:ind w:hanging="0" w:start="0"/>
        <w:rPr/>
      </w:pPr>
      <w:r>
        <w:rPr/>
        <w:t>Review bad debt write off recommendation with GlobalPharma.</w:t>
      </w:r>
    </w:p>
    <w:p>
      <w:pPr>
        <w:pStyle w:val="Heading4"/>
        <w:numPr>
          <w:ilvl w:val="3"/>
          <w:numId w:val="17"/>
        </w:numPr>
        <w:ind w:hanging="0" w:start="0"/>
        <w:rPr>
          <w:lang w:val="en-GB"/>
        </w:rPr>
      </w:pPr>
      <w:r>
        <w:rPr/>
        <w:t>US except Ophthalmics OTC accounts: Out of Scope</w:t>
      </w:r>
    </w:p>
    <w:p>
      <w:pPr>
        <w:pStyle w:val="Heading3"/>
        <w:numPr>
          <w:ilvl w:val="2"/>
          <w:numId w:val="17"/>
        </w:numPr>
        <w:ind w:hanging="0" w:start="0"/>
        <w:rPr/>
      </w:pPr>
      <w:r>
        <w:rPr/>
        <w:t>Prepare bad debt write off journal entry for GlobalPharma approval.</w:t>
      </w:r>
    </w:p>
    <w:p>
      <w:pPr>
        <w:pStyle w:val="Heading4"/>
        <w:numPr>
          <w:ilvl w:val="3"/>
          <w:numId w:val="17"/>
        </w:numPr>
        <w:ind w:hanging="0" w:start="0"/>
        <w:rPr>
          <w:lang w:val="en-GB"/>
        </w:rPr>
      </w:pPr>
      <w:r>
        <w:rPr/>
        <w:t>US except Ophthalmics OTC accounts: Out of Scope</w:t>
      </w:r>
    </w:p>
    <w:p>
      <w:pPr>
        <w:pStyle w:val="Heading3"/>
        <w:numPr>
          <w:ilvl w:val="2"/>
          <w:numId w:val="17"/>
        </w:numPr>
        <w:ind w:hanging="0" w:start="0"/>
        <w:rPr/>
      </w:pPr>
      <w:r>
        <w:rPr/>
        <w:t>Reconcile and analyze customers’ open accounts, determine liability, and/or clear outstanding items.</w:t>
      </w:r>
    </w:p>
    <w:p>
      <w:pPr>
        <w:pStyle w:val="Heading4"/>
        <w:numPr>
          <w:ilvl w:val="3"/>
          <w:numId w:val="17"/>
        </w:numPr>
        <w:ind w:hanging="0" w:start="0"/>
        <w:rPr>
          <w:lang w:val="en-GB"/>
        </w:rPr>
      </w:pPr>
      <w:r>
        <w:rPr/>
        <w:t>US except Ophthalmics OTC accounts: Out of Scope</w:t>
      </w:r>
    </w:p>
    <w:p>
      <w:pPr>
        <w:pStyle w:val="Heading3"/>
        <w:numPr>
          <w:ilvl w:val="2"/>
          <w:numId w:val="17"/>
        </w:numPr>
        <w:ind w:hanging="0" w:start="0"/>
        <w:rPr/>
      </w:pPr>
      <w:r>
        <w:rPr/>
        <w:t>Prepare, raise and submit credit adjustments to GlobalPharma for approval.</w:t>
      </w:r>
    </w:p>
    <w:p>
      <w:pPr>
        <w:pStyle w:val="Heading4"/>
        <w:numPr>
          <w:ilvl w:val="3"/>
          <w:numId w:val="17"/>
        </w:numPr>
        <w:ind w:hanging="0" w:start="0"/>
        <w:rPr>
          <w:lang w:val="en-GB"/>
        </w:rPr>
      </w:pPr>
      <w:r>
        <w:rPr/>
        <w:t>US except Ophthalmics OTC accounts: Out of Scope</w:t>
      </w:r>
    </w:p>
    <w:p>
      <w:pPr>
        <w:pStyle w:val="Formatvorlage2"/>
        <w:numPr>
          <w:ilvl w:val="1"/>
          <w:numId w:val="17"/>
        </w:numPr>
        <w:rPr/>
      </w:pPr>
      <w:bookmarkStart w:id="29" w:name="__RefHeading___Toc157773448"/>
      <w:bookmarkEnd w:id="29"/>
      <w:r>
        <w:rPr/>
        <w:t>Other Collection Activities</w:t>
      </w:r>
    </w:p>
    <w:p>
      <w:pPr>
        <w:pStyle w:val="Heading3"/>
        <w:numPr>
          <w:ilvl w:val="2"/>
          <w:numId w:val="17"/>
        </w:numPr>
        <w:ind w:hanging="0" w:start="0"/>
        <w:rPr/>
      </w:pPr>
      <w:r>
        <w:rPr/>
        <w:t>The Service Providers responsibilities include, but are not limited to the following:</w:t>
      </w:r>
    </w:p>
    <w:p>
      <w:pPr>
        <w:pStyle w:val="Heading3"/>
        <w:numPr>
          <w:ilvl w:val="2"/>
          <w:numId w:val="17"/>
        </w:numPr>
        <w:ind w:hanging="0" w:start="0"/>
        <w:rPr/>
      </w:pPr>
      <w:r>
        <w:rPr/>
        <w:t>Reconcile and analyze customers’ open accounts to secure payment, determine liability, and/or clear outstanding items.</w:t>
      </w:r>
    </w:p>
    <w:p>
      <w:pPr>
        <w:pStyle w:val="Heading4"/>
        <w:numPr>
          <w:ilvl w:val="3"/>
          <w:numId w:val="17"/>
        </w:numPr>
        <w:ind w:hanging="0" w:start="0"/>
        <w:rPr>
          <w:lang w:val="en-GB"/>
        </w:rPr>
      </w:pPr>
      <w:r>
        <w:rPr/>
        <w:t>US except Ophthalmics OTC accounts: Out of Scope</w:t>
      </w:r>
    </w:p>
    <w:p>
      <w:pPr>
        <w:pStyle w:val="Heading3"/>
        <w:numPr>
          <w:ilvl w:val="2"/>
          <w:numId w:val="17"/>
        </w:numPr>
        <w:ind w:hanging="0" w:start="0"/>
        <w:rPr/>
      </w:pPr>
      <w:r>
        <w:rPr/>
        <w:t>Update System(s) for change of account information requests.  (e.g., name changes, incorrect addresses, phone number changes)</w:t>
      </w:r>
    </w:p>
    <w:p>
      <w:pPr>
        <w:pStyle w:val="Heading4"/>
        <w:numPr>
          <w:ilvl w:val="3"/>
          <w:numId w:val="17"/>
        </w:numPr>
        <w:ind w:hanging="0" w:start="0"/>
        <w:rPr>
          <w:lang w:val="en-GB"/>
        </w:rPr>
      </w:pPr>
      <w:r>
        <w:rPr/>
        <w:t>US except Ophthalmics OTC accounts, UK, Zurich, Italy, Spain: Out of Scope</w:t>
      </w:r>
    </w:p>
    <w:p>
      <w:pPr>
        <w:pStyle w:val="Heading3"/>
        <w:numPr>
          <w:ilvl w:val="2"/>
          <w:numId w:val="17"/>
        </w:numPr>
        <w:ind w:hanging="0" w:start="0"/>
        <w:rPr/>
      </w:pPr>
      <w:r>
        <w:rPr/>
        <w:t>Research credits balances and initiate refunds of credit balances following GlobalPharma approval.</w:t>
      </w:r>
    </w:p>
    <w:p>
      <w:pPr>
        <w:pStyle w:val="Heading4"/>
        <w:numPr>
          <w:ilvl w:val="3"/>
          <w:numId w:val="17"/>
        </w:numPr>
        <w:ind w:hanging="0" w:start="0"/>
        <w:rPr>
          <w:lang w:val="en-GB"/>
        </w:rPr>
      </w:pPr>
      <w:r>
        <w:rPr/>
        <w:t>US except Ophthalmics OTC accounts, Italy: Out of Scope</w:t>
      </w:r>
    </w:p>
    <w:p>
      <w:pPr>
        <w:pStyle w:val="Heading3"/>
        <w:numPr>
          <w:ilvl w:val="2"/>
          <w:numId w:val="17"/>
        </w:numPr>
        <w:ind w:hanging="0" w:start="0"/>
        <w:rPr/>
      </w:pPr>
      <w:r>
        <w:rPr/>
        <w:t>Obtain tax exemption certificates, propose master data changes to GlobalPharma, obtain approval from GlobalPharma, update master data accordingly and distribute and store according to policies and procedures of GlobalPharma.</w:t>
      </w:r>
    </w:p>
    <w:p>
      <w:pPr>
        <w:pStyle w:val="Heading4"/>
        <w:numPr>
          <w:ilvl w:val="3"/>
          <w:numId w:val="17"/>
        </w:numPr>
        <w:ind w:hanging="0" w:start="0"/>
        <w:rPr>
          <w:lang w:val="en-GB"/>
        </w:rPr>
      </w:pPr>
      <w:r>
        <w:rPr/>
        <w:t>US except Ophthalmics OTC accounts, Germany, UK, Italy, Spain: Out of Scope</w:t>
      </w:r>
    </w:p>
    <w:p>
      <w:pPr>
        <w:pStyle w:val="Formatvorlage1"/>
        <w:numPr>
          <w:ilvl w:val="0"/>
          <w:numId w:val="17"/>
        </w:numPr>
        <w:ind w:hanging="0" w:start="0"/>
        <w:rPr/>
      </w:pPr>
      <w:bookmarkStart w:id="30" w:name="__RefHeading___Toc157773449"/>
      <w:bookmarkEnd w:id="30"/>
      <w:r>
        <w:rPr/>
        <w:t>OTC - Other Processing</w:t>
      </w:r>
    </w:p>
    <w:p>
      <w:pPr>
        <w:pStyle w:val="Formatvorlage2"/>
        <w:numPr>
          <w:ilvl w:val="1"/>
          <w:numId w:val="17"/>
        </w:numPr>
        <w:rPr/>
      </w:pPr>
      <w:bookmarkStart w:id="31" w:name="__RefHeading___Toc157773450"/>
      <w:bookmarkEnd w:id="31"/>
      <w:r>
        <w:rPr/>
        <w:t>Rebate Processing</w:t>
      </w:r>
    </w:p>
    <w:p>
      <w:pPr>
        <w:pStyle w:val="Heading3"/>
        <w:numPr>
          <w:ilvl w:val="2"/>
          <w:numId w:val="17"/>
        </w:numPr>
        <w:ind w:hanging="0" w:start="0"/>
        <w:rPr/>
      </w:pPr>
      <w:r>
        <w:rPr/>
        <w:t>The Service Providers responsibilities include, but are not limited to the following:</w:t>
      </w:r>
    </w:p>
    <w:p>
      <w:pPr>
        <w:pStyle w:val="Heading3"/>
        <w:numPr>
          <w:ilvl w:val="2"/>
          <w:numId w:val="17"/>
        </w:numPr>
        <w:ind w:hanging="0" w:start="0"/>
        <w:rPr/>
      </w:pPr>
      <w:r>
        <w:rPr/>
        <w:t xml:space="preserve">Receive and verify approved rebate based credit lists (authority per GlobalPharma approval hierarchy) or forward to correct approval level. </w:t>
      </w:r>
    </w:p>
    <w:p>
      <w:pPr>
        <w:pStyle w:val="Heading4"/>
        <w:numPr>
          <w:ilvl w:val="3"/>
          <w:numId w:val="17"/>
        </w:numPr>
        <w:ind w:hanging="0" w:start="0"/>
        <w:rPr/>
      </w:pPr>
      <w:r>
        <w:rPr/>
        <w:t>US, UK, Zurich, Italy: Out of scope</w:t>
      </w:r>
    </w:p>
    <w:p>
      <w:pPr>
        <w:pStyle w:val="Heading3"/>
        <w:numPr>
          <w:ilvl w:val="2"/>
          <w:numId w:val="17"/>
        </w:numPr>
        <w:ind w:hanging="0" w:start="0"/>
        <w:rPr>
          <w:szCs w:val="24"/>
        </w:rPr>
      </w:pPr>
      <w:r>
        <w:rPr/>
        <w:t>Create and process credit memo.</w:t>
      </w:r>
    </w:p>
    <w:p>
      <w:pPr>
        <w:pStyle w:val="Heading4"/>
        <w:numPr>
          <w:ilvl w:val="3"/>
          <w:numId w:val="17"/>
        </w:numPr>
        <w:ind w:hanging="0" w:start="0"/>
        <w:rPr/>
      </w:pPr>
      <w:r>
        <w:rPr/>
        <w:t>US, UK, Zurich, Italy: Out of scope</w:t>
      </w:r>
    </w:p>
    <w:p>
      <w:pPr>
        <w:pStyle w:val="Heading3"/>
        <w:numPr>
          <w:ilvl w:val="2"/>
          <w:numId w:val="17"/>
        </w:numPr>
        <w:ind w:hanging="0" w:start="0"/>
        <w:rPr/>
      </w:pPr>
      <w:r>
        <w:rPr/>
        <w:t>Create rebate payment.</w:t>
      </w:r>
    </w:p>
    <w:p>
      <w:pPr>
        <w:pStyle w:val="Heading4"/>
        <w:numPr>
          <w:ilvl w:val="3"/>
          <w:numId w:val="17"/>
        </w:numPr>
        <w:ind w:hanging="0" w:start="0"/>
        <w:rPr/>
      </w:pPr>
      <w:r>
        <w:rPr/>
        <w:t>US, UK, Zurich, Italy: Out of scope</w:t>
      </w:r>
    </w:p>
    <w:p>
      <w:pPr>
        <w:pStyle w:val="Formatvorlage2"/>
        <w:numPr>
          <w:ilvl w:val="1"/>
          <w:numId w:val="17"/>
        </w:numPr>
        <w:rPr/>
      </w:pPr>
      <w:bookmarkStart w:id="32" w:name="__RefHeading___Toc157773451"/>
      <w:bookmarkEnd w:id="32"/>
      <w:r>
        <w:rPr/>
        <w:t>Bankruptcy</w:t>
      </w:r>
    </w:p>
    <w:p>
      <w:pPr>
        <w:pStyle w:val="Heading3"/>
        <w:numPr>
          <w:ilvl w:val="2"/>
          <w:numId w:val="17"/>
        </w:numPr>
        <w:ind w:hanging="0" w:start="0"/>
        <w:rPr/>
      </w:pPr>
      <w:r>
        <w:rPr/>
        <w:t>The Service Providers responsibilities include, but are not limited to the following:</w:t>
      </w:r>
    </w:p>
    <w:p>
      <w:pPr>
        <w:pStyle w:val="Heading3"/>
        <w:numPr>
          <w:ilvl w:val="2"/>
          <w:numId w:val="17"/>
        </w:numPr>
        <w:ind w:hanging="0" w:start="0"/>
        <w:rPr/>
      </w:pPr>
      <w:r>
        <w:rPr/>
        <w:t xml:space="preserve">Based on the bankruptcy date, adjust the customer’s billing to pre-bankruptcy and post-bankruptcy amounts. </w:t>
      </w:r>
    </w:p>
    <w:p>
      <w:pPr>
        <w:pStyle w:val="Heading4"/>
        <w:numPr>
          <w:ilvl w:val="3"/>
          <w:numId w:val="17"/>
        </w:numPr>
        <w:ind w:hanging="0" w:start="0"/>
        <w:rPr/>
      </w:pPr>
      <w:r>
        <w:rPr/>
        <w:t>US, Zurich, Italy: Out of scope</w:t>
      </w:r>
    </w:p>
    <w:p>
      <w:pPr>
        <w:pStyle w:val="Heading3"/>
        <w:numPr>
          <w:ilvl w:val="2"/>
          <w:numId w:val="17"/>
        </w:numPr>
        <w:ind w:hanging="0" w:start="0"/>
        <w:rPr/>
      </w:pPr>
      <w:r>
        <w:rPr/>
        <w:t xml:space="preserve">Provide the pre-bankruptcy billing and accounts receivable balance to GlobalPharma </w:t>
      </w:r>
    </w:p>
    <w:p>
      <w:pPr>
        <w:pStyle w:val="Heading4"/>
        <w:numPr>
          <w:ilvl w:val="3"/>
          <w:numId w:val="17"/>
        </w:numPr>
        <w:ind w:hanging="0" w:start="0"/>
        <w:rPr/>
      </w:pPr>
      <w:r>
        <w:rPr/>
        <w:t>US, Zurich, Italy: Out of scope</w:t>
      </w:r>
    </w:p>
    <w:p>
      <w:pPr>
        <w:pStyle w:val="Formatvorlage2"/>
        <w:numPr>
          <w:ilvl w:val="1"/>
          <w:numId w:val="17"/>
        </w:numPr>
        <w:rPr/>
      </w:pPr>
      <w:bookmarkStart w:id="33" w:name="__RefHeading___Toc157773452"/>
      <w:bookmarkEnd w:id="33"/>
      <w:r>
        <w:rPr/>
        <w:t>Price delivery note in lieu of invoicing</w:t>
      </w:r>
    </w:p>
    <w:p>
      <w:pPr>
        <w:pStyle w:val="Heading3"/>
        <w:numPr>
          <w:ilvl w:val="2"/>
          <w:numId w:val="17"/>
        </w:numPr>
        <w:ind w:hanging="0" w:start="0"/>
        <w:rPr/>
      </w:pPr>
      <w:r>
        <w:rPr/>
        <w:t>The Service Providers responsibilities include, but are not limited to the following:</w:t>
      </w:r>
    </w:p>
    <w:p>
      <w:pPr>
        <w:pStyle w:val="Heading3"/>
        <w:numPr>
          <w:ilvl w:val="2"/>
          <w:numId w:val="17"/>
        </w:numPr>
        <w:ind w:hanging="0" w:start="0"/>
        <w:rPr/>
      </w:pPr>
      <w:r>
        <w:rPr/>
        <w:t>Receive signed Price Delivery Note and enter into system(s).</w:t>
      </w:r>
    </w:p>
    <w:p>
      <w:pPr>
        <w:pStyle w:val="Heading4"/>
        <w:numPr>
          <w:ilvl w:val="3"/>
          <w:numId w:val="17"/>
        </w:numPr>
        <w:ind w:hanging="0" w:start="0"/>
        <w:rPr/>
      </w:pPr>
      <w:r>
        <w:rPr>
          <w:szCs w:val="22"/>
        </w:rPr>
        <w:t xml:space="preserve">US, UK, Zurich, Italy, Spain: Out of scope. </w:t>
      </w:r>
      <w:r>
        <w:rPr/>
      </w:r>
      <w:r>
        <w:rPr>
          <w:szCs w:val="22"/>
        </w:rPr>
      </w:r>
      <w:r>
        <w:rPr/>
      </w:r>
    </w:p>
    <w:p>
      <w:pPr>
        <w:pStyle w:val="Heading3"/>
        <w:numPr>
          <w:ilvl w:val="2"/>
          <w:numId w:val="17"/>
        </w:numPr>
        <w:ind w:hanging="0" w:start="0"/>
        <w:rPr/>
      </w:pPr>
      <w:r>
        <w:rPr/>
        <w:t>Generate bill in system that posts ledger but is not printed or delivered to customer.</w:t>
      </w:r>
    </w:p>
    <w:p>
      <w:pPr>
        <w:pStyle w:val="Heading4"/>
        <w:numPr>
          <w:ilvl w:val="3"/>
          <w:numId w:val="17"/>
        </w:numPr>
        <w:ind w:hanging="0" w:start="0"/>
        <w:rPr/>
      </w:pPr>
      <w:r>
        <w:rPr>
          <w:szCs w:val="22"/>
        </w:rPr>
        <w:t xml:space="preserve">US, UK, Zurich, Italy, Spain: Out of scope. </w:t>
      </w:r>
      <w:r>
        <w:rPr/>
      </w:r>
      <w:r>
        <w:rPr>
          <w:szCs w:val="22"/>
        </w:rPr>
      </w:r>
      <w:r>
        <w:rPr/>
      </w:r>
    </w:p>
    <w:p>
      <w:pPr>
        <w:pStyle w:val="Heading3"/>
        <w:numPr>
          <w:ilvl w:val="2"/>
          <w:numId w:val="17"/>
        </w:numPr>
        <w:ind w:hanging="0" w:start="0"/>
        <w:rPr/>
      </w:pPr>
      <w:r>
        <w:rPr/>
        <w:t>Calculate and distribute tax invoice to customer.</w:t>
      </w:r>
    </w:p>
    <w:p>
      <w:pPr>
        <w:pStyle w:val="Heading4"/>
        <w:numPr>
          <w:ilvl w:val="3"/>
          <w:numId w:val="17"/>
        </w:numPr>
        <w:ind w:hanging="0" w:start="0"/>
        <w:rPr/>
      </w:pPr>
      <w:r>
        <w:rPr>
          <w:szCs w:val="22"/>
        </w:rPr>
        <w:t xml:space="preserve">US, UK, Zurich, Italy, Spain: Out of scope. </w:t>
      </w:r>
      <w:r>
        <w:rPr/>
      </w:r>
      <w:r>
        <w:rPr>
          <w:szCs w:val="22"/>
        </w:rPr>
      </w:r>
      <w:r>
        <w:rPr/>
      </w:r>
    </w:p>
    <w:p>
      <w:pPr>
        <w:pStyle w:val="Formatvorlage2"/>
        <w:numPr>
          <w:ilvl w:val="1"/>
          <w:numId w:val="17"/>
        </w:numPr>
        <w:rPr/>
      </w:pPr>
      <w:bookmarkStart w:id="34" w:name="__RefHeading___Toc157773453"/>
      <w:bookmarkEnd w:id="34"/>
      <w:r>
        <w:rPr/>
        <w:t>Account receivable securitization</w:t>
      </w:r>
    </w:p>
    <w:p>
      <w:pPr>
        <w:pStyle w:val="Heading3"/>
        <w:numPr>
          <w:ilvl w:val="2"/>
          <w:numId w:val="17"/>
        </w:numPr>
        <w:ind w:hanging="0" w:start="0"/>
        <w:rPr>
          <w:szCs w:val="22"/>
        </w:rPr>
      </w:pPr>
      <w:r>
        <w:rPr/>
        <w:t>The Service Providers responsibilities include, but are not limited to the following:</w:t>
      </w:r>
    </w:p>
    <w:p>
      <w:pPr>
        <w:pStyle w:val="Heading3"/>
        <w:numPr>
          <w:ilvl w:val="2"/>
          <w:numId w:val="17"/>
        </w:numPr>
        <w:ind w:hanging="0" w:start="0"/>
        <w:rPr>
          <w:szCs w:val="22"/>
        </w:rPr>
      </w:pPr>
      <w:r>
        <w:rPr/>
        <w:t>Identify and maintain in trust for GlobalPharma and the purchasers their share of debt collections in accordance with securitization agreement.</w:t>
      </w:r>
    </w:p>
    <w:p>
      <w:pPr>
        <w:pStyle w:val="Heading4"/>
        <w:numPr>
          <w:ilvl w:val="3"/>
          <w:numId w:val="17"/>
        </w:numPr>
        <w:ind w:hanging="0" w:start="0"/>
        <w:rPr/>
      </w:pPr>
      <w:r>
        <w:rPr>
          <w:szCs w:val="22"/>
        </w:rPr>
        <w:t>US, UK, Zurich: Out of scope.</w:t>
      </w:r>
      <w:r>
        <w:rPr/>
      </w:r>
      <w:r>
        <w:rPr>
          <w:szCs w:val="22"/>
        </w:rPr>
      </w:r>
    </w:p>
    <w:p>
      <w:pPr>
        <w:pStyle w:val="Heading3"/>
        <w:numPr>
          <w:ilvl w:val="2"/>
          <w:numId w:val="17"/>
        </w:numPr>
        <w:ind w:hanging="0" w:start="0"/>
        <w:rPr>
          <w:szCs w:val="22"/>
        </w:rPr>
      </w:pPr>
      <w:r>
        <w:rPr/>
        <w:t>Deposit receipts for the secured amounts into debt collections account at debt collections bank as designated by debt collection agent.</w:t>
      </w:r>
    </w:p>
    <w:p>
      <w:pPr>
        <w:pStyle w:val="Heading4"/>
        <w:numPr>
          <w:ilvl w:val="3"/>
          <w:numId w:val="17"/>
        </w:numPr>
        <w:ind w:hanging="0" w:start="0"/>
        <w:rPr/>
      </w:pPr>
      <w:r>
        <w:rPr/>
        <w:t xml:space="preserve">US, UK, Zurich: Out of scope. </w:t>
      </w:r>
    </w:p>
    <w:p>
      <w:pPr>
        <w:pStyle w:val="Heading3"/>
        <w:numPr>
          <w:ilvl w:val="2"/>
          <w:numId w:val="17"/>
        </w:numPr>
        <w:ind w:hanging="0" w:start="0"/>
        <w:rPr>
          <w:szCs w:val="22"/>
        </w:rPr>
      </w:pPr>
      <w:r>
        <w:rPr/>
        <w:t>Record and track amounts collected for secured accounts.</w:t>
      </w:r>
    </w:p>
    <w:p>
      <w:pPr>
        <w:pStyle w:val="Heading4"/>
        <w:numPr>
          <w:ilvl w:val="3"/>
          <w:numId w:val="17"/>
        </w:numPr>
        <w:ind w:hanging="0" w:start="0"/>
        <w:rPr/>
      </w:pPr>
      <w:r>
        <w:rPr/>
        <w:t xml:space="preserve">US, UK, Zurich: Out of scope. </w:t>
      </w:r>
    </w:p>
    <w:p>
      <w:pPr>
        <w:pStyle w:val="Heading3"/>
        <w:numPr>
          <w:ilvl w:val="2"/>
          <w:numId w:val="17"/>
        </w:numPr>
        <w:ind w:hanging="0" w:start="0"/>
        <w:rPr/>
      </w:pPr>
      <w:r>
        <w:rPr/>
        <w:t>Provide receivable aging of secured accounts to debt collection agent.</w:t>
      </w:r>
    </w:p>
    <w:p>
      <w:pPr>
        <w:pStyle w:val="Heading4"/>
        <w:numPr>
          <w:ilvl w:val="3"/>
          <w:numId w:val="17"/>
        </w:numPr>
        <w:ind w:hanging="0" w:start="0"/>
        <w:rPr/>
      </w:pPr>
      <w:r>
        <w:rPr/>
        <w:t>US, UK, Zurich: Out of scope.</w:t>
      </w:r>
    </w:p>
    <w:p>
      <w:pPr>
        <w:pStyle w:val="Formatvorlage1"/>
        <w:numPr>
          <w:ilvl w:val="0"/>
          <w:numId w:val="17"/>
        </w:numPr>
        <w:ind w:hanging="0" w:start="0"/>
        <w:rPr/>
      </w:pPr>
      <w:bookmarkStart w:id="35" w:name="__RefHeading___Toc157773454"/>
      <w:bookmarkEnd w:id="35"/>
      <w:r>
        <w:rPr/>
        <w:t>Third Party Material</w:t>
      </w:r>
    </w:p>
    <w:p>
      <w:pPr>
        <w:pStyle w:val="Formatvorlage2"/>
        <w:numPr>
          <w:ilvl w:val="1"/>
          <w:numId w:val="17"/>
        </w:numPr>
        <w:rPr/>
      </w:pPr>
      <w:bookmarkStart w:id="36" w:name="__RefHeading___Toc157773455"/>
      <w:bookmarkEnd w:id="36"/>
      <w:r>
        <w:rPr/>
        <w:t>The Service Provider</w:t>
      </w:r>
      <w:r>
        <w:rPr>
          <w:rFonts w:cs="Times New Roman" w:ascii="Times New Roman" w:hAnsi="Times New Roman"/>
        </w:rPr>
        <w:t>’</w:t>
      </w:r>
      <w:r>
        <w:rPr/>
        <w:t>s responsibilities include, but are not limited to</w:t>
      </w:r>
    </w:p>
    <w:p>
      <w:pPr>
        <w:pStyle w:val="Formatvorlage2"/>
        <w:numPr>
          <w:ilvl w:val="1"/>
          <w:numId w:val="17"/>
        </w:numPr>
        <w:rPr/>
      </w:pPr>
      <w:bookmarkStart w:id="37" w:name="__RefHeading___Toc157773456"/>
      <w:bookmarkEnd w:id="37"/>
      <w:r>
        <w:rPr/>
        <w:t>Update with the assistance and the approval of GlobalPharma at least at every 6th (sixth) month of the Term of the Agreement the list of third party material in Exhibit 24 (Third Party Materials).</w:t>
      </w:r>
    </w:p>
    <w:p>
      <w:pPr>
        <w:pStyle w:val="Formatvorlage1"/>
        <w:numPr>
          <w:ilvl w:val="0"/>
          <w:numId w:val="17"/>
        </w:numPr>
        <w:ind w:hanging="0" w:start="0"/>
        <w:rPr/>
      </w:pPr>
      <w:bookmarkStart w:id="38" w:name="__RefHeading___Toc157773457"/>
      <w:bookmarkEnd w:id="38"/>
      <w:r>
        <w:rPr/>
        <w:t>IP Rights Listing</w:t>
      </w:r>
    </w:p>
    <w:p>
      <w:pPr>
        <w:pStyle w:val="Normal"/>
        <w:rPr/>
      </w:pPr>
      <w:r>
        <w:rPr>
          <w:lang w:val="en-GB"/>
        </w:rPr>
        <w:t xml:space="preserve">The Parties will list below, as updated periodically </w:t>
      </w:r>
      <w:r>
        <w:rPr/>
        <w:t>at least at every 6</w:t>
      </w:r>
      <w:r>
        <w:rPr>
          <w:vertAlign w:val="superscript"/>
        </w:rPr>
        <w:t>th</w:t>
      </w:r>
      <w:r>
        <w:rPr/>
        <w:t xml:space="preserve"> (sixth) month </w:t>
      </w:r>
      <w:r>
        <w:rPr>
          <w:lang w:val="en-GB"/>
        </w:rPr>
        <w:t>of the Term of The Agreement, Materials developed under The Agreement as described in clause 7.3.1 of the MSA:</w:t>
      </w:r>
    </w:p>
    <w:p>
      <w:pPr>
        <w:pStyle w:val="Formatvorlage2"/>
        <w:numPr>
          <w:ilvl w:val="1"/>
          <w:numId w:val="17"/>
        </w:numPr>
        <w:rPr/>
      </w:pPr>
      <w:bookmarkStart w:id="39" w:name="__RefHeading___Toc157773458"/>
      <w:bookmarkEnd w:id="39"/>
      <w:r>
        <w:rPr/>
        <w:t>Type I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Formatvorlage2"/>
        <w:numPr>
          <w:ilvl w:val="1"/>
          <w:numId w:val="17"/>
        </w:numPr>
        <w:rPr/>
      </w:pPr>
      <w:bookmarkStart w:id="40" w:name="__RefHeading___Toc157773459"/>
      <w:bookmarkEnd w:id="40"/>
      <w:r>
        <w:rPr/>
        <w:t>Type II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Formatvorlage2"/>
        <w:numPr>
          <w:ilvl w:val="1"/>
          <w:numId w:val="17"/>
        </w:numPr>
        <w:rPr/>
      </w:pPr>
      <w:bookmarkStart w:id="41" w:name="__RefHeading___Toc157773460"/>
      <w:bookmarkEnd w:id="41"/>
      <w:r>
        <w:rPr/>
        <w:t>Type III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Formatvorlage2"/>
        <w:numPr>
          <w:ilvl w:val="1"/>
          <w:numId w:val="17"/>
        </w:numPr>
        <w:rPr/>
      </w:pPr>
      <w:bookmarkStart w:id="42" w:name="__RefHeading___Toc157773461"/>
      <w:bookmarkEnd w:id="42"/>
      <w:r>
        <w:rPr/>
        <w:t>Type IV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Normal"/>
        <w:rPr/>
      </w:pPr>
      <w:r>
        <w:rPr/>
      </w:r>
    </w:p>
    <w:p>
      <w:pPr>
        <w:pStyle w:val="TableText"/>
        <w:spacing w:before="120" w:after="120"/>
        <w:rPr/>
      </w:pPr>
      <w:r>
        <w:rPr/>
      </w:r>
    </w:p>
    <w:sectPr>
      <w:headerReference w:type="default" r:id="rId2"/>
      <w:footerReference w:type="default" r:id="rId3"/>
      <w:type w:val="nextPage"/>
      <w:pgSz w:w="12240" w:h="15840"/>
      <w:pgMar w:left="862" w:right="862" w:gutter="0" w:header="720" w:top="2516" w:footer="32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jc w:val="center"/>
      <w:rPr>
        <w:rFonts w:ascii="Arial" w:hAnsi="Arial" w:cs="Arial"/>
        <w:sz w:val="20"/>
        <w:szCs w:val="22"/>
      </w:rPr>
    </w:pPr>
    <w:r>
      <w:rPr>
        <w:rFonts w:cs="Arial" w:ascii="Arial" w:hAnsi="Arial"/>
        <w:sz w:val="20"/>
        <w:szCs w:val="22"/>
      </w:rPr>
      <w:t>GlobalPharma and ServicePro Confidential</w:t>
    </w:r>
  </w:p>
  <w:p>
    <w:pPr>
      <w:pStyle w:val="Footer"/>
      <w:spacing w:before="120" w:after="120"/>
      <w:jc w:val="center"/>
      <w:rPr>
        <w:rFonts w:ascii="Arial" w:hAnsi="Arial" w:cs="Arial"/>
        <w:sz w:val="20"/>
        <w:szCs w:val="22"/>
      </w:rPr>
    </w:pPr>
    <w:r>
      <w:rPr>
        <w:rFonts w:cs="Arial" w:ascii="Arial" w:hAnsi="Arial"/>
        <w:sz w:val="20"/>
        <w:szCs w:val="22"/>
      </w:rPr>
      <w:fldChar w:fldCharType="begin"/>
    </w:r>
    <w:r>
      <w:rPr>
        <w:sz w:val="20"/>
        <w:szCs w:val="22"/>
        <w:rFonts w:cs="Arial" w:ascii="Arial" w:hAnsi="Arial"/>
      </w:rPr>
      <w:instrText xml:space="preserve"> PAGE </w:instrText>
    </w:r>
    <w:r>
      <w:rPr>
        <w:sz w:val="20"/>
        <w:szCs w:val="22"/>
        <w:rFonts w:cs="Arial" w:ascii="Arial" w:hAnsi="Arial"/>
      </w:rPr>
      <w:fldChar w:fldCharType="separate"/>
    </w:r>
    <w:r>
      <w:rPr>
        <w:sz w:val="20"/>
        <w:szCs w:val="22"/>
        <w:rFonts w:cs="Arial" w:ascii="Arial" w:hAnsi="Arial"/>
      </w:rPr>
      <w:t>21</w:t>
    </w:r>
    <w:r>
      <w:rPr>
        <w:sz w:val="20"/>
        <w:szCs w:val="22"/>
        <w:rFonts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43">
          <wp:simplePos x="0" y="0"/>
          <wp:positionH relativeFrom="column">
            <wp:posOffset>7886700</wp:posOffset>
          </wp:positionH>
          <wp:positionV relativeFrom="paragraph">
            <wp:posOffset>45720</wp:posOffset>
          </wp:positionV>
          <wp:extent cx="1028700" cy="385445"/>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anchor behindDoc="1" distT="0" distB="0" distL="114935" distR="114935" simplePos="0" locked="0" layoutInCell="1" allowOverlap="1" relativeHeight="64">
          <wp:simplePos x="0" y="0"/>
          <wp:positionH relativeFrom="column">
            <wp:posOffset>5676900</wp:posOffset>
          </wp:positionH>
          <wp:positionV relativeFrom="paragraph">
            <wp:posOffset>-26035</wp:posOffset>
          </wp:positionV>
          <wp:extent cx="1028700" cy="385445"/>
          <wp:effectExtent l="0" t="0" r="0" b="0"/>
          <wp:wrapNone/>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371600" cy="34798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3"/>
                  <a:srcRect l="-24" t="-104" r="-24" b="-104"/>
                  <a:stretch>
                    <a:fillRect/>
                  </a:stretch>
                </pic:blipFill>
                <pic:spPr bwMode="auto">
                  <a:xfrm>
                    <a:off x="0" y="0"/>
                    <a:ext cx="1371600" cy="347980"/>
                  </a:xfrm>
                  <a:prstGeom prst="rect">
                    <a:avLst/>
                  </a:prstGeom>
                  <a:noFill/>
                </pic:spPr>
              </pic:pic>
            </a:graphicData>
          </a:graphic>
        </wp:inline>
      </w:drawing>
    </w:r>
  </w:p>
  <w:p>
    <w:pPr>
      <w:pStyle w:val="Header"/>
      <w:pBdr>
        <w:bottom w:val="single" w:sz="4" w:space="1" w:color="000000"/>
      </w:pBdr>
      <w:tabs>
        <w:tab w:val="clear" w:pos="14400"/>
        <w:tab w:val="right" w:pos="9360" w:leader="none"/>
        <w:tab w:val="right" w:pos="14760" w:leader="none"/>
      </w:tabs>
      <w:spacing w:before="120" w:after="120"/>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1">
    <w:lvl w:ilvl="0">
      <w:start w:val="1"/>
      <w:numFmt w:val="bullet"/>
      <w:lvlText w:val=""/>
      <w:lvlJc w:val="start"/>
      <w:pPr>
        <w:tabs>
          <w:tab w:val="num" w:pos="1800"/>
        </w:tabs>
        <w:ind w:start="1800" w:hanging="360"/>
      </w:pPr>
      <w:rPr>
        <w:rFonts w:ascii="Symbol" w:hAnsi="Symbol" w:cs="Symbol" w:hint="default"/>
      </w:rPr>
    </w:lvl>
  </w:abstractNum>
  <w:abstractNum w:abstractNumId="12">
    <w:lvl w:ilvl="0">
      <w:start w:val="1"/>
      <w:numFmt w:val="bullet"/>
      <w:lvlText w:val=""/>
      <w:lvlJc w:val="start"/>
      <w:pPr>
        <w:tabs>
          <w:tab w:val="num" w:pos="1080"/>
        </w:tabs>
        <w:ind w:start="1080" w:hanging="360"/>
      </w:pPr>
      <w:rPr>
        <w:rFonts w:ascii="Symbol" w:hAnsi="Symbol" w:cs="Symbol" w:hint="default"/>
      </w:rPr>
    </w:lvl>
  </w:abstractNum>
  <w:abstractNum w:abstractNumId="13">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4"/>
        <w:i w:val="false"/>
        <w:b/>
        <w:rFonts w:ascii="Times New Roman Bold;Times New Roman" w:hAnsi="Times New Roman Bold;Times New Roman" w:cs="Times New Roman Bold;Times New Roman"/>
        <w:lang w:val="en-US"/>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4">
    <w:lvl w:ilvl="0">
      <w:start w:val="1"/>
      <w:numFmt w:val="bullet"/>
      <w:lvlText w:val=""/>
      <w:lvlJc w:val="start"/>
      <w:pPr>
        <w:tabs>
          <w:tab w:val="num" w:pos="2707"/>
        </w:tabs>
        <w:ind w:start="2707" w:hanging="547"/>
      </w:pPr>
      <w:rPr>
        <w:rFonts w:ascii="Symbol" w:hAnsi="Symbol" w:cs="Symbol" w:hint="default"/>
      </w:rPr>
    </w:lvl>
  </w:abstractNum>
  <w:abstractNum w:abstractNumId="15">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decimal"/>
      <w:lvlText w:val="%1."/>
      <w:lvlJc w:val="start"/>
      <w:pPr>
        <w:tabs>
          <w:tab w:val="num" w:pos="504"/>
        </w:tabs>
        <w:ind w:start="504" w:hanging="504"/>
      </w:pPr>
      <w:rPr>
        <w:sz w:val="24"/>
        <w:i w:val="false"/>
        <w:b/>
        <w:rFonts w:ascii="Times New Roman Bold;Times New Roman" w:hAnsi="Times New Roman Bold;Times New Roman" w:cs="Times New Roman"/>
        <w:color w:val="000000"/>
      </w:rPr>
    </w:lvl>
    <w:lvl w:ilvl="1">
      <w:start w:val="1"/>
      <w:numFmt w:val="decimal"/>
      <w:lvlText w:val="%1.%2."/>
      <w:lvlJc w:val="start"/>
      <w:pPr>
        <w:tabs>
          <w:tab w:val="num" w:pos="504"/>
        </w:tabs>
        <w:ind w:start="504" w:hanging="504"/>
      </w:pPr>
      <w:rPr>
        <w:sz w:val="24"/>
        <w:i w:val="false"/>
        <w:b/>
        <w:rFonts w:ascii="Times New Roman Bold;Times New Roman" w:hAnsi="Times New Roman Bold;Times New Roman" w:cs="Times New Roman"/>
      </w:rPr>
    </w:lvl>
    <w:lvl w:ilvl="2">
      <w:start w:val="1"/>
      <w:numFmt w:val="decimal"/>
      <w:lvlText w:val="%1.%2.%3."/>
      <w:lvlJc w:val="start"/>
      <w:pPr>
        <w:tabs>
          <w:tab w:val="num" w:pos="1080"/>
        </w:tabs>
        <w:ind w:start="1080" w:hanging="1080"/>
      </w:pPr>
      <w:rPr>
        <w:sz w:val="22"/>
        <w:i w:val="false"/>
        <w:b w:val="false"/>
        <w:rFonts w:ascii="Times New Roman" w:hAnsi="Times New Roman" w:cs="Times New Roman"/>
        <w:lang w:val="en-US"/>
      </w:rPr>
    </w:lvl>
    <w:lvl w:ilvl="3">
      <w:start w:val="1"/>
      <w:numFmt w:val="decimal"/>
      <w:lvlText w:val="%1.%2.%3.%4."/>
      <w:lvlJc w:val="start"/>
      <w:pPr>
        <w:tabs>
          <w:tab w:val="num" w:pos="1080"/>
        </w:tabs>
        <w:ind w:start="1080" w:hanging="1080"/>
      </w:pPr>
      <w:rPr>
        <w:sz w:val="22"/>
        <w:i/>
        <w:b w:val="false"/>
        <w:rFonts w:ascii="Times New Roman" w:hAnsi="Times New Roman" w:cs="Times New Roman"/>
      </w:rPr>
    </w:lvl>
    <w:lvl w:ilvl="4">
      <w:start w:val="1"/>
      <w:numFmt w:val="upperLetter"/>
      <w:lvlText w:val="%5."/>
      <w:lvlJc w:val="start"/>
      <w:pPr>
        <w:tabs>
          <w:tab w:val="num" w:pos="1080"/>
        </w:tabs>
        <w:ind w:start="1080" w:hanging="576"/>
      </w:pPr>
      <w:rPr/>
    </w:lvl>
    <w:lvl w:ilvl="5">
      <w:start w:val="1"/>
      <w:numFmt w:val="decimal"/>
      <w:lvlText w:val="%6."/>
      <w:lvlJc w:val="start"/>
      <w:pPr>
        <w:tabs>
          <w:tab w:val="num" w:pos="1080"/>
        </w:tabs>
        <w:ind w:start="1080" w:hanging="576"/>
      </w:pPr>
      <w:rPr/>
    </w:lvl>
    <w:lvl w:ilvl="6">
      <w:start w:val="1"/>
      <w:numFmt w:val="lowerLetter"/>
      <w:lvlText w:val="%7."/>
      <w:lvlJc w:val="start"/>
      <w:pPr>
        <w:tabs>
          <w:tab w:val="num" w:pos="1512"/>
        </w:tabs>
        <w:ind w:start="1512" w:hanging="432"/>
      </w:pPr>
      <w:rPr/>
    </w:lvl>
    <w:lvl w:ilvl="7">
      <w:start w:val="1"/>
      <w:numFmt w:val="lowerRoman"/>
      <w:lvlText w:val="%8.)"/>
      <w:lvlJc w:val="start"/>
      <w:pPr>
        <w:tabs>
          <w:tab w:val="num" w:pos="1512"/>
        </w:tabs>
        <w:ind w:start="1512" w:hanging="432"/>
      </w:pPr>
      <w:rPr/>
    </w:lvl>
    <w:lvl w:ilvl="8">
      <w:start w:val="1"/>
      <w:numFmt w:val="none"/>
      <w:suff w:val="nothing"/>
      <w:lvlText w:val=""/>
      <w:lvlJc w:val="start"/>
      <w:pPr>
        <w:tabs>
          <w:tab w:val="num" w:pos="144"/>
        </w:tabs>
        <w:ind w:start="216" w:hanging="0"/>
      </w:pPr>
      <w:rPr/>
    </w:lvl>
  </w:abstractNum>
  <w:abstractNum w:abstractNumId="18">
    <w:lvl w:ilvl="0">
      <w:start w:val="1"/>
      <w:numFmt w:val="bullet"/>
      <w:lvlText w:val=""/>
      <w:lvlJc w:val="start"/>
      <w:pPr>
        <w:tabs>
          <w:tab w:val="num" w:pos="1440"/>
        </w:tabs>
        <w:ind w:start="1440" w:hanging="360"/>
      </w:pPr>
      <w:rPr>
        <w:rFonts w:ascii="Symbol" w:hAnsi="Symbol" w:cs="Symbol" w:hint="default"/>
      </w:rPr>
    </w:lvl>
  </w:abstractNum>
  <w:abstractNum w:abstractNumId="19">
    <w:lvl w:ilvl="0">
      <w:start w:val="1"/>
      <w:numFmt w:val="bullet"/>
      <w:lvlText w:val=""/>
      <w:lvlJc w:val="start"/>
      <w:pPr>
        <w:tabs>
          <w:tab w:val="num" w:pos="1627"/>
        </w:tabs>
        <w:ind w:start="1627" w:hanging="547"/>
      </w:pPr>
      <w:rPr>
        <w:rFonts w:ascii="Symbol" w:hAnsi="Symbol" w:cs="Symbol" w:hint="default"/>
      </w:rPr>
    </w:lvl>
  </w:abstractNum>
  <w:abstractNum w:abstractNumId="20">
    <w:lvl w:ilvl="0">
      <w:start w:val="1"/>
      <w:numFmt w:val="bullet"/>
      <w:lvlText w:val=""/>
      <w:lvlJc w:val="start"/>
      <w:pPr>
        <w:tabs>
          <w:tab w:val="num" w:pos="2160"/>
        </w:tabs>
        <w:ind w:start="2160" w:hanging="533"/>
      </w:pPr>
      <w:rPr>
        <w:rFonts w:ascii="Symbol" w:hAnsi="Symbol" w:cs="Symbol" w:hint="default"/>
      </w:rPr>
    </w:lvl>
  </w:abstractNum>
  <w:abstractNum w:abstractNumId="21">
    <w:lvl w:ilvl="0">
      <w:start w:val="1"/>
      <w:isLgl/>
      <w:numFmt w:val="decimal"/>
      <w:lvlText w:val="%1.0"/>
      <w:lvlJc w:val="start"/>
      <w:pPr>
        <w:tabs>
          <w:tab w:val="num" w:pos="0"/>
        </w:tabs>
        <w:ind w:start="0" w:hanging="0"/>
      </w:pPr>
      <w:rPr>
        <w:sz w:val="28"/>
        <w:i w:val="false"/>
        <w:b/>
        <w:szCs w:val="28"/>
        <w:rFonts w:ascii="Times New Roman Bold;Times New Roman" w:hAnsi="Times New Roman Bold;Times New Roman" w:cs="Times New Roman Bold;Times New Roman"/>
        <w:color w:val="000000"/>
      </w:rPr>
    </w:lvl>
    <w:lvl w:ilvl="1">
      <w:start w:val="1"/>
      <w:numFmt w:val="decimal"/>
      <w:lvlText w:val="%1.%2."/>
      <w:lvlJc w:val="start"/>
      <w:pPr>
        <w:tabs>
          <w:tab w:val="num" w:pos="288"/>
        </w:tabs>
        <w:ind w:start="288" w:hanging="619"/>
      </w:pPr>
      <w:rPr>
        <w:sz w:val="22"/>
        <w:i w:val="false"/>
        <w:b w:val="false"/>
        <w:rFonts w:ascii="Times New Roman" w:hAnsi="Times New Roman" w:cs="Times New Roman"/>
      </w:rPr>
    </w:lvl>
    <w:lvl w:ilvl="2">
      <w:start w:val="1"/>
      <w:numFmt w:val="decimal"/>
      <w:lvlText w:val="%1.%2.%3."/>
      <w:lvlJc w:val="start"/>
      <w:pPr>
        <w:tabs>
          <w:tab w:val="num" w:pos="576"/>
        </w:tabs>
        <w:ind w:start="576" w:hanging="878"/>
      </w:pPr>
      <w:rPr>
        <w:sz w:val="22"/>
        <w:i w:val="false"/>
        <w:b w:val="false"/>
        <w:rFonts w:ascii="Times New Roman" w:hAnsi="Times New Roman" w:cs="Times New Roman"/>
      </w:rPr>
    </w:lvl>
    <w:lvl w:ilvl="3">
      <w:start w:val="1"/>
      <w:numFmt w:val="decimal"/>
      <w:lvlText w:val="%1.%2.%3.%4."/>
      <w:lvlJc w:val="start"/>
      <w:pPr>
        <w:tabs>
          <w:tab w:val="num" w:pos="720"/>
        </w:tabs>
        <w:ind w:start="720" w:hanging="994"/>
      </w:pPr>
      <w:rPr>
        <w:sz w:val="22"/>
        <w:i w:val="false"/>
        <w:b w:val="false"/>
        <w:rFonts w:ascii="Times New Roman" w:hAnsi="Times New Roman" w:cs="Times New Roman"/>
      </w:rPr>
    </w:lvl>
    <w:lvl w:ilvl="4">
      <w:start w:val="1"/>
      <w:numFmt w:val="none"/>
      <w:suff w:val="nothing"/>
      <w:lvlText w:val=""/>
      <w:lvlJc w:val="start"/>
      <w:pPr>
        <w:ind w:start="720" w:hanging="0"/>
      </w:pPr>
      <w:rPr/>
    </w:lvl>
    <w:lvl w:ilvl="5">
      <w:start w:val="1"/>
      <w:numFmt w:val="none"/>
      <w:suff w:val="nothing"/>
      <w:lvlText w:val=""/>
      <w:lvlJc w:val="start"/>
      <w:pPr>
        <w:ind w:start="720" w:hanging="0"/>
      </w:pPr>
      <w:rPr/>
    </w:lvl>
    <w:lvl w:ilvl="6">
      <w:start w:val="1"/>
      <w:numFmt w:val="none"/>
      <w:suff w:val="nothing"/>
      <w:lvlText w:val=""/>
      <w:lvlJc w:val="start"/>
      <w:pPr>
        <w:ind w:start="720" w:hanging="0"/>
      </w:pPr>
      <w:rPr/>
    </w:lvl>
    <w:lvl w:ilvl="7">
      <w:start w:val="1"/>
      <w:numFmt w:val="none"/>
      <w:suff w:val="nothing"/>
      <w:lvlText w:val=""/>
      <w:lvlJc w:val="start"/>
      <w:pPr>
        <w:ind w:start="720" w:hanging="0"/>
      </w:pPr>
      <w:rPr/>
    </w:lvl>
    <w:lvl w:ilvl="8">
      <w:start w:val="1"/>
      <w:numFmt w:val="none"/>
      <w:suff w:val="nothing"/>
      <w:lvlText w:val=""/>
      <w:lvlJc w:val="start"/>
      <w:pPr>
        <w:ind w:start="720" w:hanging="0"/>
      </w:pPr>
      <w:rPr/>
    </w:lvl>
  </w:abstractNum>
  <w:abstractNum w:abstractNumId="22">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4.%2"/>
      <w:lvlJc w:val="start"/>
      <w:pPr>
        <w:tabs>
          <w:tab w:val="num" w:pos="1008"/>
        </w:tabs>
        <w:ind w:start="1008" w:hanging="619"/>
      </w:pPr>
      <w:rPr>
        <w:sz w:val="28"/>
        <w:i w:val="false"/>
        <w:b/>
        <w:szCs w:val="28"/>
        <w:rFonts w:ascii="Times New Roman Bold;Times New Roman" w:hAnsi="Times New Roman Bold;Times New Roman" w:cs="Times New Roman Bold;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23">
    <w:lvl w:ilvl="0">
      <w:start w:val="1"/>
      <w:numFmt w:val="bullet"/>
      <w:lvlText w:val=""/>
      <w:lvlJc w:val="start"/>
      <w:pPr>
        <w:tabs>
          <w:tab w:val="num" w:pos="3240"/>
        </w:tabs>
        <w:ind w:start="3240" w:hanging="53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7"/>
      </w:numPr>
      <w:spacing w:before="48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keepNext w:val="false"/>
      <w:numPr>
        <w:ilvl w:val="0"/>
        <w:numId w:val="17"/>
      </w:numPr>
      <w:tabs>
        <w:tab w:val="clear" w:pos="720"/>
        <w:tab w:val="left" w:pos="1134" w:leader="none"/>
      </w:tabs>
      <w:outlineLvl w:val="1"/>
    </w:pPr>
    <w:rPr>
      <w:bCs w:val="false"/>
      <w:iCs/>
      <w:caps w:val="false"/>
      <w:smallCaps w:val="false"/>
      <w:sz w:val="24"/>
      <w:szCs w:val="28"/>
    </w:rPr>
  </w:style>
  <w:style w:type="paragraph" w:styleId="Heading3">
    <w:name w:val="heading 3"/>
    <w:basedOn w:val="Heading2"/>
    <w:next w:val="TableText"/>
    <w:qFormat/>
    <w:pPr>
      <w:keepLines w:val="false"/>
      <w:numPr>
        <w:ilvl w:val="0"/>
        <w:numId w:val="17"/>
      </w:numPr>
      <w:spacing w:before="240" w:after="240"/>
      <w:outlineLvl w:val="2"/>
    </w:pPr>
    <w:rPr>
      <w:rFonts w:ascii="Times New Roman" w:hAnsi="Times New Roman" w:cs="Times New Roman"/>
      <w:b w:val="false"/>
      <w:bCs/>
      <w:szCs w:val="26"/>
    </w:rPr>
  </w:style>
  <w:style w:type="paragraph" w:styleId="Heading4">
    <w:name w:val="heading 4"/>
    <w:basedOn w:val="Heading3"/>
    <w:next w:val="TableText"/>
    <w:qFormat/>
    <w:pPr>
      <w:numPr>
        <w:ilvl w:val="0"/>
        <w:numId w:val="17"/>
      </w:numPr>
      <w:spacing w:before="120" w:after="0"/>
      <w:outlineLvl w:val="3"/>
    </w:pPr>
    <w:rPr>
      <w:bCs w:val="false"/>
      <w:i/>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b w:val="false"/>
    </w:rPr>
  </w:style>
  <w:style w:type="character" w:styleId="WW8Num8z0">
    <w:name w:val="WW8Num8z0"/>
    <w:qFormat/>
    <w:rPr>
      <w:rFonts w:ascii="Times New Roman" w:hAnsi="Times New Roman" w:cs="Times New Roman"/>
      <w:b w:val="false"/>
      <w:i w:val="false"/>
      <w:color w:val="000000"/>
      <w:sz w:val="22"/>
    </w:rPr>
  </w:style>
  <w:style w:type="character" w:styleId="WW8Num8z1">
    <w:name w:val="WW8Num8z1"/>
    <w:qFormat/>
    <w:rPr>
      <w:rFonts w:ascii="Times New Roman" w:hAnsi="Times New Roman" w:cs="Times New Roman"/>
      <w:b w:val="false"/>
      <w:i w:val="false"/>
      <w:sz w:val="22"/>
    </w:rPr>
  </w:style>
  <w:style w:type="character" w:styleId="WW8Num8z4">
    <w:name w:val="WW8Num8z4"/>
    <w:qFormat/>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Times New Roman" w:hAnsi="Times New Roman" w:cs="Times New Roman"/>
      <w:b w:val="false"/>
      <w:i w:val="false"/>
      <w:color w:val="000000"/>
      <w:sz w:val="22"/>
    </w:rPr>
  </w:style>
  <w:style w:type="character" w:styleId="WW8Num10z1">
    <w:name w:val="WW8Num10z1"/>
    <w:qFormat/>
    <w:rPr>
      <w:rFonts w:ascii="Times New Roman" w:hAnsi="Times New Roman" w:cs="Times New Roman"/>
      <w:b w:val="false"/>
      <w:i w:val="false"/>
      <w:sz w:val="22"/>
    </w:rPr>
  </w:style>
  <w:style w:type="character" w:styleId="WW8Num10z4">
    <w:name w:val="WW8Num10z4"/>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style>
  <w:style w:type="character" w:styleId="WW8Num12z1">
    <w:name w:val="WW8Num12z1"/>
    <w:qFormat/>
    <w:rPr>
      <w:sz w:val="18"/>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Times New Roman Bold;Times New Roman" w:hAnsi="Times New Roman Bold;Times New Roman" w:cs="Times New Roman Bold;Times New Roman"/>
      <w:b/>
      <w:i w:val="false"/>
      <w:sz w:val="28"/>
    </w:rPr>
  </w:style>
  <w:style w:type="character" w:styleId="WW8Num14z1">
    <w:name w:val="WW8Num14z1"/>
    <w:qFormat/>
    <w:rPr>
      <w:rFonts w:ascii="Times New Roman Bold;Times New Roman" w:hAnsi="Times New Roman Bold;Times New Roman" w:cs="Times New Roman Bold;Times New Roman"/>
      <w:b/>
      <w:i w:val="false"/>
      <w:sz w:val="24"/>
      <w:lang w:val="en-US"/>
    </w:rPr>
  </w:style>
  <w:style w:type="character" w:styleId="WW8Num14z2">
    <w:name w:val="WW8Num14z2"/>
    <w:qFormat/>
    <w:rPr>
      <w:rFonts w:ascii="Times New Roman" w:hAnsi="Times New Roman" w:cs="Times New Roman"/>
      <w:b/>
      <w:i w:val="false"/>
      <w:sz w:val="24"/>
    </w:rPr>
  </w:style>
  <w:style w:type="character" w:styleId="WW8Num14z4">
    <w:name w:val="WW8Num14z4"/>
    <w:qFormat/>
    <w:rPr>
      <w:rFonts w:ascii="Times New Roman Bold;Times New Roman" w:hAnsi="Times New Roman Bold;Times New Roman" w:cs="Times New Roman Bold;Times New Roman"/>
      <w:b/>
      <w:i w:val="false"/>
      <w:sz w:val="22"/>
      <w:szCs w:val="22"/>
    </w:rPr>
  </w:style>
  <w:style w:type="character" w:styleId="WW8Num14z5">
    <w:name w:val="WW8Num14z5"/>
    <w:qFormat/>
    <w:rPr>
      <w:rFonts w:ascii="Times New Roman" w:hAnsi="Times New Roman" w:cs="Times New Roman"/>
      <w:b w:val="false"/>
      <w:i w:val="false"/>
      <w:sz w:val="22"/>
    </w:rPr>
  </w:style>
  <w:style w:type="character" w:styleId="WW8Num14z8">
    <w:name w:val="WW8Num14z8"/>
    <w:qFormat/>
    <w:rPr/>
  </w:style>
  <w:style w:type="character" w:styleId="WW8Num15z0">
    <w:name w:val="WW8Num15z0"/>
    <w:qFormat/>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Times New Roman Bold;Times New Roman" w:hAnsi="Times New Roman Bold;Times New Roman" w:cs="Times New Roman Bold;Times New Roman"/>
      <w:b/>
      <w:i w:val="false"/>
      <w:sz w:val="28"/>
    </w:rPr>
  </w:style>
  <w:style w:type="character" w:styleId="WW8Num18z2">
    <w:name w:val="WW8Num18z2"/>
    <w:qFormat/>
    <w:rPr>
      <w:rFonts w:ascii="Times New Roman" w:hAnsi="Times New Roman" w:cs="Times New Roman"/>
      <w:b/>
      <w:i w:val="false"/>
      <w:sz w:val="24"/>
    </w:rPr>
  </w:style>
  <w:style w:type="character" w:styleId="WW8Num18z4">
    <w:name w:val="WW8Num18z4"/>
    <w:qFormat/>
    <w:rPr>
      <w:rFonts w:ascii="Times New Roman" w:hAnsi="Times New Roman" w:cs="Times New Roman"/>
      <w:b w:val="false"/>
      <w:i w:val="false"/>
      <w:sz w:val="22"/>
    </w:rPr>
  </w:style>
  <w:style w:type="character" w:styleId="WW8Num18z8">
    <w:name w:val="WW8Num18z8"/>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Times New Roman Bold;Times New Roman" w:hAnsi="Times New Roman Bold;Times New Roman" w:cs="Times New Roman"/>
      <w:b/>
      <w:i w:val="false"/>
      <w:color w:val="000000"/>
      <w:sz w:val="24"/>
    </w:rPr>
  </w:style>
  <w:style w:type="character" w:styleId="WW8Num20z1">
    <w:name w:val="WW8Num20z1"/>
    <w:qFormat/>
    <w:rPr>
      <w:rFonts w:ascii="Times New Roman Bold;Times New Roman" w:hAnsi="Times New Roman Bold;Times New Roman" w:cs="Times New Roman"/>
      <w:b/>
      <w:i w:val="false"/>
      <w:sz w:val="24"/>
    </w:rPr>
  </w:style>
  <w:style w:type="character" w:styleId="WW8Num20z2">
    <w:name w:val="WW8Num20z2"/>
    <w:qFormat/>
    <w:rPr>
      <w:rFonts w:ascii="Times New Roman" w:hAnsi="Times New Roman" w:cs="Times New Roman"/>
      <w:b w:val="false"/>
      <w:i w:val="false"/>
      <w:sz w:val="22"/>
      <w:lang w:val="en-US"/>
    </w:rPr>
  </w:style>
  <w:style w:type="character" w:styleId="WW8Num20z3">
    <w:name w:val="WW8Num20z3"/>
    <w:qFormat/>
    <w:rPr>
      <w:rFonts w:ascii="Times New Roman" w:hAnsi="Times New Roman" w:cs="Times New Roman"/>
      <w:b w:val="false"/>
      <w:i/>
      <w:sz w:val="22"/>
    </w:rPr>
  </w:style>
  <w:style w:type="character" w:styleId="WW8Num20z4">
    <w:name w:val="WW8Num20z4"/>
    <w:qFormat/>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sz w:val="18"/>
    </w:rPr>
  </w:style>
  <w:style w:type="character" w:styleId="WW8Num23z0">
    <w:name w:val="WW8Num23z0"/>
    <w:qFormat/>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7z0">
    <w:name w:val="WW8Num27z0"/>
    <w:qFormat/>
    <w:rPr>
      <w:rFonts w:ascii="Times New Roman Bold;Times New Roman" w:hAnsi="Times New Roman Bold;Times New Roman" w:cs="Times New Roman Bold;Times New Roman"/>
      <w:b/>
      <w:i w:val="false"/>
      <w:color w:val="000000"/>
      <w:sz w:val="28"/>
      <w:szCs w:val="28"/>
    </w:rPr>
  </w:style>
  <w:style w:type="character" w:styleId="WW8Num27z1">
    <w:name w:val="WW8Num27z1"/>
    <w:qFormat/>
    <w:rPr>
      <w:rFonts w:ascii="Times New Roman" w:hAnsi="Times New Roman" w:cs="Times New Roman"/>
      <w:b w:val="false"/>
      <w:i w:val="false"/>
      <w:sz w:val="22"/>
    </w:rPr>
  </w:style>
  <w:style w:type="character" w:styleId="WW8Num27z4">
    <w:name w:val="WW8Num27z4"/>
    <w:qFormat/>
    <w:rPr/>
  </w:style>
  <w:style w:type="character" w:styleId="WW8Num28z0">
    <w:name w:val="WW8Num28z0"/>
    <w:qFormat/>
    <w:rPr/>
  </w:style>
  <w:style w:type="character" w:styleId="WW8Num28z1">
    <w:name w:val="WW8Num28z1"/>
    <w:qFormat/>
    <w:rPr>
      <w:sz w:val="18"/>
    </w:rPr>
  </w:style>
  <w:style w:type="character" w:styleId="WW8Num31z0">
    <w:name w:val="WW8Num31z0"/>
    <w:qFormat/>
    <w:rPr>
      <w:rFonts w:ascii="Times New Roman" w:hAnsi="Times New Roman" w:cs="Times New Roman"/>
      <w:b w:val="false"/>
      <w:i w:val="false"/>
      <w:color w:val="000000"/>
      <w:sz w:val="22"/>
    </w:rPr>
  </w:style>
  <w:style w:type="character" w:styleId="WW8Num31z1">
    <w:name w:val="WW8Num31z1"/>
    <w:qFormat/>
    <w:rPr>
      <w:rFonts w:ascii="Times New Roman Bold;Times New Roman" w:hAnsi="Times New Roman Bold;Times New Roman" w:cs="Times New Roman Bold;Times New Roman"/>
      <w:b/>
      <w:i w:val="false"/>
      <w:sz w:val="28"/>
      <w:szCs w:val="28"/>
    </w:rPr>
  </w:style>
  <w:style w:type="character" w:styleId="WW8Num31z2">
    <w:name w:val="WW8Num31z2"/>
    <w:qFormat/>
    <w:rPr>
      <w:rFonts w:ascii="Times New Roman" w:hAnsi="Times New Roman" w:cs="Times New Roman"/>
      <w:b w:val="false"/>
      <w:i w:val="false"/>
      <w:sz w:val="22"/>
    </w:rPr>
  </w:style>
  <w:style w:type="character" w:styleId="WW8Num31z4">
    <w:name w:val="WW8Num31z4"/>
    <w:qFormat/>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b w:val="false"/>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Char3">
    <w:name w:val=" Char3"/>
    <w:basedOn w:val="Absatz-Standardschriftart"/>
    <w:qFormat/>
    <w:rPr>
      <w:rFonts w:ascii="Times New Roman Bold;Times New Roman" w:hAnsi="Times New Roman Bold;Times New Roman" w:cs="Arial"/>
      <w:b/>
      <w:bCs/>
      <w:caps/>
      <w:kern w:val="2"/>
      <w:sz w:val="28"/>
      <w:szCs w:val="32"/>
      <w:lang w:val="en-US" w:bidi="ar-SA"/>
    </w:rPr>
  </w:style>
  <w:style w:type="character" w:styleId="Char2">
    <w:name w:val=" Char2"/>
    <w:basedOn w:val="Char3"/>
    <w:qFormat/>
    <w:rPr>
      <w:iCs/>
      <w:sz w:val="24"/>
      <w:szCs w:val="28"/>
    </w:rPr>
  </w:style>
  <w:style w:type="character" w:styleId="TableTextCharCharChar">
    <w:name w:val="Table Text Char Char Char"/>
    <w:basedOn w:val="Absatz-Standardschriftart"/>
    <w:qFormat/>
    <w:rPr>
      <w:sz w:val="22"/>
      <w:szCs w:val="24"/>
      <w:lang w:val="en-US" w:bidi="ar-SA"/>
    </w:rPr>
  </w:style>
  <w:style w:type="character" w:styleId="PageNumber">
    <w:name w:val="page number"/>
    <w:basedOn w:val="Absatz-Standardschriftart"/>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TableTextChar">
    <w:name w:val="Table Text Char"/>
    <w:basedOn w:val="Absatz-Standardschriftart"/>
    <w:qFormat/>
    <w:rPr>
      <w:sz w:val="22"/>
      <w:szCs w:val="24"/>
      <w:lang w:val="en-US" w:bidi="ar-SA"/>
    </w:rPr>
  </w:style>
  <w:style w:type="character" w:styleId="Char1">
    <w:name w:val=" Char1"/>
    <w:basedOn w:val="Char2"/>
    <w:qFormat/>
    <w:rPr>
      <w:bCs/>
      <w:szCs w:val="26"/>
    </w:rPr>
  </w:style>
  <w:style w:type="character" w:styleId="Heading2Char">
    <w:name w:val="Heading 2 Char"/>
    <w:basedOn w:val="Absatz-Standardschriftart"/>
    <w:qFormat/>
    <w:rPr>
      <w:rFonts w:ascii="Times New Roman Bold;Times New Roman" w:hAnsi="Times New Roman Bold;Times New Roman" w:cs="Arial"/>
      <w:b/>
      <w:bCs/>
      <w:iCs/>
      <w:caps/>
      <w:kern w:val="2"/>
      <w:sz w:val="28"/>
      <w:szCs w:val="28"/>
      <w:lang w:val="en-US" w:bidi="ar-SA"/>
    </w:rPr>
  </w:style>
  <w:style w:type="character" w:styleId="CharChar1">
    <w:name w:val=" Char Char1"/>
    <w:basedOn w:val="Absatz-Standardschriftart"/>
    <w:qFormat/>
    <w:rPr>
      <w:rFonts w:ascii="Times New Roman Bold;Times New Roman" w:hAnsi="Times New Roman Bold;Times New Roman" w:cs="Arial"/>
      <w:b/>
      <w:bCs/>
      <w:caps/>
      <w:kern w:val="2"/>
      <w:sz w:val="28"/>
      <w:szCs w:val="32"/>
      <w:lang w:val="en-US" w:bidi="ar-SA"/>
    </w:rPr>
  </w:style>
  <w:style w:type="character" w:styleId="CharChar">
    <w:name w:val=" Char Char"/>
    <w:basedOn w:val="CharChar1"/>
    <w:qFormat/>
    <w:rPr>
      <w:iCs/>
      <w:szCs w:val="28"/>
    </w:rPr>
  </w:style>
  <w:style w:type="character" w:styleId="Kommentarzeichen">
    <w:name w:val="Kommentarzeichen"/>
    <w:basedOn w:val="Absatz-Standardschriftar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TOC4">
    <w:name w:val="toc 4"/>
    <w:basedOn w:val="Normal"/>
    <w:next w:val="Normal"/>
    <w:pPr>
      <w:spacing w:before="0" w:after="0"/>
      <w:ind w:hanging="0" w:start="660" w:end="0"/>
    </w:pPr>
    <w:rPr>
      <w:sz w:val="18"/>
      <w:szCs w:val="18"/>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9"/>
      </w:numPr>
      <w:spacing w:before="240" w:after="240"/>
    </w:pPr>
    <w:rPr/>
  </w:style>
  <w:style w:type="paragraph" w:styleId="TableLevel1Numbered">
    <w:name w:val="Table Level 1 Numbered"/>
    <w:basedOn w:val="Normal"/>
    <w:qFormat/>
    <w:pPr>
      <w:numPr>
        <w:ilvl w:val="0"/>
        <w:numId w:val="8"/>
      </w:numPr>
    </w:pPr>
    <w:rPr/>
  </w:style>
  <w:style w:type="paragraph" w:styleId="TableTextBullet">
    <w:name w:val="Table Text Bullet"/>
    <w:basedOn w:val="Normal"/>
    <w:qFormat/>
    <w:pPr>
      <w:numPr>
        <w:ilvl w:val="0"/>
        <w:numId w:val="16"/>
      </w:numPr>
    </w:pPr>
    <w:rPr/>
  </w:style>
  <w:style w:type="paragraph" w:styleId="Bullet1Table">
    <w:name w:val="Bullet 1 Table"/>
    <w:basedOn w:val="TableTextBullet"/>
    <w:next w:val="TableTextBullet"/>
    <w:qFormat/>
    <w:pPr/>
    <w:rPr/>
  </w:style>
  <w:style w:type="paragraph" w:styleId="Heading1Numbered">
    <w:name w:val="Heading 1 Numbered"/>
    <w:basedOn w:val="Normal"/>
    <w:next w:val="TableText"/>
    <w:qFormat/>
    <w:pPr>
      <w:keepNext w:val="true"/>
      <w:keepLines/>
      <w:spacing w:before="48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Heading3Numbered">
    <w:name w:val="Heading 3 Numbered"/>
    <w:basedOn w:val="Heading2Numbered"/>
    <w:next w:val="TableText"/>
    <w:qFormat/>
    <w:pPr>
      <w:numPr>
        <w:ilvl w:val="0"/>
        <w:numId w:val="13"/>
      </w:numPr>
    </w:pPr>
    <w:rPr/>
  </w:style>
  <w:style w:type="paragraph" w:styleId="Heading4Numbered">
    <w:name w:val="Heading 4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8"/>
      </w:numPr>
    </w:pPr>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0"/>
      </w:numPr>
      <w:spacing w:before="180" w:after="180"/>
    </w:pPr>
    <w:rPr/>
  </w:style>
  <w:style w:type="paragraph" w:styleId="BodyLevel2Numbered">
    <w:name w:val="Body Level 2 Numbered"/>
    <w:basedOn w:val="Normal"/>
    <w:qFormat/>
    <w:pPr>
      <w:numPr>
        <w:ilvl w:val="0"/>
        <w:numId w:val="10"/>
      </w:numPr>
      <w:spacing w:before="180" w:after="180"/>
    </w:pPr>
    <w:rPr/>
  </w:style>
  <w:style w:type="paragraph" w:styleId="BodyLevel3Numbered">
    <w:name w:val="Body Level 3 Numbered"/>
    <w:basedOn w:val="Normal"/>
    <w:qFormat/>
    <w:pPr>
      <w:numPr>
        <w:ilvl w:val="0"/>
        <w:numId w:val="10"/>
      </w:numPr>
      <w:spacing w:before="180" w:after="180"/>
    </w:pPr>
    <w:rPr/>
  </w:style>
  <w:style w:type="paragraph" w:styleId="BodyLevel4Numbered">
    <w:name w:val="Body Level 4 Numbered"/>
    <w:basedOn w:val="Normal"/>
    <w:qFormat/>
    <w:pPr>
      <w:numPr>
        <w:ilvl w:val="0"/>
        <w:numId w:val="10"/>
      </w:numPr>
      <w:spacing w:before="180" w:after="180"/>
    </w:pPr>
    <w:rPr/>
  </w:style>
  <w:style w:type="paragraph" w:styleId="BodyLevel1Text">
    <w:name w:val="Body Level 1 Text"/>
    <w:basedOn w:val="BodyText"/>
    <w:qFormat/>
    <w:pPr>
      <w:ind w:hanging="0" w:start="1620" w:end="0"/>
    </w:pPr>
    <w:rPr/>
  </w:style>
  <w:style w:type="paragraph" w:styleId="BodyLevel2Text">
    <w:name w:val="Body Level 2 Text"/>
    <w:basedOn w:val="BodyText"/>
    <w:qFormat/>
    <w:pPr>
      <w:ind w:hanging="0" w:start="2160" w:end="0"/>
    </w:pPr>
    <w:rPr/>
  </w:style>
  <w:style w:type="paragraph" w:styleId="BodyLevel3Text">
    <w:name w:val="Body Level 3 Text"/>
    <w:basedOn w:val="BodyText"/>
    <w:qFormat/>
    <w:pPr>
      <w:ind w:hanging="0" w:start="2700" w:end="0"/>
    </w:pPr>
    <w:rPr/>
  </w:style>
  <w:style w:type="paragraph" w:styleId="BodyLevel4Text">
    <w:name w:val="Body Level 4 Text"/>
    <w:basedOn w:val="BodyText"/>
    <w:qFormat/>
    <w:pPr>
      <w:ind w:hanging="0" w:start="3240" w:end="0"/>
    </w:pPr>
    <w:rPr/>
  </w:style>
  <w:style w:type="paragraph" w:styleId="Bullet1Level1">
    <w:name w:val="Bullet 1 Level 1"/>
    <w:basedOn w:val="Normal"/>
    <w:qFormat/>
    <w:pPr>
      <w:numPr>
        <w:ilvl w:val="0"/>
        <w:numId w:val="12"/>
      </w:numPr>
    </w:pPr>
    <w:rPr/>
  </w:style>
  <w:style w:type="paragraph" w:styleId="Level1Numbered">
    <w:name w:val="Level 1 Numbered"/>
    <w:basedOn w:val="Normal"/>
    <w:qFormat/>
    <w:pPr>
      <w:numPr>
        <w:ilvl w:val="0"/>
        <w:numId w:val="22"/>
      </w:numPr>
    </w:pPr>
    <w:rPr>
      <w:bCs/>
    </w:rPr>
  </w:style>
  <w:style w:type="paragraph" w:styleId="Sprechblasentext">
    <w:name w:val="Sprechblasentext"/>
    <w:basedOn w:val="Normal"/>
    <w:qFormat/>
    <w:pPr/>
    <w:rPr>
      <w:rFonts w:ascii="Tahoma" w:hAnsi="Tahoma" w:cs="Tahoma"/>
      <w:sz w:val="16"/>
      <w:szCs w:val="16"/>
    </w:rPr>
  </w:style>
  <w:style w:type="paragraph" w:styleId="TableTextCharChar">
    <w:name w:val="Table Text Char Char"/>
    <w:basedOn w:val="Normal"/>
    <w:qFormat/>
    <w:pPr/>
    <w:rPr/>
  </w:style>
  <w:style w:type="paragraph" w:styleId="StyleHeading1NumberedJustified">
    <w:name w:val="Style Heading 1 Numbered + Justified"/>
    <w:basedOn w:val="Heading1Numbered"/>
    <w:qFormat/>
    <w:pPr>
      <w:numPr>
        <w:ilvl w:val="0"/>
        <w:numId w:val="0"/>
      </w:numPr>
      <w:ind w:hanging="0" w:start="0" w:end="0"/>
      <w:jc w:val="both"/>
    </w:pPr>
    <w:rPr>
      <w:bCs/>
      <w:szCs w:val="20"/>
    </w:rPr>
  </w:style>
  <w:style w:type="paragraph" w:styleId="FootnoteText">
    <w:name w:val="footnote text"/>
    <w:basedOn w:val="Normal"/>
    <w:pPr>
      <w:keepLines/>
      <w:spacing w:before="0" w:after="240"/>
      <w:jc w:val="both"/>
    </w:pPr>
    <w:rPr>
      <w:sz w:val="20"/>
      <w:szCs w:val="20"/>
    </w:rPr>
  </w:style>
  <w:style w:type="paragraph" w:styleId="BodyTextBullet">
    <w:name w:val="Body Text Bullet"/>
    <w:basedOn w:val="Normal"/>
    <w:qFormat/>
    <w:pPr>
      <w:numPr>
        <w:ilvl w:val="0"/>
        <w:numId w:val="19"/>
      </w:numPr>
      <w:tabs>
        <w:tab w:val="clear" w:pos="720"/>
        <w:tab w:val="left" w:pos="1440" w:leader="none"/>
      </w:tabs>
      <w:ind w:hanging="360" w:start="1440" w:end="0"/>
    </w:pPr>
    <w:rPr/>
  </w:style>
  <w:style w:type="paragraph" w:styleId="BodyTextBulletL1">
    <w:name w:val="Body Text Bullet L1"/>
    <w:basedOn w:val="Normal"/>
    <w:qFormat/>
    <w:pPr>
      <w:numPr>
        <w:ilvl w:val="0"/>
        <w:numId w:val="20"/>
      </w:numPr>
      <w:ind w:hanging="360" w:start="0" w:end="0"/>
    </w:pPr>
    <w:rPr/>
  </w:style>
  <w:style w:type="paragraph" w:styleId="BodyTextBulletL2">
    <w:name w:val="Body Text Bullet L2"/>
    <w:basedOn w:val="Normal"/>
    <w:qFormat/>
    <w:pPr>
      <w:numPr>
        <w:ilvl w:val="0"/>
        <w:numId w:val="14"/>
      </w:numPr>
      <w:ind w:hanging="367" w:start="0" w:end="0"/>
    </w:pPr>
    <w:rPr/>
  </w:style>
  <w:style w:type="paragraph" w:styleId="BodyTextBulletL3">
    <w:name w:val="Body Text Bullet L3"/>
    <w:basedOn w:val="Normal"/>
    <w:qFormat/>
    <w:pPr>
      <w:numPr>
        <w:ilvl w:val="0"/>
        <w:numId w:val="23"/>
      </w:numPr>
      <w:ind w:hanging="360" w:start="0" w:end="0"/>
    </w:pPr>
    <w:rPr/>
  </w:style>
  <w:style w:type="paragraph" w:styleId="Datum">
    <w:name w:val="Datum"/>
    <w:basedOn w:val="Normal"/>
    <w:next w:val="Normal"/>
    <w:qFormat/>
    <w:pPr/>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1-NoTOC">
    <w:name w:val="Head 1 # - No TOC"/>
    <w:basedOn w:val="Heading1Numbered"/>
    <w:next w:val="BodyText"/>
    <w:qFormat/>
    <w:pPr>
      <w:numPr>
        <w:ilvl w:val="0"/>
        <w:numId w:val="15"/>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2-NoTOC">
    <w:name w:val="Head 2 # - No TOC"/>
    <w:basedOn w:val="Heading2Numbered"/>
    <w:next w:val="BodyText"/>
    <w:qFormat/>
    <w:pPr>
      <w:numPr>
        <w:ilvl w:val="0"/>
        <w:numId w:val="15"/>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3-NoTOC">
    <w:name w:val="Head 3 # - No TOC"/>
    <w:basedOn w:val="Heading3Numbered"/>
    <w:next w:val="BodyText"/>
    <w:qFormat/>
    <w:pPr>
      <w:numPr>
        <w:ilvl w:val="0"/>
        <w:numId w:val="15"/>
      </w:numPr>
    </w:pPr>
    <w:rPr/>
  </w:style>
  <w:style w:type="paragraph" w:styleId="Head4-NoTOCor">
    <w:name w:val="Head 4 - No TOC or #"/>
    <w:basedOn w:val="Heading4"/>
    <w:next w:val="TableText"/>
    <w:qFormat/>
    <w:pPr>
      <w:numPr>
        <w:ilvl w:val="0"/>
        <w:numId w:val="17"/>
      </w:numPr>
    </w:pPr>
    <w:rPr/>
  </w:style>
  <w:style w:type="paragraph" w:styleId="Head4-NoTOC">
    <w:name w:val="Head 4 # - No TOC"/>
    <w:basedOn w:val="Heading4Numbered"/>
    <w:next w:val="BodyText"/>
    <w:qFormat/>
    <w:pPr>
      <w:numPr>
        <w:ilvl w:val="0"/>
        <w:numId w:val="15"/>
      </w:numPr>
    </w:pPr>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TableLevel1-2Bullet">
    <w:name w:val="Table Level 1-2 Bullet"/>
    <w:basedOn w:val="Normal"/>
    <w:qFormat/>
    <w:pPr>
      <w:numPr>
        <w:ilvl w:val="0"/>
        <w:numId w:val="18"/>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3-4Bullet">
    <w:name w:val="Table Level 3-4 Bullet"/>
    <w:basedOn w:val="Normal"/>
    <w:qFormat/>
    <w:pPr>
      <w:numPr>
        <w:ilvl w:val="0"/>
        <w:numId w:val="11"/>
      </w:numPr>
    </w:pPr>
    <w:rPr/>
  </w:style>
  <w:style w:type="paragraph" w:styleId="TableLevel3-4Indent">
    <w:name w:val="Table Level 3-4 Indent"/>
    <w:basedOn w:val="Normal"/>
    <w:qFormat/>
    <w:pPr>
      <w:ind w:hanging="0" w:start="1296" w:end="0"/>
    </w:pPr>
    <w:rPr/>
  </w:style>
  <w:style w:type="paragraph" w:styleId="Bullet1Body">
    <w:name w:val="Bullet 1 Body"/>
    <w:basedOn w:val="BodyTextBullet"/>
    <w:next w:val="BodyTextBullet"/>
    <w:qFormat/>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3"/>
      </w:numPr>
    </w:pPr>
    <w:rPr>
      <w:b/>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CharCharCharChar">
    <w:name w:val=" Char Char Char Char"/>
    <w:basedOn w:val="Normal"/>
    <w:qFormat/>
    <w:pPr>
      <w:spacing w:lineRule="exact" w:line="240" w:before="0" w:after="160"/>
    </w:pPr>
    <w:rPr>
      <w:rFonts w:ascii="Verdana" w:hAnsi="Verdana" w:cs="Verdana"/>
      <w:sz w:val="20"/>
      <w:szCs w:val="20"/>
    </w:rPr>
  </w:style>
  <w:style w:type="paragraph" w:styleId="CharCharCharCharCharCharCharCharCharChar">
    <w:name w:val=" Char Char Char Char Char Char Char Char Char Char"/>
    <w:basedOn w:val="Normal"/>
    <w:qFormat/>
    <w:pPr>
      <w:spacing w:lineRule="exact" w:line="240" w:before="0" w:after="160"/>
      <w:jc w:val="both"/>
    </w:pPr>
    <w:rPr>
      <w:rFonts w:ascii="Arial" w:hAnsi="Arial" w:cs="Arial"/>
      <w:sz w:val="20"/>
      <w:szCs w:val="20"/>
    </w:rPr>
  </w:style>
  <w:style w:type="paragraph" w:styleId="TableRef1">
    <w:name w:val="Table Ref # +1"/>
    <w:basedOn w:val="TableRef"/>
    <w:qFormat/>
    <w:pPr/>
    <w:rPr>
      <w:lang w:val="en-GB"/>
    </w:rPr>
  </w:style>
  <w:style w:type="paragraph" w:styleId="TableRef11">
    <w:name w:val="Table Ref #+1"/>
    <w:basedOn w:val="TableRef"/>
    <w:qFormat/>
    <w:pPr/>
    <w:rPr>
      <w:lang w:val="en-GB"/>
    </w:rPr>
  </w:style>
  <w:style w:type="paragraph" w:styleId="StyleTableLevel1NumberedLeft102cm">
    <w:name w:val="Style Table Level 1 Numbered + Left:  102 cm"/>
    <w:basedOn w:val="TableLevel1Numbered"/>
    <w:qFormat/>
    <w:pPr>
      <w:numPr>
        <w:ilvl w:val="0"/>
        <w:numId w:val="21"/>
      </w:numPr>
    </w:pPr>
    <w:rPr>
      <w:szCs w:val="20"/>
    </w:rPr>
  </w:style>
  <w:style w:type="paragraph" w:styleId="Kommentartext">
    <w:name w:val="Kommentartext"/>
    <w:basedOn w:val="Normal"/>
    <w:qFormat/>
    <w:pPr/>
    <w:rPr>
      <w:sz w:val="20"/>
      <w:szCs w:val="20"/>
    </w:rPr>
  </w:style>
  <w:style w:type="paragraph" w:styleId="Kommentarthema">
    <w:name w:val="Kommentarthema"/>
    <w:basedOn w:val="Kommentartext"/>
    <w:next w:val="Kommentartext"/>
    <w:qFormat/>
    <w:pPr/>
    <w:rPr>
      <w:b/>
      <w:bCs/>
    </w:rPr>
  </w:style>
  <w:style w:type="paragraph" w:styleId="Char">
    <w:name w:val=" Char"/>
    <w:basedOn w:val="Normal"/>
    <w:qFormat/>
    <w:pPr>
      <w:spacing w:lineRule="exact" w:line="240" w:before="0" w:after="160"/>
      <w:jc w:val="both"/>
    </w:pPr>
    <w:rPr>
      <w:rFonts w:ascii="Arial" w:hAnsi="Arial" w:cs="Arial"/>
      <w:sz w:val="20"/>
      <w:szCs w:val="20"/>
    </w:rPr>
  </w:style>
  <w:style w:type="paragraph" w:styleId="Char1CharCharChar">
    <w:name w:val=" Char1 Char Char Char"/>
    <w:basedOn w:val="Normal"/>
    <w:qFormat/>
    <w:pPr>
      <w:spacing w:lineRule="exact" w:line="240" w:before="0" w:after="160"/>
      <w:jc w:val="both"/>
    </w:pPr>
    <w:rPr>
      <w:rFonts w:ascii="Arial" w:hAnsi="Arial" w:cs="Arial"/>
      <w:sz w:val="20"/>
      <w:szCs w:val="20"/>
    </w:rPr>
  </w:style>
  <w:style w:type="paragraph" w:styleId="StyleTableTextCentered">
    <w:name w:val="Style Table Text + Centered"/>
    <w:basedOn w:val="TableText"/>
    <w:qFormat/>
    <w:pPr>
      <w:jc w:val="center"/>
    </w:pPr>
    <w:rPr>
      <w:szCs w:val="20"/>
    </w:rPr>
  </w:style>
  <w:style w:type="paragraph" w:styleId="Legal2L4">
    <w:name w:val="Legal2_L4"/>
    <w:basedOn w:val="Normal"/>
    <w:next w:val="BodyText"/>
    <w:qFormat/>
    <w:pPr>
      <w:tabs>
        <w:tab w:val="clear" w:pos="720"/>
        <w:tab w:val="left" w:pos="2160" w:leader="none"/>
        <w:tab w:val="left" w:pos="2520" w:leader="none"/>
      </w:tabs>
      <w:spacing w:before="0" w:after="240"/>
      <w:ind w:firstLine="2160" w:start="2160" w:end="0"/>
      <w:jc w:val="both"/>
      <w:outlineLvl w:val="3"/>
    </w:pPr>
    <w:rPr>
      <w:sz w:val="24"/>
    </w:rPr>
  </w:style>
  <w:style w:type="paragraph" w:styleId="Dokumentstruktur">
    <w:name w:val="Dokumentstruktur"/>
    <w:basedOn w:val="Normal"/>
    <w:qFormat/>
    <w:pPr>
      <w:shd w:fill="000080" w:val="clear"/>
    </w:pPr>
    <w:rPr>
      <w:rFonts w:ascii="Tahoma" w:hAnsi="Tahoma" w:cs="Tahoma"/>
    </w:rPr>
  </w:style>
  <w:style w:type="paragraph" w:styleId="Char1CharCharCharCharChar">
    <w:name w:val="Char1 Char Char Char Char Char"/>
    <w:basedOn w:val="Normal"/>
    <w:qFormat/>
    <w:pPr>
      <w:spacing w:lineRule="exact" w:line="240" w:before="0" w:after="160"/>
      <w:jc w:val="both"/>
    </w:pPr>
    <w:rPr>
      <w:rFonts w:ascii="Arial" w:hAnsi="Arial" w:cs="Arial"/>
      <w:sz w:val="20"/>
      <w:szCs w:val="20"/>
    </w:rPr>
  </w:style>
  <w:style w:type="paragraph" w:styleId="Formatvorlage1">
    <w:name w:val="Formatvorlage1"/>
    <w:basedOn w:val="Heading1"/>
    <w:qFormat/>
    <w:pPr>
      <w:numPr>
        <w:ilvl w:val="0"/>
        <w:numId w:val="17"/>
      </w:numPr>
    </w:pPr>
    <w:rPr/>
  </w:style>
  <w:style w:type="paragraph" w:styleId="Formatvorlage2">
    <w:name w:val="Formatvorlage2"/>
    <w:basedOn w:val="Heading2"/>
    <w:qFormat/>
    <w:pPr>
      <w:keepNext w:val="true"/>
      <w:numPr>
        <w:ilvl w:val="0"/>
        <w:numId w:val="17"/>
      </w:numPr>
      <w:ind w:hanging="505" w:start="505"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1.wmf"/><Relationship Id="rId3"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2007-01-29T19:58:00Z</dcterms:created>
  <dc:creator>Bob Szambelan</dc:creator>
  <dc:description/>
  <cp:keywords>General Accounting</cp:keywords>
  <dc:language>en-US</dc:language>
  <cp:lastModifiedBy>Wenger Plattner</cp:lastModifiedBy>
  <cp:lastPrinted>2005-10-31T15:43:00Z</cp:lastPrinted>
  <dcterms:modified xsi:type="dcterms:W3CDTF">2007-01-29T19:58:00Z</dcterms:modified>
  <cp:revision>2</cp:revision>
  <dc:subject>E2.8 - General Accounting</dc:subject>
  <dc:title>RFP8 - F&amp;A SOW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G Woodstrom</vt:lpwstr>
  </property>
  <property fmtid="{D5CDD505-2E9C-101B-9397-08002B2CF9AE}" pid="3" name="Office">
    <vt:lpwstr>Houston, TX</vt:lpwstr>
  </property>
  <property fmtid="{D5CDD505-2E9C-101B-9397-08002B2CF9AE}" pid="4" name="Order">
    <vt:lpwstr>16000.0000000000</vt:lpwstr>
  </property>
  <property fmtid="{D5CDD505-2E9C-101B-9397-08002B2CF9AE}" pid="5" name="Project">
    <vt:lpwstr>RFP 8</vt:lpwstr>
  </property>
  <property fmtid="{D5CDD505-2E9C-101B-9397-08002B2CF9AE}" pid="6" name="Status">
    <vt:lpwstr>Draft</vt:lpwstr>
  </property>
  <property fmtid="{D5CDD505-2E9C-101B-9397-08002B2CF9AE}" pid="7" name="TPI_RefPrefix">
    <vt:lpwstr>E2.2 - A</vt:lpwstr>
  </property>
</Properties>
</file>