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before="240" w:after="240"/>
        <w:rPr>
          <w:rFonts w:ascii="Arial" w:hAnsi="Arial" w:cs="Arial"/>
        </w:rPr>
      </w:pPr>
      <w:r>
        <w:rPr>
          <w:rFonts w:cs="Arial" w:ascii="Arial" w:hAnsi="Arial"/>
        </w:rPr>
        <w:t>GlobalPharma</w:t>
      </w:r>
    </w:p>
    <w:p>
      <w:pPr>
        <w:pStyle w:val="Heading"/>
        <w:rPr>
          <w:rFonts w:ascii="Arial" w:hAnsi="Arial" w:cs="Arial"/>
        </w:rPr>
      </w:pPr>
      <w:r>
        <w:rPr>
          <w:rFonts w:cs="Arial" w:ascii="Arial" w:hAnsi="Arial"/>
        </w:rPr>
      </w:r>
    </w:p>
    <w:p>
      <w:pPr>
        <w:pStyle w:val="Heading"/>
        <w:rPr>
          <w:rFonts w:ascii="Arial" w:hAnsi="Arial" w:cs="Arial"/>
        </w:rPr>
      </w:pPr>
      <w:r>
        <w:rPr>
          <w:rFonts w:cs="Arial" w:ascii="Arial" w:hAnsi="Arial"/>
        </w:rPr>
        <w:t>Exhibit 2.8</w:t>
      </w:r>
    </w:p>
    <w:p>
      <w:pPr>
        <w:pStyle w:val="Heading"/>
        <w:rPr>
          <w:rFonts w:ascii="Arial" w:hAnsi="Arial" w:cs="Arial"/>
        </w:rPr>
      </w:pPr>
      <w:r>
        <w:rPr>
          <w:rFonts w:cs="Arial" w:ascii="Arial" w:hAnsi="Arial"/>
        </w:rPr>
        <w:t>Statement of work</w:t>
      </w:r>
    </w:p>
    <w:p>
      <w:pPr>
        <w:pStyle w:val="Heading"/>
        <w:rPr>
          <w:rFonts w:ascii="Arial" w:hAnsi="Arial" w:cs="Arial"/>
        </w:rPr>
      </w:pPr>
      <w:r>
        <w:rPr>
          <w:rFonts w:cs="Arial" w:ascii="Arial" w:hAnsi="Arial"/>
        </w:rPr>
        <w:t>Finance &amp; Accounting BUSINESS PROCESS SERVICES</w:t>
        <w:br/>
        <w:t>GlobalPharma PHARMA’s Internal controls Compliance Support</w:t>
      </w:r>
    </w:p>
    <w:p>
      <w:pPr>
        <w:pStyle w:val="Heading"/>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Heading"/>
        <w:rPr>
          <w:rFonts w:ascii="Arial" w:hAnsi="Arial" w:cs="Arial"/>
        </w:rPr>
      </w:pPr>
      <w:r>
        <w:rPr>
          <w:rFonts w:cs="Arial" w:ascii="Arial" w:hAnsi="Arial"/>
        </w:rPr>
      </w:r>
    </w:p>
    <w:p>
      <w:pPr>
        <w:pStyle w:val="Heading"/>
        <w:rPr>
          <w:rFonts w:ascii="Arial" w:hAnsi="Arial" w:cs="Arial"/>
        </w:rPr>
      </w:pPr>
      <w:r>
        <w:rPr>
          <w:rFonts w:cs="Arial" w:ascii="Arial" w:hAnsi="Arial"/>
        </w:rPr>
      </w:r>
    </w:p>
    <w:p>
      <w:pPr>
        <w:pStyle w:val="Heading"/>
        <w:rPr>
          <w:rFonts w:ascii="Arial" w:hAnsi="Arial" w:cs="Arial"/>
        </w:rPr>
      </w:pPr>
      <w:r>
        <w:rPr>
          <w:rFonts w:cs="Arial" w:ascii="Arial" w:hAnsi="Arial"/>
        </w:rPr>
      </w:r>
    </w:p>
    <w:p>
      <w:pPr>
        <w:pStyle w:val="Heading"/>
        <w:rPr>
          <w:rFonts w:ascii="Arial" w:hAnsi="Arial" w:cs="Arial"/>
        </w:rPr>
      </w:pPr>
      <w:r>
        <w:rPr>
          <w:rFonts w:cs="Arial" w:ascii="Arial" w:hAnsi="Arial"/>
        </w:rPr>
      </w:r>
    </w:p>
    <w:p>
      <w:pPr>
        <w:pStyle w:val="Heading"/>
        <w:rPr>
          <w:rFonts w:ascii="Arial" w:hAnsi="Arial" w:cs="Arial"/>
        </w:rPr>
      </w:pPr>
      <w:r>
        <w:rPr>
          <w:rFonts w:cs="Arial" w:ascii="Arial" w:hAnsi="Arial"/>
        </w:rPr>
      </w:r>
    </w:p>
    <w:p>
      <w:pPr>
        <w:pStyle w:val="Heading"/>
        <w:rPr>
          <w:rFonts w:ascii="Arial" w:hAnsi="Arial" w:cs="Arial"/>
        </w:rPr>
      </w:pPr>
      <w:r>
        <w:rPr>
          <w:rFonts w:cs="Arial" w:ascii="Arial" w:hAnsi="Arial"/>
        </w:rPr>
      </w:r>
    </w:p>
    <w:tbl>
      <w:tblPr>
        <w:tblW w:w="10260" w:type="dxa"/>
        <w:jc w:val="start"/>
        <w:tblInd w:w="288" w:type="dxa"/>
        <w:tblLayout w:type="fixed"/>
        <w:tblCellMar>
          <w:top w:w="0" w:type="dxa"/>
          <w:start w:w="108" w:type="dxa"/>
          <w:bottom w:w="0" w:type="dxa"/>
          <w:end w:w="108" w:type="dxa"/>
        </w:tblCellMar>
      </w:tblPr>
      <w:tblGrid>
        <w:gridCol w:w="10260"/>
      </w:tblGrid>
      <w:tr>
        <w:trPr/>
        <w:tc>
          <w:tcPr>
            <w:tcW w:w="1026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before="120" w:after="120"/>
              <w:ind w:start="72" w:end="0"/>
              <w:jc w:val="both"/>
              <w:rPr/>
            </w:pPr>
            <w:r>
              <w:rPr/>
            </w:r>
          </w:p>
          <w:p>
            <w:pPr>
              <w:pStyle w:val="Normal"/>
              <w:ind w:start="72" w:end="0"/>
              <w:jc w:val="both"/>
              <w:rPr/>
            </w:pPr>
            <w:r>
              <w:rPr>
                <w:rFonts w:cs="Arial" w:ascii="Arial" w:hAnsi="Arial"/>
                <w:sz w:val="24"/>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both"/>
              <w:rPr>
                <w:rFonts w:ascii="Arial" w:hAnsi="Arial" w:cs="Arial"/>
                <w:sz w:val="24"/>
              </w:rPr>
            </w:pPr>
            <w:r>
              <w:rPr>
                <w:rFonts w:cs="Arial" w:ascii="Arial" w:hAnsi="Arial"/>
                <w:sz w:val="24"/>
              </w:rPr>
            </w:r>
          </w:p>
        </w:tc>
      </w:tr>
    </w:tbl>
    <w:p>
      <w:pPr>
        <w:pStyle w:val="Normal"/>
        <w:jc w:val="both"/>
        <w:rPr>
          <w:lang w:val="en-GB"/>
        </w:rPr>
      </w:pPr>
      <w:r>
        <w:rPr>
          <w:lang w:val="en-GB"/>
        </w:rPr>
      </w:r>
    </w:p>
    <w:p>
      <w:pPr>
        <w:pStyle w:val="Heading"/>
        <w:rPr>
          <w:lang w:val="en-GB"/>
        </w:rPr>
      </w:pPr>
      <w:r>
        <w:rPr>
          <w:lang w:val="en-GB"/>
        </w:rPr>
      </w:r>
    </w:p>
    <w:p>
      <w:pPr>
        <w:pStyle w:val="Heading"/>
        <w:rPr>
          <w:sz w:val="22"/>
          <w:szCs w:val="20"/>
        </w:rPr>
      </w:pPr>
      <w:r>
        <w:rPr>
          <w:sz w:val="22"/>
          <w:szCs w:val="20"/>
        </w:rPr>
        <w:t>Table of Contents</w:t>
      </w:r>
    </w:p>
    <w:sdt>
      <w:sdtPr>
        <w:docPartObj>
          <w:docPartGallery w:val="Table of Contents"/>
          <w:docPartUnique w:val="true"/>
        </w:docPartObj>
      </w:sdtPr>
      <w:sdtContent>
        <w:p>
          <w:pPr>
            <w:pStyle w:val="TOC1"/>
            <w:tabs>
              <w:tab w:val="clear" w:pos="720"/>
              <w:tab w:val="left" w:pos="440" w:leader="none"/>
              <w:tab w:val="right" w:pos="10506" w:leader="dot"/>
            </w:tabs>
            <w:rPr>
              <w:b w:val="false"/>
              <w:bCs w:val="false"/>
              <w:caps w:val="false"/>
              <w:smallCaps w:val="false"/>
              <w:sz w:val="24"/>
              <w:szCs w:val="24"/>
              <w:lang w:val="de-CH" w:eastAsia="en-US"/>
            </w:rPr>
          </w:pPr>
          <w:r>
            <w:fldChar w:fldCharType="begin"/>
          </w:r>
          <w:r>
            <w:rPr>
              <w:rStyle w:val="IndexLink"/>
              <w:smallCaps/>
              <w:lang w:val="en-US" w:eastAsia="en-US"/>
            </w:rPr>
            <w:instrText xml:space="preserve"> TOC \h \z \t "Formatvorlage1;1" </w:instrText>
          </w:r>
          <w:r>
            <w:rPr>
              <w:rStyle w:val="IndexLink"/>
              <w:smallCaps/>
              <w:lang w:val="en-US" w:eastAsia="en-US"/>
            </w:rPr>
            <w:fldChar w:fldCharType="separate"/>
          </w:r>
          <w:hyperlink w:anchor="__RefHeading___Toc157773610">
            <w:r>
              <w:rPr>
                <w:rStyle w:val="IndexLink"/>
                <w:smallCaps/>
                <w:lang w:val="en-US" w:eastAsia="en-US"/>
              </w:rPr>
              <w:t>1.</w:t>
            </w:r>
            <w:r>
              <w:rPr>
                <w:rStyle w:val="IndexLink"/>
                <w:b w:val="false"/>
                <w:bCs w:val="false"/>
                <w:caps w:val="false"/>
                <w:smallCaps w:val="false"/>
                <w:sz w:val="24"/>
                <w:szCs w:val="24"/>
                <w:lang w:val="de-CH" w:eastAsia="en-US"/>
              </w:rPr>
              <w:tab/>
            </w:r>
            <w:r>
              <w:rPr>
                <w:rStyle w:val="IndexLink"/>
                <w:smallCaps/>
                <w:lang w:val="en-US" w:eastAsia="en-US"/>
              </w:rPr>
              <w:t>Introduction</w:t>
              <w:tab/>
              <w:t>3</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611">
            <w:r>
              <w:rPr>
                <w:rStyle w:val="IndexLink"/>
                <w:lang w:val="en-US" w:eastAsia="en-US"/>
              </w:rPr>
              <w:t>2.</w:t>
            </w:r>
            <w:r>
              <w:rPr>
                <w:rStyle w:val="IndexLink"/>
                <w:b w:val="false"/>
                <w:bCs w:val="false"/>
                <w:caps w:val="false"/>
                <w:smallCaps w:val="false"/>
                <w:sz w:val="24"/>
                <w:szCs w:val="24"/>
                <w:lang w:val="de-CH" w:eastAsia="en-US"/>
              </w:rPr>
              <w:tab/>
            </w:r>
            <w:r>
              <w:rPr>
                <w:rStyle w:val="IndexLink"/>
                <w:lang w:val="en-US" w:eastAsia="en-US"/>
              </w:rPr>
              <w:t>Policies and Procedures</w:t>
              <w:tab/>
              <w:t>3</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612">
            <w:r>
              <w:rPr>
                <w:rStyle w:val="IndexLink"/>
                <w:lang w:val="en-US" w:eastAsia="en-US"/>
              </w:rPr>
              <w:t>3.</w:t>
            </w:r>
            <w:r>
              <w:rPr>
                <w:rStyle w:val="IndexLink"/>
                <w:b w:val="false"/>
                <w:bCs w:val="false"/>
                <w:caps w:val="false"/>
                <w:smallCaps w:val="false"/>
                <w:sz w:val="24"/>
                <w:szCs w:val="24"/>
                <w:lang w:val="de-CH" w:eastAsia="en-US"/>
              </w:rPr>
              <w:tab/>
            </w:r>
            <w:r>
              <w:rPr>
                <w:rStyle w:val="IndexLink"/>
                <w:lang w:val="en-US" w:eastAsia="en-US"/>
              </w:rPr>
              <w:t>Initial Transfer of In-Scope Processes</w:t>
              <w:tab/>
              <w:t>4</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613">
            <w:r>
              <w:rPr>
                <w:rStyle w:val="IndexLink"/>
                <w:lang w:val="en-US" w:eastAsia="en-US"/>
              </w:rPr>
              <w:t>4.</w:t>
            </w:r>
            <w:r>
              <w:rPr>
                <w:rStyle w:val="IndexLink"/>
                <w:b w:val="false"/>
                <w:bCs w:val="false"/>
                <w:caps w:val="false"/>
                <w:smallCaps w:val="false"/>
                <w:sz w:val="24"/>
                <w:szCs w:val="24"/>
                <w:lang w:val="de-CH" w:eastAsia="en-US"/>
              </w:rPr>
              <w:tab/>
            </w:r>
            <w:r>
              <w:rPr>
                <w:rStyle w:val="IndexLink"/>
                <w:lang w:val="en-US" w:eastAsia="en-US"/>
              </w:rPr>
              <w:t>Business Level Risk Assessment</w:t>
              <w:tab/>
              <w:t>4</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614">
            <w:r>
              <w:rPr>
                <w:rStyle w:val="IndexLink"/>
                <w:lang w:val="en-US" w:eastAsia="en-US"/>
              </w:rPr>
              <w:t>5.</w:t>
            </w:r>
            <w:r>
              <w:rPr>
                <w:rStyle w:val="IndexLink"/>
                <w:b w:val="false"/>
                <w:bCs w:val="false"/>
                <w:caps w:val="false"/>
                <w:smallCaps w:val="false"/>
                <w:sz w:val="24"/>
                <w:szCs w:val="24"/>
                <w:lang w:val="de-CH" w:eastAsia="en-US"/>
              </w:rPr>
              <w:tab/>
            </w:r>
            <w:r>
              <w:rPr>
                <w:rStyle w:val="IndexLink"/>
                <w:lang w:val="en-US" w:eastAsia="en-US"/>
              </w:rPr>
              <w:t>Control Assessment</w:t>
              <w:tab/>
              <w:t>5</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615">
            <w:r>
              <w:rPr>
                <w:rStyle w:val="IndexLink"/>
                <w:lang w:val="en-US" w:eastAsia="en-US"/>
              </w:rPr>
              <w:t>6.</w:t>
            </w:r>
            <w:r>
              <w:rPr>
                <w:rStyle w:val="IndexLink"/>
                <w:b w:val="false"/>
                <w:bCs w:val="false"/>
                <w:caps w:val="false"/>
                <w:smallCaps w:val="false"/>
                <w:sz w:val="24"/>
                <w:szCs w:val="24"/>
                <w:lang w:val="de-CH" w:eastAsia="en-US"/>
              </w:rPr>
              <w:tab/>
            </w:r>
            <w:r>
              <w:rPr>
                <w:rStyle w:val="IndexLink"/>
                <w:lang w:val="en-US" w:eastAsia="en-US"/>
              </w:rPr>
              <w:t>Internal Control (SOX 404) Testing</w:t>
              <w:tab/>
              <w:t>6</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616">
            <w:r>
              <w:rPr>
                <w:rStyle w:val="IndexLink"/>
                <w:lang w:val="en-US" w:eastAsia="en-US"/>
              </w:rPr>
              <w:t>7.</w:t>
            </w:r>
            <w:r>
              <w:rPr>
                <w:rStyle w:val="IndexLink"/>
                <w:b w:val="false"/>
                <w:bCs w:val="false"/>
                <w:caps w:val="false"/>
                <w:smallCaps w:val="false"/>
                <w:sz w:val="24"/>
                <w:szCs w:val="24"/>
                <w:lang w:val="de-CH" w:eastAsia="en-US"/>
              </w:rPr>
              <w:tab/>
            </w:r>
            <w:r>
              <w:rPr>
                <w:rStyle w:val="IndexLink"/>
                <w:lang w:val="en-US" w:eastAsia="en-US"/>
              </w:rPr>
              <w:t>SAS 70 Type II Report</w:t>
              <w:tab/>
              <w:t>7</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617">
            <w:r>
              <w:rPr>
                <w:rStyle w:val="IndexLink"/>
                <w:lang w:val="en-US" w:eastAsia="en-US"/>
              </w:rPr>
              <w:t>8.</w:t>
            </w:r>
            <w:r>
              <w:rPr>
                <w:rStyle w:val="IndexLink"/>
                <w:b w:val="false"/>
                <w:bCs w:val="false"/>
                <w:caps w:val="false"/>
                <w:smallCaps w:val="false"/>
                <w:sz w:val="24"/>
                <w:szCs w:val="24"/>
                <w:lang w:val="de-CH" w:eastAsia="en-US"/>
              </w:rPr>
              <w:tab/>
            </w:r>
            <w:r>
              <w:rPr>
                <w:rStyle w:val="IndexLink"/>
                <w:lang w:val="en-US" w:eastAsia="en-US"/>
              </w:rPr>
              <w:t>Ongoing Internal Control Support</w:t>
              <w:tab/>
              <w:t>8</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618">
            <w:r>
              <w:rPr>
                <w:rStyle w:val="IndexLink"/>
                <w:lang w:val="en-US" w:eastAsia="en-US"/>
              </w:rPr>
              <w:t>9.</w:t>
            </w:r>
            <w:r>
              <w:rPr>
                <w:rStyle w:val="IndexLink"/>
                <w:b w:val="false"/>
                <w:bCs w:val="false"/>
                <w:caps w:val="false"/>
                <w:smallCaps w:val="false"/>
                <w:sz w:val="24"/>
                <w:szCs w:val="24"/>
                <w:lang w:val="de-CH" w:eastAsia="en-US"/>
              </w:rPr>
              <w:tab/>
            </w:r>
            <w:r>
              <w:rPr>
                <w:rStyle w:val="IndexLink"/>
                <w:lang w:val="en-US" w:eastAsia="en-US"/>
              </w:rPr>
              <w:t>Representations</w:t>
              <w:tab/>
              <w:t>8</w:t>
            </w:r>
          </w:hyperlink>
        </w:p>
        <w:p>
          <w:pPr>
            <w:pStyle w:val="TOC1"/>
            <w:tabs>
              <w:tab w:val="clear" w:pos="720"/>
              <w:tab w:val="left" w:pos="660" w:leader="none"/>
              <w:tab w:val="right" w:pos="10506" w:leader="dot"/>
            </w:tabs>
            <w:rPr>
              <w:b w:val="false"/>
              <w:bCs w:val="false"/>
              <w:caps w:val="false"/>
              <w:smallCaps w:val="false"/>
              <w:sz w:val="24"/>
              <w:szCs w:val="24"/>
              <w:lang w:val="de-CH" w:eastAsia="en-US"/>
            </w:rPr>
          </w:pPr>
          <w:hyperlink w:anchor="__RefHeading___Toc157773619">
            <w:r>
              <w:rPr>
                <w:rStyle w:val="IndexLink"/>
                <w:lang w:val="en-US" w:eastAsia="en-US"/>
              </w:rPr>
              <w:t>10.</w:t>
            </w:r>
            <w:r>
              <w:rPr>
                <w:rStyle w:val="IndexLink"/>
                <w:b w:val="false"/>
                <w:bCs w:val="false"/>
                <w:caps w:val="false"/>
                <w:smallCaps w:val="false"/>
                <w:sz w:val="24"/>
                <w:szCs w:val="24"/>
                <w:lang w:val="de-CH" w:eastAsia="en-US"/>
              </w:rPr>
              <w:tab/>
            </w:r>
            <w:r>
              <w:rPr>
                <w:rStyle w:val="IndexLink"/>
                <w:lang w:val="en-US" w:eastAsia="en-US"/>
              </w:rPr>
              <w:t>General</w:t>
              <w:tab/>
              <w:t>9</w:t>
            </w:r>
          </w:hyperlink>
        </w:p>
        <w:p>
          <w:pPr>
            <w:pStyle w:val="TOC1"/>
            <w:tabs>
              <w:tab w:val="clear" w:pos="720"/>
              <w:tab w:val="left" w:pos="660" w:leader="none"/>
              <w:tab w:val="right" w:pos="10506" w:leader="dot"/>
            </w:tabs>
            <w:rPr>
              <w:b w:val="false"/>
              <w:bCs w:val="false"/>
              <w:caps w:val="false"/>
              <w:smallCaps w:val="false"/>
              <w:sz w:val="24"/>
              <w:szCs w:val="24"/>
              <w:lang w:val="de-CH" w:eastAsia="en-US"/>
            </w:rPr>
          </w:pPr>
          <w:hyperlink w:anchor="__RefHeading___Toc157773620">
            <w:r>
              <w:rPr>
                <w:rStyle w:val="IndexLink"/>
                <w:lang w:val="en-US" w:eastAsia="en-US"/>
              </w:rPr>
              <w:t>11.</w:t>
            </w:r>
            <w:r>
              <w:rPr>
                <w:rStyle w:val="IndexLink"/>
                <w:b w:val="false"/>
                <w:bCs w:val="false"/>
                <w:caps w:val="false"/>
                <w:smallCaps w:val="false"/>
                <w:sz w:val="24"/>
                <w:szCs w:val="24"/>
                <w:lang w:val="de-CH" w:eastAsia="en-US"/>
              </w:rPr>
              <w:tab/>
            </w:r>
            <w:r>
              <w:rPr>
                <w:rStyle w:val="IndexLink"/>
                <w:lang w:val="en-US" w:eastAsia="en-US"/>
              </w:rPr>
              <w:t>Third Party Material</w:t>
              <w:tab/>
              <w:t>9</w:t>
            </w:r>
          </w:hyperlink>
        </w:p>
        <w:p>
          <w:pPr>
            <w:pStyle w:val="TOC1"/>
            <w:tabs>
              <w:tab w:val="clear" w:pos="720"/>
              <w:tab w:val="left" w:pos="660" w:leader="none"/>
              <w:tab w:val="right" w:pos="10506" w:leader="dot"/>
            </w:tabs>
            <w:rPr>
              <w:sz w:val="24"/>
              <w:szCs w:val="24"/>
              <w:lang w:val="de-CH" w:eastAsia="en-US"/>
            </w:rPr>
          </w:pPr>
          <w:hyperlink w:anchor="__RefHeading___Toc157773621">
            <w:r>
              <w:rPr>
                <w:rStyle w:val="IndexLink"/>
                <w:b w:val="false"/>
                <w:bCs w:val="false"/>
                <w:caps w:val="false"/>
                <w:smallCaps w:val="false"/>
                <w:lang w:val="en-US" w:eastAsia="en-US"/>
              </w:rPr>
              <w:t>12.</w:t>
            </w:r>
            <w:r>
              <w:rPr>
                <w:rStyle w:val="IndexLink"/>
                <w:b w:val="false"/>
                <w:bCs w:val="false"/>
                <w:caps w:val="false"/>
                <w:smallCaps w:val="false"/>
                <w:sz w:val="24"/>
                <w:szCs w:val="24"/>
                <w:lang w:val="de-CH" w:eastAsia="en-US"/>
              </w:rPr>
              <w:tab/>
            </w:r>
            <w:r>
              <w:rPr>
                <w:rStyle w:val="IndexLink"/>
                <w:b w:val="false"/>
                <w:bCs w:val="false"/>
                <w:caps w:val="false"/>
                <w:smallCaps w:val="false"/>
                <w:lang w:val="en-US" w:eastAsia="en-US"/>
              </w:rPr>
              <w:t>IP Rights Listing</w:t>
              <w:tab/>
              <w:t>10</w:t>
            </w:r>
          </w:hyperlink>
          <w:r>
            <w:rPr>
              <w:rStyle w:val="IndexLink"/>
              <w:smallCaps w:val="false"/>
              <w:caps w:val="false"/>
              <w:b w:val="false"/>
              <w:bCs w:val="false"/>
              <w:lang w:val="en-US" w:eastAsia="en-US"/>
            </w:rPr>
            <w:fldChar w:fldCharType="end"/>
          </w:r>
        </w:p>
      </w:sdtContent>
    </w:sdt>
    <w:p>
      <w:pPr>
        <w:pStyle w:val="Normal"/>
        <w:tabs>
          <w:tab w:val="left" w:pos="360" w:leader="none"/>
          <w:tab w:val="left" w:pos="680" w:leader="none"/>
          <w:tab w:val="left" w:pos="720" w:leader="none"/>
        </w:tabs>
        <w:jc w:val="both"/>
        <w:rPr>
          <w:b/>
          <w:bCs/>
          <w:caps/>
          <w:sz w:val="20"/>
          <w:szCs w:val="20"/>
          <w:lang w:val="de-CH" w:eastAsia="en-US"/>
        </w:rPr>
      </w:pPr>
      <w:r>
        <w:rPr>
          <w:b/>
          <w:bCs/>
          <w:caps/>
          <w:sz w:val="20"/>
          <w:szCs w:val="20"/>
          <w:lang w:val="de-CH" w:eastAsia="en-US"/>
        </w:rPr>
      </w:r>
      <w:r>
        <w:br w:type="page"/>
      </w:r>
    </w:p>
    <w:p>
      <w:pPr>
        <w:pStyle w:val="Formatvorlage1"/>
        <w:numPr>
          <w:ilvl w:val="0"/>
          <w:numId w:val="18"/>
        </w:numPr>
        <w:ind w:hanging="0" w:start="0"/>
        <w:rPr/>
      </w:pPr>
      <w:bookmarkStart w:id="0" w:name="__RefHeading___Toc157773610"/>
      <w:bookmarkEnd w:id="0"/>
      <w:r>
        <w:rPr/>
        <w:t>Introduction</w:t>
      </w:r>
    </w:p>
    <w:p>
      <w:pPr>
        <w:pStyle w:val="Heading2"/>
        <w:numPr>
          <w:ilvl w:val="1"/>
          <w:numId w:val="18"/>
        </w:numPr>
        <w:ind w:hanging="0" w:start="0"/>
        <w:rPr/>
      </w:pPr>
      <w:r>
        <w:rPr/>
        <w:t>General</w:t>
      </w:r>
    </w:p>
    <w:p>
      <w:pPr>
        <w:pStyle w:val="Heading3"/>
        <w:numPr>
          <w:ilvl w:val="2"/>
          <w:numId w:val="18"/>
        </w:numPr>
        <w:ind w:hanging="0" w:start="0"/>
        <w:rPr/>
      </w:pPr>
      <w:r>
        <w:rPr/>
        <w:t>The Service Provider’s responsibilities include:</w:t>
      </w:r>
    </w:p>
    <w:p>
      <w:pPr>
        <w:pStyle w:val="Heading3"/>
        <w:numPr>
          <w:ilvl w:val="2"/>
          <w:numId w:val="18"/>
        </w:numPr>
        <w:ind w:hanging="0" w:start="0"/>
        <w:rPr/>
      </w:pPr>
      <w:r>
        <w:rPr/>
        <w:t>Perform all services, tasks, obligations and responsibilities described in this Exhibit at or above applicable Service Levels and in accordance with the terms of the Agreement as of the Commencement Date unless otherwise specified.</w:t>
      </w:r>
    </w:p>
    <w:p>
      <w:pPr>
        <w:pStyle w:val="Heading3"/>
        <w:numPr>
          <w:ilvl w:val="2"/>
          <w:numId w:val="18"/>
        </w:numPr>
        <w:ind w:hanging="0" w:start="0"/>
        <w:rPr/>
      </w:pPr>
      <w:r>
        <w:rPr/>
        <w:t xml:space="preserve">As part of the Services and the Base Charges, and at no additional charge, fee, cost or expense to GlobalPharma, the Service Provider shall provide all of the services described in this Exhibit including all in-scope activities performed by Affected Employees as detailed in the policies and procedures for each process. </w:t>
      </w:r>
    </w:p>
    <w:p>
      <w:pPr>
        <w:pStyle w:val="Formatvorlage1"/>
        <w:numPr>
          <w:ilvl w:val="0"/>
          <w:numId w:val="18"/>
        </w:numPr>
        <w:ind w:hanging="0" w:start="0"/>
        <w:rPr/>
      </w:pPr>
      <w:bookmarkStart w:id="1" w:name="__RefHeading___Toc157773611"/>
      <w:bookmarkEnd w:id="1"/>
      <w:r>
        <w:rPr/>
        <w:t>Policies and Procedures</w:t>
      </w:r>
    </w:p>
    <w:p>
      <w:pPr>
        <w:pStyle w:val="Heading2"/>
        <w:numPr>
          <w:ilvl w:val="1"/>
          <w:numId w:val="18"/>
        </w:numPr>
        <w:ind w:hanging="0" w:start="0"/>
        <w:rPr/>
      </w:pPr>
      <w:r>
        <w:rPr>
          <w:szCs w:val="22"/>
        </w:rPr>
        <w:t>As a result of GlobalPharma internal control policy the Service Provider’s responsibilities include, but are not limited to the following:</w:t>
      </w:r>
      <w:r>
        <w:rPr/>
      </w:r>
      <w:r>
        <w:rPr>
          <w:rFonts w:cs="Times New Roman" w:ascii="Times New Roman" w:hAnsi="Times New Roman"/>
        </w:rPr>
      </w:r>
      <w:r>
        <w:rPr/>
      </w:r>
    </w:p>
    <w:p>
      <w:pPr>
        <w:pStyle w:val="Heading2"/>
        <w:numPr>
          <w:ilvl w:val="1"/>
          <w:numId w:val="18"/>
        </w:numPr>
        <w:ind w:hanging="0" w:start="0"/>
        <w:rPr/>
      </w:pPr>
      <w:r>
        <w:rPr/>
        <w:t>Identify and follow applicable requirements as contained in GlobalPharma internal control policies and procedures during Transition</w:t>
      </w:r>
    </w:p>
    <w:p>
      <w:pPr>
        <w:pStyle w:val="Heading2"/>
        <w:numPr>
          <w:ilvl w:val="1"/>
          <w:numId w:val="18"/>
        </w:numPr>
        <w:ind w:hanging="0" w:start="0"/>
        <w:rPr/>
      </w:pPr>
      <w:r>
        <w:rPr/>
        <w:t>Produce detailed documentation in the form of process flow charts, Standard Operating Procedures (SOP’s), etc for each and every process in scope during transition and obtain approval for this material from GlobalPharma. Make use of input from existing GlobalPharma documentation.</w:t>
      </w:r>
    </w:p>
    <w:p>
      <w:pPr>
        <w:pStyle w:val="Heading2"/>
        <w:numPr>
          <w:ilvl w:val="1"/>
          <w:numId w:val="18"/>
        </w:numPr>
        <w:ind w:hanging="0" w:start="0"/>
        <w:rPr/>
      </w:pPr>
      <w:r>
        <w:rPr/>
        <w:t>Maintain updated documentation (e.g., process narratives, process flows, control objectives, control activities) for all processes in scope of Service Provider.</w:t>
      </w:r>
    </w:p>
    <w:p>
      <w:pPr>
        <w:pStyle w:val="Heading2"/>
        <w:numPr>
          <w:ilvl w:val="1"/>
          <w:numId w:val="18"/>
        </w:numPr>
        <w:ind w:hanging="0" w:start="0"/>
        <w:rPr/>
      </w:pPr>
      <w:r>
        <w:rPr/>
        <w:t>Train associates on all such internal control policies as described in section 2.1 above initially and ongoing.</w:t>
      </w:r>
    </w:p>
    <w:p>
      <w:pPr>
        <w:pStyle w:val="Heading2"/>
        <w:numPr>
          <w:ilvl w:val="1"/>
          <w:numId w:val="18"/>
        </w:numPr>
        <w:ind w:hanging="0" w:start="0"/>
        <w:rPr/>
      </w:pPr>
      <w:r>
        <w:rPr/>
        <w:t>Deliver services, record transactions, etc. based on local and international Generally Accepted Accounting Principles (“GAAP”) as requested by GlobalPharma in all in-scope countries. E.g. implement controls to ensure that financial transactions are recorded at the correct amounts, in the appropriate accounts, and in the appropriate accounting period and assign and define the correct level responsibilities at the process level.</w:t>
      </w:r>
      <w:r>
        <w:rPr>
          <w:rFonts w:cs="Times New Roman" w:ascii="Times New Roman" w:hAnsi="Times New Roman"/>
        </w:rPr>
      </w:r>
      <w:r>
        <w:rPr/>
      </w:r>
      <w:r>
        <w:rPr>
          <w:rFonts w:cs="Times New Roman" w:ascii="Times New Roman" w:hAnsi="Times New Roman"/>
        </w:rPr>
      </w:r>
      <w:r>
        <w:rPr/>
      </w:r>
    </w:p>
    <w:p>
      <w:pPr>
        <w:pStyle w:val="Heading2"/>
        <w:numPr>
          <w:ilvl w:val="1"/>
          <w:numId w:val="18"/>
        </w:numPr>
        <w:ind w:hanging="0" w:start="0"/>
        <w:rPr/>
      </w:pPr>
      <w:r>
        <w:rPr/>
        <w:t>Address issues and perform required actions as a result of GlobalPharma internal control policy changes.</w:t>
      </w:r>
    </w:p>
    <w:p>
      <w:pPr>
        <w:pStyle w:val="Formatvorlage1"/>
        <w:numPr>
          <w:ilvl w:val="0"/>
          <w:numId w:val="18"/>
        </w:numPr>
        <w:ind w:hanging="0" w:start="0"/>
        <w:rPr/>
      </w:pPr>
      <w:bookmarkStart w:id="2" w:name="__RefHeading___Toc157773612"/>
      <w:bookmarkEnd w:id="2"/>
      <w:r>
        <w:rPr/>
        <w:t>Initial Transfer of In-Scope Processes</w:t>
      </w:r>
    </w:p>
    <w:p>
      <w:pPr>
        <w:pStyle w:val="Heading2"/>
        <w:numPr>
          <w:ilvl w:val="1"/>
          <w:numId w:val="18"/>
        </w:numPr>
        <w:ind w:hanging="0" w:start="0"/>
        <w:rPr/>
      </w:pPr>
      <w:r>
        <w:rPr/>
        <w:t>The Service Provider</w:t>
      </w:r>
      <w:r>
        <w:rPr>
          <w:rFonts w:cs="Times New Roman" w:ascii="Times New Roman" w:hAnsi="Times New Roman"/>
        </w:rPr>
        <w:t>’</w:t>
      </w:r>
      <w:r>
        <w:rPr/>
        <w:t>s responsibilities include, but are not limited to the following:</w:t>
      </w:r>
    </w:p>
    <w:p>
      <w:pPr>
        <w:pStyle w:val="Heading2"/>
        <w:numPr>
          <w:ilvl w:val="1"/>
          <w:numId w:val="18"/>
        </w:numPr>
        <w:ind w:hanging="0" w:start="0"/>
        <w:rPr/>
      </w:pPr>
      <w:r>
        <w:rPr/>
        <w:t>Work with GlobalPharma to ensure Service Provider’s full understanding of GlobalPharma’s processes, control objectives, activities, and testing requirements based on provided existing process documentation, control objectives and control activities by GlobalPharma during knowledge transfer.</w:t>
      </w:r>
    </w:p>
    <w:p>
      <w:pPr>
        <w:pStyle w:val="Heading2"/>
        <w:numPr>
          <w:ilvl w:val="1"/>
          <w:numId w:val="18"/>
        </w:numPr>
        <w:ind w:hanging="0" w:start="0"/>
        <w:rPr>
          <w:rFonts w:eastAsia="Arial Unicode MS"/>
        </w:rPr>
      </w:pPr>
      <w:r>
        <w:rPr/>
        <w:t>Verify with GlobalPharma to ensure suppliers understanding of processes, control objectives, activities, and testing requirements.</w:t>
      </w:r>
    </w:p>
    <w:p>
      <w:pPr>
        <w:pStyle w:val="Heading2"/>
        <w:numPr>
          <w:ilvl w:val="1"/>
          <w:numId w:val="18"/>
        </w:numPr>
        <w:ind w:hanging="0" w:start="0"/>
        <w:rPr>
          <w:rFonts w:eastAsia="Arial Unicode MS"/>
        </w:rPr>
      </w:pPr>
      <w:r>
        <w:rPr/>
        <w:t xml:space="preserve">Prepare, update and maintain documentation of control activities to be executed by the Service Provider. </w:t>
      </w:r>
    </w:p>
    <w:p>
      <w:pPr>
        <w:pStyle w:val="Heading2"/>
        <w:numPr>
          <w:ilvl w:val="1"/>
          <w:numId w:val="18"/>
        </w:numPr>
        <w:ind w:hanging="0" w:start="0"/>
        <w:rPr/>
      </w:pPr>
      <w:r>
        <w:rPr/>
        <w:t xml:space="preserve">GlobalPharma is responsible for the definition of control activities and objectives. The Service Provider will be responsible for the design, implementation, execution and reporting on internal controls over the activities within Service Provider’s scope as per the framework provided by GlobalPharma to the proposed state. </w:t>
      </w:r>
      <w:r>
        <w:rPr>
          <w:rFonts w:cs="Times New Roman" w:ascii="Times New Roman" w:hAnsi="Times New Roman"/>
        </w:rPr>
      </w:r>
      <w:r>
        <w:rPr/>
      </w:r>
    </w:p>
    <w:p>
      <w:pPr>
        <w:pStyle w:val="Formatvorlage1"/>
        <w:numPr>
          <w:ilvl w:val="0"/>
          <w:numId w:val="18"/>
        </w:numPr>
        <w:ind w:hanging="0" w:start="0"/>
        <w:rPr/>
      </w:pPr>
      <w:bookmarkStart w:id="3" w:name="__RefHeading___Toc157773613"/>
      <w:bookmarkEnd w:id="3"/>
      <w:r>
        <w:rPr/>
        <w:t>Business Level Risk Assessment</w:t>
      </w:r>
    </w:p>
    <w:p>
      <w:pPr>
        <w:pStyle w:val="Heading2"/>
        <w:numPr>
          <w:ilvl w:val="1"/>
          <w:numId w:val="18"/>
        </w:numPr>
        <w:ind w:hanging="0" w:start="0"/>
        <w:rPr/>
      </w:pPr>
      <w:r>
        <w:rPr/>
        <w:t>The Service Provider</w:t>
      </w:r>
      <w:r>
        <w:rPr>
          <w:rFonts w:cs="Times New Roman" w:ascii="Times New Roman" w:hAnsi="Times New Roman"/>
        </w:rPr>
        <w:t>’</w:t>
      </w:r>
      <w:r>
        <w:rPr/>
        <w:t>s responsibilities include, but are not limited to the following:</w:t>
      </w:r>
    </w:p>
    <w:p>
      <w:pPr>
        <w:pStyle w:val="Heading3"/>
        <w:numPr>
          <w:ilvl w:val="2"/>
          <w:numId w:val="18"/>
        </w:numPr>
        <w:ind w:hanging="0" w:start="0"/>
        <w:rPr>
          <w:rFonts w:eastAsia="Arial Unicode MS"/>
        </w:rPr>
      </w:pPr>
      <w:r>
        <w:rPr/>
        <w:t>Participate in the business risk assessment process managed/coordinated by GlobalPharma as required by GlobalPharma.</w:t>
      </w:r>
    </w:p>
    <w:p>
      <w:pPr>
        <w:pStyle w:val="Heading3"/>
        <w:numPr>
          <w:ilvl w:val="2"/>
          <w:numId w:val="18"/>
        </w:numPr>
        <w:ind w:hanging="0" w:start="0"/>
        <w:rPr/>
      </w:pPr>
      <w:r>
        <w:rPr>
          <w:szCs w:val="22"/>
        </w:rPr>
        <w:t>Support and execute remediation of business level risks evaluated by GlobalPharma as requested or authorized by GlobalPharma as defined in SOX/NFCM controls.</w:t>
      </w:r>
    </w:p>
    <w:p>
      <w:pPr>
        <w:pStyle w:val="Heading3"/>
        <w:numPr>
          <w:ilvl w:val="2"/>
          <w:numId w:val="18"/>
        </w:numPr>
        <w:ind w:hanging="0" w:start="0"/>
        <w:rPr/>
      </w:pPr>
      <w:r>
        <w:rPr/>
        <w:t>Provide data requested by GlobalPharma to support enterprise risk assessment memo.</w:t>
      </w:r>
    </w:p>
    <w:p>
      <w:pPr>
        <w:pStyle w:val="Formatvorlage1"/>
        <w:numPr>
          <w:ilvl w:val="0"/>
          <w:numId w:val="18"/>
        </w:numPr>
        <w:ind w:hanging="0" w:start="0"/>
        <w:rPr/>
      </w:pPr>
      <w:bookmarkStart w:id="4" w:name="__RefHeading___Toc157773614"/>
      <w:bookmarkEnd w:id="4"/>
      <w:r>
        <w:rPr/>
        <w:t>Control Assessment</w:t>
      </w:r>
    </w:p>
    <w:p>
      <w:pPr>
        <w:pStyle w:val="Heading2"/>
        <w:numPr>
          <w:ilvl w:val="1"/>
          <w:numId w:val="18"/>
        </w:numPr>
        <w:ind w:hanging="0" w:start="0"/>
        <w:rPr/>
      </w:pPr>
      <w:r>
        <w:rPr/>
        <w:t>The Service Provider</w:t>
      </w:r>
      <w:r>
        <w:rPr>
          <w:rFonts w:cs="Times New Roman" w:ascii="Times New Roman" w:hAnsi="Times New Roman"/>
        </w:rPr>
        <w:t>’</w:t>
      </w:r>
      <w:r>
        <w:rPr/>
        <w:t>s responsibilities include, but are not limited to the following:</w:t>
      </w:r>
    </w:p>
    <w:p>
      <w:pPr>
        <w:pStyle w:val="Heading2"/>
        <w:numPr>
          <w:ilvl w:val="1"/>
          <w:numId w:val="18"/>
        </w:numPr>
        <w:ind w:hanging="0" w:start="0"/>
        <w:rPr/>
      </w:pPr>
      <w:r>
        <w:rPr/>
        <w:t>Support the control assessment along defined instructions as communicated by GlobalPharma including timelines, standards and requirements for controls assessment support.</w:t>
      </w:r>
    </w:p>
    <w:p>
      <w:pPr>
        <w:pStyle w:val="Heading2"/>
        <w:numPr>
          <w:ilvl w:val="1"/>
          <w:numId w:val="18"/>
        </w:numPr>
        <w:ind w:hanging="0" w:start="0"/>
        <w:rPr/>
      </w:pPr>
      <w:r>
        <w:rPr/>
        <w:t>Provide support for GlobalPharma’s assessment of the key control points /processes.</w:t>
      </w:r>
    </w:p>
    <w:p>
      <w:pPr>
        <w:pStyle w:val="Heading2"/>
        <w:numPr>
          <w:ilvl w:val="1"/>
          <w:numId w:val="18"/>
        </w:numPr>
        <w:ind w:hanging="0" w:start="0"/>
        <w:rPr/>
      </w:pPr>
      <w:r>
        <w:rPr/>
        <w:t>Report on critical internal policy requirements, deviations, etc. according to GlobalPharma internal control policies and procedures.</w:t>
      </w:r>
    </w:p>
    <w:p>
      <w:pPr>
        <w:pStyle w:val="Heading2"/>
        <w:numPr>
          <w:ilvl w:val="1"/>
          <w:numId w:val="18"/>
        </w:numPr>
        <w:ind w:hanging="0" w:start="0"/>
        <w:rPr/>
      </w:pPr>
      <w:r>
        <w:rPr/>
        <w:t>Perform self-assessments and tests to ensure effectiveness of controls.</w:t>
      </w:r>
    </w:p>
    <w:p>
      <w:pPr>
        <w:pStyle w:val="Heading3"/>
        <w:numPr>
          <w:ilvl w:val="2"/>
          <w:numId w:val="18"/>
        </w:numPr>
        <w:ind w:hanging="0" w:start="0"/>
        <w:rPr/>
      </w:pPr>
      <w:r>
        <w:rPr/>
        <w:t>Define internal checks and balances, checklists and internal review mechanisms (peer /supervisory /audit) to ensure accuracy in day-to-day processing and submissions.</w:t>
      </w:r>
    </w:p>
    <w:p>
      <w:pPr>
        <w:pStyle w:val="Heading3"/>
        <w:numPr>
          <w:ilvl w:val="2"/>
          <w:numId w:val="18"/>
        </w:numPr>
        <w:ind w:hanging="0" w:start="0"/>
        <w:rPr/>
      </w:pPr>
      <w:r>
        <w:rPr/>
        <w:t>Undertake regular self-audits of processes from a compliance perspective as appropriate in consultation with GlobalPharma, thereby ensuring timely identification and corrective action plan of control risks. Perform process quality control procedures.</w:t>
      </w:r>
    </w:p>
    <w:p>
      <w:pPr>
        <w:pStyle w:val="Heading3"/>
        <w:numPr>
          <w:ilvl w:val="2"/>
          <w:numId w:val="18"/>
        </w:numPr>
        <w:ind w:hanging="0" w:start="0"/>
        <w:rPr/>
      </w:pPr>
      <w:r>
        <w:rPr/>
        <w:t>Retain supporting documentation for self-assessment audits and testing and provide to GlobalPharma as requested.</w:t>
      </w:r>
    </w:p>
    <w:p>
      <w:pPr>
        <w:pStyle w:val="Heading3"/>
        <w:numPr>
          <w:ilvl w:val="2"/>
          <w:numId w:val="18"/>
        </w:numPr>
        <w:ind w:hanging="0" w:start="0"/>
        <w:rPr>
          <w:rFonts w:ascii="Arial" w:hAnsi="Arial" w:cs="Arial"/>
          <w:szCs w:val="22"/>
        </w:rPr>
      </w:pPr>
      <w:r>
        <w:rPr/>
        <w:t>Develop results-based reporting for self-assessments and testing, and provide to GlobalPharma as requested.</w:t>
      </w:r>
    </w:p>
    <w:p>
      <w:pPr>
        <w:pStyle w:val="Heading3"/>
        <w:numPr>
          <w:ilvl w:val="2"/>
          <w:numId w:val="18"/>
        </w:numPr>
        <w:ind w:hanging="0" w:start="0"/>
        <w:rPr/>
      </w:pPr>
      <w:r>
        <w:rPr/>
        <w:t>Provide supporting documentation for audit periods prior to and after the Commencement Date. GlobalPharma will assist Service Provider in obtaining those records prior to the Commencement Date.</w:t>
      </w:r>
    </w:p>
    <w:p>
      <w:pPr>
        <w:pStyle w:val="Heading2"/>
        <w:numPr>
          <w:ilvl w:val="1"/>
          <w:numId w:val="18"/>
        </w:numPr>
        <w:ind w:hanging="0" w:start="0"/>
        <w:rPr/>
      </w:pPr>
      <w:r>
        <w:rPr/>
        <w:t>Discuss options for corrective actions in case GlobalPharma or Service Provider’s quality assessment of design effectiveness of the key control points / processes have identified deficiencies.</w:t>
      </w:r>
      <w:r>
        <w:rPr>
          <w:rFonts w:cs="Times New Roman" w:ascii="Times New Roman" w:hAnsi="Times New Roman"/>
        </w:rPr>
      </w:r>
      <w:r>
        <w:rPr/>
      </w:r>
    </w:p>
    <w:p>
      <w:pPr>
        <w:pStyle w:val="Heading2"/>
        <w:numPr>
          <w:ilvl w:val="1"/>
          <w:numId w:val="18"/>
        </w:numPr>
        <w:ind w:hanging="0" w:start="0"/>
        <w:rPr/>
      </w:pPr>
      <w:r>
        <w:rPr/>
        <w:t>Evaluate control risks areas where risk levels may have changed. Update assessment for changes in the control environment. Communicate identified risks/deficiencies to GlobalPharma. Implement corrective actions for deficiencies where Service Provider is responsible for adherence to the control or recommend corrective actions where responsibility is shared.</w:t>
      </w:r>
    </w:p>
    <w:p>
      <w:pPr>
        <w:pStyle w:val="Heading2"/>
        <w:numPr>
          <w:ilvl w:val="1"/>
          <w:numId w:val="18"/>
        </w:numPr>
        <w:ind w:hanging="0" w:start="0"/>
        <w:rPr>
          <w:sz w:val="22"/>
        </w:rPr>
      </w:pPr>
      <w:r>
        <w:rPr/>
        <w:t>Review and monitor corrective action plans and related process changes and obtain approval if required by GlobalPharma.</w:t>
      </w:r>
    </w:p>
    <w:p>
      <w:pPr>
        <w:pStyle w:val="Heading2"/>
        <w:numPr>
          <w:ilvl w:val="1"/>
          <w:numId w:val="18"/>
        </w:numPr>
        <w:ind w:hanging="0" w:start="0"/>
        <w:rPr>
          <w:rFonts w:eastAsia="Arial Unicode MS"/>
        </w:rPr>
      </w:pPr>
      <w:r>
        <w:rPr/>
        <w:t>Support and execute remediation of control risks as requested / authorized by GlobalPharma within the timeframe agreed upon with GlobalPharma.</w:t>
      </w:r>
    </w:p>
    <w:p>
      <w:pPr>
        <w:pStyle w:val="Heading2"/>
        <w:numPr>
          <w:ilvl w:val="1"/>
          <w:numId w:val="18"/>
        </w:numPr>
        <w:ind w:hanging="0" w:start="0"/>
        <w:rPr>
          <w:rFonts w:eastAsia="Arial Unicode MS"/>
        </w:rPr>
      </w:pPr>
      <w:r>
        <w:rPr/>
        <w:t>Update documentation and maintain appropriate audit trails.</w:t>
      </w:r>
    </w:p>
    <w:p>
      <w:pPr>
        <w:pStyle w:val="Formatvorlage1"/>
        <w:numPr>
          <w:ilvl w:val="0"/>
          <w:numId w:val="18"/>
        </w:numPr>
        <w:ind w:hanging="0" w:start="0"/>
        <w:rPr/>
      </w:pPr>
      <w:bookmarkStart w:id="5" w:name="__RefHeading___Toc157773615"/>
      <w:bookmarkEnd w:id="5"/>
      <w:r>
        <w:rPr/>
        <w:t>Internal Control (SOX 404) Testing</w:t>
      </w:r>
    </w:p>
    <w:p>
      <w:pPr>
        <w:pStyle w:val="Heading2"/>
        <w:numPr>
          <w:ilvl w:val="1"/>
          <w:numId w:val="18"/>
        </w:numPr>
        <w:ind w:hanging="0" w:start="0"/>
        <w:rPr/>
      </w:pPr>
      <w:r>
        <w:rPr/>
        <w:t>The Service Provider</w:t>
      </w:r>
      <w:r>
        <w:rPr>
          <w:rFonts w:cs="Times New Roman" w:ascii="Times New Roman" w:hAnsi="Times New Roman"/>
        </w:rPr>
        <w:t>’</w:t>
      </w:r>
      <w:r>
        <w:rPr/>
        <w:t>s responsibilities include, but are not limited to the following:</w:t>
      </w:r>
    </w:p>
    <w:p>
      <w:pPr>
        <w:pStyle w:val="Heading2"/>
        <w:numPr>
          <w:ilvl w:val="1"/>
          <w:numId w:val="18"/>
        </w:numPr>
        <w:ind w:hanging="0" w:start="0"/>
        <w:rPr>
          <w:rFonts w:eastAsia="Arial Unicode MS"/>
        </w:rPr>
      </w:pPr>
      <w:r>
        <w:rPr/>
        <w:t>Perform testing along established timelines, standards, sample sizes per criteria provided by GlobalPharma for testing controls and retesting following remediation if applicable.</w:t>
      </w:r>
    </w:p>
    <w:p>
      <w:pPr>
        <w:pStyle w:val="Heading2"/>
        <w:numPr>
          <w:ilvl w:val="1"/>
          <w:numId w:val="18"/>
        </w:numPr>
        <w:ind w:hanging="0" w:start="0"/>
        <w:rPr>
          <w:rFonts w:eastAsia="Arial Unicode MS"/>
        </w:rPr>
      </w:pPr>
      <w:r>
        <w:rPr/>
        <w:t>Provide support and participate in testing performed by GlobalPharma internal auditors or external auditors.</w:t>
      </w:r>
    </w:p>
    <w:p>
      <w:pPr>
        <w:pStyle w:val="Heading2"/>
        <w:numPr>
          <w:ilvl w:val="1"/>
          <w:numId w:val="18"/>
        </w:numPr>
        <w:ind w:hanging="0" w:start="0"/>
        <w:rPr>
          <w:rFonts w:ascii="Arial" w:hAnsi="Arial" w:cs="Arial"/>
          <w:szCs w:val="16"/>
        </w:rPr>
      </w:pPr>
      <w:r>
        <w:rPr/>
        <w:t>Determine actions required to correct deficiencies identified by management testing, GlobalPharma internal auditors, Service Provider auditors or external auditors.</w:t>
      </w:r>
    </w:p>
    <w:p>
      <w:pPr>
        <w:pStyle w:val="Heading2"/>
        <w:numPr>
          <w:ilvl w:val="1"/>
          <w:numId w:val="18"/>
        </w:numPr>
        <w:ind w:hanging="0" w:start="0"/>
        <w:rPr/>
      </w:pPr>
      <w:r>
        <w:rPr/>
        <w:t>Obtain approval from GlobalPharma for corrective action plans if required by GlobalPharma.</w:t>
      </w:r>
    </w:p>
    <w:p>
      <w:pPr>
        <w:pStyle w:val="Heading2"/>
        <w:numPr>
          <w:ilvl w:val="1"/>
          <w:numId w:val="18"/>
        </w:numPr>
        <w:ind w:hanging="0" w:start="0"/>
        <w:rPr>
          <w:rFonts w:eastAsia="Arial Unicode MS"/>
        </w:rPr>
      </w:pPr>
      <w:r>
        <w:rPr/>
        <w:t>Remediate exceptions found in testing of key controls according to the given timeframe.</w:t>
      </w:r>
    </w:p>
    <w:p>
      <w:pPr>
        <w:pStyle w:val="Heading2"/>
        <w:numPr>
          <w:ilvl w:val="1"/>
          <w:numId w:val="18"/>
        </w:numPr>
        <w:ind w:hanging="0" w:start="0"/>
        <w:rPr>
          <w:rFonts w:eastAsia="Arial Unicode MS"/>
        </w:rPr>
      </w:pPr>
      <w:r>
        <w:rPr/>
        <w:t xml:space="preserve">Retest key control areas that had testing exceptions.  </w:t>
      </w:r>
    </w:p>
    <w:p>
      <w:pPr>
        <w:pStyle w:val="Heading2"/>
        <w:numPr>
          <w:ilvl w:val="1"/>
          <w:numId w:val="18"/>
        </w:numPr>
        <w:ind w:hanging="0" w:start="0"/>
        <w:rPr/>
      </w:pPr>
      <w:r>
        <w:rPr/>
        <w:t>Repeat remediation / retesting cycle until key control areas are free of testing exceptions.</w:t>
      </w:r>
    </w:p>
    <w:p>
      <w:pPr>
        <w:pStyle w:val="Heading2"/>
        <w:numPr>
          <w:ilvl w:val="1"/>
          <w:numId w:val="18"/>
        </w:numPr>
        <w:ind w:hanging="0" w:start="0"/>
        <w:rPr>
          <w:rFonts w:eastAsia="Arial Unicode MS"/>
        </w:rPr>
      </w:pPr>
      <w:r>
        <w:rPr/>
        <w:t>Support GlobalPharma designated GlobalPharma internal or external auditors and their audit documentation and other requirements as instructed by GlobalPharma.</w:t>
      </w:r>
    </w:p>
    <w:p>
      <w:pPr>
        <w:pStyle w:val="Formatvorlage1"/>
        <w:numPr>
          <w:ilvl w:val="0"/>
          <w:numId w:val="18"/>
        </w:numPr>
        <w:ind w:hanging="0" w:start="0"/>
        <w:rPr/>
      </w:pPr>
      <w:bookmarkStart w:id="6" w:name="__RefHeading___Toc157773616"/>
      <w:bookmarkEnd w:id="6"/>
      <w:r>
        <w:rPr/>
        <w:t>SAS 70 Type II Report</w:t>
      </w:r>
    </w:p>
    <w:p>
      <w:pPr>
        <w:pStyle w:val="Heading2"/>
        <w:numPr>
          <w:ilvl w:val="1"/>
          <w:numId w:val="18"/>
        </w:numPr>
        <w:ind w:hanging="0" w:start="0"/>
        <w:rPr/>
      </w:pPr>
      <w:r>
        <w:rPr/>
        <w:t>The Service Provider</w:t>
      </w:r>
      <w:r>
        <w:rPr>
          <w:rFonts w:cs="Times New Roman" w:ascii="Times New Roman" w:hAnsi="Times New Roman"/>
        </w:rPr>
        <w:t>’</w:t>
      </w:r>
      <w:r>
        <w:rPr/>
        <w:t>s responsibilities include, but are not limited to the following:</w:t>
      </w:r>
    </w:p>
    <w:p>
      <w:pPr>
        <w:pStyle w:val="Heading2"/>
        <w:numPr>
          <w:ilvl w:val="1"/>
          <w:numId w:val="18"/>
        </w:numPr>
        <w:ind w:hanging="0" w:start="0"/>
        <w:rPr>
          <w:lang w:val="en-GB"/>
        </w:rPr>
      </w:pPr>
      <w:r>
        <w:rPr/>
        <w:t>Provide annual SAS 70 Type II report for generic Service Provider infrastructure and procedures to GlobalPharma. The scope of processes to be covered under the SAS 70 report are information technology, physical security and logistics, hiring, human resource shared service systems and training.</w:t>
      </w:r>
      <w:r>
        <w:rPr>
          <w:lang w:val="en-GB"/>
        </w:rPr>
      </w:r>
    </w:p>
    <w:p>
      <w:pPr>
        <w:pStyle w:val="Heading2"/>
        <w:numPr>
          <w:ilvl w:val="1"/>
          <w:numId w:val="18"/>
        </w:numPr>
        <w:ind w:hanging="0" w:start="0"/>
        <w:rPr>
          <w:rFonts w:ascii="Arial" w:hAnsi="Arial" w:cs="Arial"/>
          <w:szCs w:val="22"/>
        </w:rPr>
      </w:pPr>
      <w:r>
        <w:rPr/>
        <w:t xml:space="preserve">Coordinate the </w:t>
      </w:r>
      <w:r>
        <w:rPr>
          <w:lang w:val="en-GB"/>
        </w:rPr>
        <w:t>reports</w:t>
      </w:r>
      <w:r>
        <w:rPr/>
        <w:t xml:space="preserve"> so they are completed in a timely manner. The report must be less than six months old at the year end and delivered by the end October each year.</w:t>
      </w:r>
    </w:p>
    <w:p>
      <w:pPr>
        <w:pStyle w:val="Heading2"/>
        <w:numPr>
          <w:ilvl w:val="1"/>
          <w:numId w:val="18"/>
        </w:numPr>
        <w:ind w:hanging="0" w:start="0"/>
        <w:rPr>
          <w:rFonts w:ascii="Arial" w:hAnsi="Arial" w:cs="Arial"/>
          <w:szCs w:val="22"/>
        </w:rPr>
      </w:pPr>
      <w:r>
        <w:rPr/>
        <w:t xml:space="preserve">Collaborate to plan the detailed scope and timing of each GlobalPharma specific SAS 70 Type II report initiated by GlobalPharma, where applicable. Any audit procedure specific to GlobalPharma will be at GlobalPharma’s cost. </w:t>
      </w:r>
      <w:r>
        <w:rPr>
          <w:rFonts w:cs="Times New Roman" w:ascii="Times New Roman" w:hAnsi="Times New Roman"/>
        </w:rPr>
      </w:r>
      <w:r>
        <w:rPr/>
      </w:r>
    </w:p>
    <w:p>
      <w:pPr>
        <w:pStyle w:val="Heading2"/>
        <w:numPr>
          <w:ilvl w:val="1"/>
          <w:numId w:val="18"/>
        </w:numPr>
        <w:ind w:hanging="0" w:start="0"/>
        <w:rPr>
          <w:rFonts w:eastAsia="Arial Unicode MS"/>
        </w:rPr>
      </w:pPr>
      <w:r>
        <w:rPr/>
        <w:t xml:space="preserve">Maintain updated documentation (process narratives, process flows, control objectives, control activities) in a format that facilitates SAS 70 Type II report. </w:t>
      </w:r>
    </w:p>
    <w:p>
      <w:pPr>
        <w:pStyle w:val="Heading2"/>
        <w:numPr>
          <w:ilvl w:val="1"/>
          <w:numId w:val="18"/>
        </w:numPr>
        <w:ind w:hanging="0" w:start="0"/>
        <w:rPr>
          <w:rFonts w:eastAsia="Arial Unicode MS"/>
        </w:rPr>
      </w:pPr>
      <w:r>
        <w:rPr/>
        <w:t xml:space="preserve">Any major business process changes/new risk areas should be communicated to GlobalPharma in an expeditious manner. </w:t>
      </w:r>
    </w:p>
    <w:p>
      <w:pPr>
        <w:pStyle w:val="Heading2"/>
        <w:numPr>
          <w:ilvl w:val="1"/>
          <w:numId w:val="18"/>
        </w:numPr>
        <w:ind w:hanging="0" w:start="0"/>
        <w:rPr>
          <w:rFonts w:eastAsia="Arial Unicode MS"/>
        </w:rPr>
      </w:pPr>
      <w:r>
        <w:rPr/>
        <w:t xml:space="preserve">Work with GlobalPharma internal and external auditors to resolve issues and queries during the review.  </w:t>
      </w:r>
      <w:r>
        <w:rPr/>
      </w:r>
      <w:r>
        <w:rPr/>
      </w:r>
    </w:p>
    <w:p>
      <w:pPr>
        <w:pStyle w:val="Heading2"/>
        <w:numPr>
          <w:ilvl w:val="1"/>
          <w:numId w:val="18"/>
        </w:numPr>
        <w:ind w:hanging="0" w:start="0"/>
        <w:rPr/>
      </w:pPr>
      <w:r>
        <w:rPr/>
        <w:t>Remediate exceptions found during the audit.</w:t>
      </w:r>
    </w:p>
    <w:p>
      <w:pPr>
        <w:pStyle w:val="Heading2"/>
        <w:numPr>
          <w:ilvl w:val="1"/>
          <w:numId w:val="18"/>
        </w:numPr>
        <w:ind w:hanging="0" w:start="0"/>
        <w:rPr/>
      </w:pPr>
      <w:r>
        <w:rPr/>
        <w:t>Comply with changes in reporting requirements issued by the PCAOB, SEC, or other regulatory bodies as mutually agreed to.</w:t>
      </w:r>
    </w:p>
    <w:p>
      <w:pPr>
        <w:pStyle w:val="Heading2"/>
        <w:numPr>
          <w:ilvl w:val="1"/>
          <w:numId w:val="18"/>
        </w:numPr>
        <w:ind w:hanging="0" w:start="0"/>
        <w:rPr>
          <w:rFonts w:eastAsia="Arial Unicode MS"/>
        </w:rPr>
      </w:pPr>
      <w:r>
        <w:rPr/>
        <w:t xml:space="preserve">Review SAS 70 Type II final report and subsequent events report. Evaluate whether controls are adequate. Agree and monitor with GlobalPharma potential remediation process. </w:t>
      </w:r>
    </w:p>
    <w:p>
      <w:pPr>
        <w:pStyle w:val="Formatvorlage1"/>
        <w:numPr>
          <w:ilvl w:val="0"/>
          <w:numId w:val="18"/>
        </w:numPr>
        <w:ind w:hanging="0" w:start="0"/>
        <w:rPr/>
      </w:pPr>
      <w:bookmarkStart w:id="7" w:name="__RefHeading___Toc157773617"/>
      <w:bookmarkEnd w:id="7"/>
      <w:r>
        <w:rPr/>
        <w:t>Ongoing Internal Control Support</w:t>
      </w:r>
    </w:p>
    <w:p>
      <w:pPr>
        <w:pStyle w:val="Heading2"/>
        <w:numPr>
          <w:ilvl w:val="1"/>
          <w:numId w:val="18"/>
        </w:numPr>
        <w:ind w:hanging="0" w:start="0"/>
        <w:rPr/>
      </w:pPr>
      <w:r>
        <w:rPr/>
        <w:t>The Service Provider</w:t>
      </w:r>
      <w:r>
        <w:rPr>
          <w:rFonts w:cs="Times New Roman" w:ascii="Times New Roman" w:hAnsi="Times New Roman"/>
        </w:rPr>
        <w:t>’</w:t>
      </w:r>
      <w:r>
        <w:rPr/>
        <w:t>s responsibilities include, but are not limited to the following:</w:t>
      </w:r>
    </w:p>
    <w:p>
      <w:pPr>
        <w:pStyle w:val="Heading2"/>
        <w:numPr>
          <w:ilvl w:val="1"/>
          <w:numId w:val="18"/>
        </w:numPr>
        <w:ind w:hanging="0" w:start="0"/>
        <w:rPr/>
      </w:pPr>
      <w:r>
        <w:rPr/>
        <w:t>Maintain controls including documentation and testing as required by established GlobalPharma guidelines</w:t>
      </w:r>
    </w:p>
    <w:p>
      <w:pPr>
        <w:pStyle w:val="Heading2"/>
        <w:numPr>
          <w:ilvl w:val="1"/>
          <w:numId w:val="18"/>
        </w:numPr>
        <w:ind w:hanging="0" w:start="0"/>
        <w:rPr/>
      </w:pPr>
      <w:r>
        <w:rPr/>
        <w:t>Cooperate with and assist GlobalPharma to maintain effective internal controls over joint areas of responsibility.</w:t>
      </w:r>
    </w:p>
    <w:p>
      <w:pPr>
        <w:pStyle w:val="Heading2"/>
        <w:numPr>
          <w:ilvl w:val="1"/>
          <w:numId w:val="18"/>
        </w:numPr>
        <w:ind w:hanging="0" w:start="0"/>
        <w:rPr/>
      </w:pPr>
      <w:r>
        <w:rPr/>
        <w:t>Cooperate with and assist GlobalPharma to meet GlobalPharma’s obligations for compliance with internal control legislation.</w:t>
      </w:r>
    </w:p>
    <w:p>
      <w:pPr>
        <w:pStyle w:val="Heading2"/>
        <w:numPr>
          <w:ilvl w:val="1"/>
          <w:numId w:val="18"/>
        </w:numPr>
        <w:ind w:hanging="0" w:start="0"/>
        <w:rPr>
          <w:rFonts w:eastAsia="Arial Unicode MS"/>
        </w:rPr>
      </w:pPr>
      <w:r>
        <w:rPr>
          <w:rFonts w:eastAsia="Arial Unicode MS"/>
        </w:rPr>
      </w:r>
    </w:p>
    <w:p>
      <w:pPr>
        <w:pStyle w:val="Formatvorlage1"/>
        <w:numPr>
          <w:ilvl w:val="0"/>
          <w:numId w:val="18"/>
        </w:numPr>
        <w:ind w:hanging="0" w:start="0"/>
        <w:rPr/>
      </w:pPr>
      <w:bookmarkStart w:id="8" w:name="__RefHeading___Toc157773618"/>
      <w:bookmarkEnd w:id="8"/>
      <w:r>
        <w:rPr/>
        <w:t>Representations</w:t>
      </w:r>
    </w:p>
    <w:p>
      <w:pPr>
        <w:pStyle w:val="Heading2"/>
        <w:numPr>
          <w:ilvl w:val="1"/>
          <w:numId w:val="18"/>
        </w:numPr>
        <w:ind w:hanging="0" w:start="0"/>
        <w:rPr/>
      </w:pPr>
      <w:r>
        <w:rPr/>
        <w:t>The Service Provider</w:t>
      </w:r>
      <w:r>
        <w:rPr>
          <w:rFonts w:cs="Times New Roman" w:ascii="Times New Roman" w:hAnsi="Times New Roman"/>
        </w:rPr>
        <w:t>’</w:t>
      </w:r>
      <w:r>
        <w:rPr/>
        <w:t>s responsibilities include, but are not limited to the following:</w:t>
      </w:r>
    </w:p>
    <w:p>
      <w:pPr>
        <w:pStyle w:val="Heading2"/>
        <w:numPr>
          <w:ilvl w:val="1"/>
          <w:numId w:val="18"/>
        </w:numPr>
        <w:ind w:hanging="0" w:start="0"/>
        <w:rPr>
          <w:rFonts w:ascii="Arial" w:hAnsi="Arial" w:cs="Arial"/>
          <w:color w:val="000000"/>
          <w:sz w:val="16"/>
          <w:szCs w:val="16"/>
        </w:rPr>
      </w:pPr>
      <w:r>
        <w:rPr/>
        <w:t>Provide GlobalPharma with a quarterly Management Representation letter representing for all process steps in the control of Service Provider that the Service Provider:</w:t>
      </w:r>
    </w:p>
    <w:p>
      <w:pPr>
        <w:pStyle w:val="Heading3"/>
        <w:numPr>
          <w:ilvl w:val="2"/>
          <w:numId w:val="12"/>
        </w:numPr>
        <w:tabs>
          <w:tab w:val="clear" w:pos="1134"/>
        </w:tabs>
        <w:spacing w:before="120" w:after="120"/>
        <w:ind w:hanging="284" w:start="1418" w:end="0"/>
        <w:rPr>
          <w:rFonts w:ascii="Arial" w:hAnsi="Arial" w:cs="Arial"/>
          <w:color w:val="000000"/>
          <w:sz w:val="16"/>
          <w:szCs w:val="16"/>
        </w:rPr>
      </w:pPr>
      <w:r>
        <w:rPr/>
        <w:t>has communicated any adverse internal control issues if applicable to GlobalPharma,</w:t>
      </w:r>
    </w:p>
    <w:p>
      <w:pPr>
        <w:pStyle w:val="Heading3"/>
        <w:numPr>
          <w:ilvl w:val="2"/>
          <w:numId w:val="12"/>
        </w:numPr>
        <w:tabs>
          <w:tab w:val="clear" w:pos="1134"/>
        </w:tabs>
        <w:spacing w:before="120" w:after="120"/>
        <w:ind w:hanging="284" w:start="1418" w:end="0"/>
        <w:rPr>
          <w:rFonts w:ascii="Arial" w:hAnsi="Arial" w:cs="Arial"/>
          <w:color w:val="000000"/>
          <w:sz w:val="16"/>
          <w:szCs w:val="16"/>
        </w:rPr>
      </w:pPr>
      <w:r>
        <w:rPr/>
        <w:t xml:space="preserve">confirms that </w:t>
      </w:r>
      <w:r>
        <w:rPr>
          <w:rFonts w:eastAsia="Arial Unicode MS"/>
        </w:rPr>
        <w:t>Service Provider is not aware of any fraud or irregularities,</w:t>
      </w:r>
    </w:p>
    <w:p>
      <w:pPr>
        <w:pStyle w:val="Heading3"/>
        <w:numPr>
          <w:ilvl w:val="2"/>
          <w:numId w:val="12"/>
        </w:numPr>
        <w:tabs>
          <w:tab w:val="clear" w:pos="1134"/>
        </w:tabs>
        <w:spacing w:before="120" w:after="120"/>
        <w:ind w:hanging="284" w:start="1418" w:end="0"/>
        <w:rPr>
          <w:rFonts w:ascii="Arial" w:hAnsi="Arial" w:cs="Arial"/>
          <w:color w:val="000000"/>
          <w:sz w:val="16"/>
          <w:szCs w:val="16"/>
        </w:rPr>
      </w:pPr>
      <w:r>
        <w:rPr>
          <w:rFonts w:eastAsia="Arial Unicode MS"/>
        </w:rPr>
        <w:t>confirms that Service Provider has notified GlobalPharma of all known material liabilities,</w:t>
      </w:r>
    </w:p>
    <w:p>
      <w:pPr>
        <w:pStyle w:val="Heading3"/>
        <w:numPr>
          <w:ilvl w:val="2"/>
          <w:numId w:val="12"/>
        </w:numPr>
        <w:tabs>
          <w:tab w:val="clear" w:pos="1134"/>
        </w:tabs>
        <w:spacing w:before="120" w:after="120"/>
        <w:ind w:hanging="284" w:start="1418" w:end="0"/>
        <w:rPr>
          <w:rFonts w:ascii="Arial" w:hAnsi="Arial" w:cs="Arial"/>
          <w:color w:val="000000"/>
          <w:sz w:val="16"/>
          <w:szCs w:val="16"/>
        </w:rPr>
      </w:pPr>
      <w:r>
        <w:rPr>
          <w:rFonts w:eastAsia="Arial Unicode MS"/>
        </w:rPr>
        <w:t>all internal process and procedures have been followed,</w:t>
      </w:r>
    </w:p>
    <w:p>
      <w:pPr>
        <w:pStyle w:val="Heading3"/>
        <w:numPr>
          <w:ilvl w:val="2"/>
          <w:numId w:val="12"/>
        </w:numPr>
        <w:tabs>
          <w:tab w:val="clear" w:pos="1134"/>
        </w:tabs>
        <w:spacing w:before="120" w:after="120"/>
        <w:ind w:hanging="284" w:start="1418" w:end="0"/>
        <w:rPr>
          <w:rFonts w:ascii="Arial" w:hAnsi="Arial" w:cs="Arial"/>
          <w:color w:val="000000"/>
          <w:sz w:val="16"/>
          <w:szCs w:val="16"/>
        </w:rPr>
      </w:pPr>
      <w:r>
        <w:rPr>
          <w:rFonts w:eastAsia="Arial Unicode MS"/>
        </w:rPr>
        <w:t>all financial  records and related data in the possession and control of Service Provider has been made available upon request to the GlobalPharma designated auditors for review and examination,</w:t>
      </w:r>
    </w:p>
    <w:p>
      <w:pPr>
        <w:pStyle w:val="Heading3"/>
        <w:numPr>
          <w:ilvl w:val="2"/>
          <w:numId w:val="12"/>
        </w:numPr>
        <w:tabs>
          <w:tab w:val="clear" w:pos="1134"/>
        </w:tabs>
        <w:spacing w:before="120" w:after="120"/>
        <w:ind w:hanging="284" w:start="1418" w:end="0"/>
        <w:rPr/>
      </w:pPr>
      <w:r>
        <w:rPr>
          <w:rFonts w:eastAsia="Arial Unicode MS"/>
        </w:rPr>
        <w:t>confirms that there have been no material changes to the control environment.</w:t>
      </w:r>
    </w:p>
    <w:p>
      <w:pPr>
        <w:pStyle w:val="Formatvorlage1"/>
        <w:numPr>
          <w:ilvl w:val="0"/>
          <w:numId w:val="18"/>
        </w:numPr>
        <w:ind w:hanging="0" w:start="0"/>
        <w:rPr/>
      </w:pPr>
      <w:bookmarkStart w:id="9" w:name="__RefHeading___Toc157773619"/>
      <w:bookmarkEnd w:id="9"/>
      <w:r>
        <w:rPr/>
        <w:t>General</w:t>
      </w:r>
    </w:p>
    <w:p>
      <w:pPr>
        <w:pStyle w:val="Heading2"/>
        <w:numPr>
          <w:ilvl w:val="1"/>
          <w:numId w:val="18"/>
        </w:numPr>
        <w:ind w:hanging="0" w:start="0"/>
        <w:rPr/>
      </w:pPr>
      <w:r>
        <w:rPr/>
        <w:t>The Service Provider</w:t>
      </w:r>
      <w:r>
        <w:rPr>
          <w:rFonts w:cs="Times New Roman" w:ascii="Times New Roman" w:hAnsi="Times New Roman"/>
        </w:rPr>
        <w:t>’</w:t>
      </w:r>
      <w:r>
        <w:rPr/>
        <w:t>s responsibilities include, but are not limited to the following:</w:t>
      </w:r>
    </w:p>
    <w:p>
      <w:pPr>
        <w:pStyle w:val="Heading2"/>
        <w:numPr>
          <w:ilvl w:val="1"/>
          <w:numId w:val="18"/>
        </w:numPr>
        <w:ind w:hanging="0" w:start="0"/>
        <w:rPr/>
      </w:pPr>
      <w:r>
        <w:rPr/>
        <w:t>Form internal audit group &amp; audit committees to ensure adequacy of internal controls through process audits aligned to the overall governance structure.</w:t>
      </w:r>
    </w:p>
    <w:p>
      <w:pPr>
        <w:pStyle w:val="Heading2"/>
        <w:numPr>
          <w:ilvl w:val="1"/>
          <w:numId w:val="18"/>
        </w:numPr>
        <w:ind w:hanging="0" w:start="0"/>
        <w:rPr/>
      </w:pPr>
      <w:r>
        <w:rPr/>
        <w:t>Follow escalation process for clarification of internal control issues and questions according to GlobalPharma policies and procedures.</w:t>
      </w:r>
    </w:p>
    <w:p>
      <w:pPr>
        <w:pStyle w:val="Heading2"/>
        <w:numPr>
          <w:ilvl w:val="1"/>
          <w:numId w:val="18"/>
        </w:numPr>
        <w:ind w:hanging="0" w:start="0"/>
        <w:rPr>
          <w:rFonts w:ascii="Arial" w:hAnsi="Arial" w:eastAsia="Arial Unicode MS" w:cs="Arial"/>
          <w:szCs w:val="16"/>
        </w:rPr>
      </w:pPr>
      <w:r>
        <w:rPr/>
        <w:t>Participate in quarterly financial reporting and controls committee meetings with a focus on control and financial reporting activities.</w:t>
      </w:r>
    </w:p>
    <w:p>
      <w:pPr>
        <w:pStyle w:val="Heading2"/>
        <w:numPr>
          <w:ilvl w:val="1"/>
          <w:numId w:val="18"/>
        </w:numPr>
        <w:ind w:hanging="0" w:start="0"/>
        <w:rPr>
          <w:rFonts w:eastAsia="Arial Unicode MS"/>
        </w:rPr>
      </w:pPr>
      <w:r>
        <w:rPr/>
        <w:t xml:space="preserve">Record and update all open controls issues in the GlobalPharma tracking tool. </w:t>
      </w:r>
    </w:p>
    <w:p>
      <w:pPr>
        <w:pStyle w:val="Heading2"/>
        <w:numPr>
          <w:ilvl w:val="1"/>
          <w:numId w:val="18"/>
        </w:numPr>
        <w:ind w:hanging="0" w:start="0"/>
        <w:rPr/>
      </w:pPr>
      <w:r>
        <w:rPr/>
        <w:t>Provide personnel to participate, as reasonably requested, in internal control workshops / assessment activities.</w:t>
      </w:r>
    </w:p>
    <w:p>
      <w:pPr>
        <w:pStyle w:val="Formatvorlage1"/>
        <w:numPr>
          <w:ilvl w:val="0"/>
          <w:numId w:val="18"/>
        </w:numPr>
        <w:ind w:hanging="0" w:start="0"/>
        <w:rPr/>
      </w:pPr>
      <w:bookmarkStart w:id="10" w:name="__RefHeading___Toc157773620"/>
      <w:bookmarkEnd w:id="10"/>
      <w:r>
        <w:rPr/>
        <w:t>Third Party Material</w:t>
      </w:r>
    </w:p>
    <w:p>
      <w:pPr>
        <w:pStyle w:val="Heading2"/>
        <w:numPr>
          <w:ilvl w:val="1"/>
          <w:numId w:val="18"/>
        </w:numPr>
        <w:ind w:hanging="0" w:start="0"/>
        <w:rPr/>
      </w:pPr>
      <w:r>
        <w:rPr/>
        <w:t>The Service Provider</w:t>
      </w:r>
      <w:r>
        <w:rPr>
          <w:rFonts w:cs="Times New Roman" w:ascii="Times New Roman" w:hAnsi="Times New Roman"/>
        </w:rPr>
        <w:t>’</w:t>
      </w:r>
      <w:r>
        <w:rPr/>
        <w:t xml:space="preserve">s </w:t>
      </w:r>
      <w:r>
        <w:rPr>
          <w:lang w:val="en-GB"/>
        </w:rPr>
        <w:t>responsibilities</w:t>
      </w:r>
      <w:r>
        <w:rPr/>
        <w:t xml:space="preserve"> include, but are not limited to</w:t>
      </w:r>
    </w:p>
    <w:p>
      <w:pPr>
        <w:pStyle w:val="Heading2"/>
        <w:numPr>
          <w:ilvl w:val="1"/>
          <w:numId w:val="18"/>
        </w:numPr>
        <w:ind w:hanging="0" w:start="0"/>
        <w:rPr/>
      </w:pPr>
      <w:r>
        <w:rPr/>
        <w:t>Update with the assistance and the approval of GlobalPharma at least at every 6th (sixth) month of the Term of the Agreement the list of third party material in Exhibit 24 (Third Party Materials).</w:t>
      </w:r>
      <w:r>
        <w:rPr>
          <w:lang w:val="en-GB"/>
        </w:rPr>
      </w:r>
      <w:r>
        <w:rPr/>
      </w:r>
      <w:r>
        <w:rPr>
          <w:vertAlign w:val="superscript"/>
        </w:rPr>
      </w:r>
      <w:r>
        <w:rPr/>
      </w:r>
    </w:p>
    <w:p>
      <w:pPr>
        <w:pStyle w:val="Formatvorlage1"/>
        <w:numPr>
          <w:ilvl w:val="0"/>
          <w:numId w:val="18"/>
        </w:numPr>
        <w:ind w:hanging="0" w:start="0"/>
        <w:rPr/>
      </w:pPr>
      <w:bookmarkStart w:id="11" w:name="__RefHeading___Toc157773621"/>
      <w:bookmarkEnd w:id="11"/>
      <w:r>
        <w:rPr/>
        <w:t>IP Rights Listing</w:t>
      </w:r>
    </w:p>
    <w:p>
      <w:pPr>
        <w:pStyle w:val="Normal"/>
        <w:rPr/>
      </w:pPr>
      <w:r>
        <w:rPr>
          <w:lang w:val="en-GB"/>
        </w:rPr>
        <w:t xml:space="preserve">The Parties will list below, as updated periodically </w:t>
      </w:r>
      <w:r>
        <w:rPr/>
        <w:t>at least at every 6</w:t>
      </w:r>
      <w:r>
        <w:rPr>
          <w:vertAlign w:val="superscript"/>
        </w:rPr>
        <w:t>th</w:t>
      </w:r>
      <w:r>
        <w:rPr/>
        <w:t xml:space="preserve"> (sixth) month </w:t>
      </w:r>
      <w:r>
        <w:rPr>
          <w:lang w:val="en-GB"/>
        </w:rPr>
        <w:t>of the Term of The Agreement, Materials developed under The Agreement as described in clause 7.3.1 of the MSA:</w:t>
      </w:r>
    </w:p>
    <w:p>
      <w:pPr>
        <w:pStyle w:val="Heading2"/>
        <w:keepNext w:val="true"/>
        <w:numPr>
          <w:ilvl w:val="1"/>
          <w:numId w:val="18"/>
        </w:numPr>
        <w:tabs>
          <w:tab w:val="clear" w:pos="1134"/>
          <w:tab w:val="left" w:pos="504" w:leader="none"/>
          <w:tab w:val="left" w:pos="851" w:leader="none"/>
        </w:tabs>
        <w:ind w:hanging="504" w:start="504" w:end="0"/>
        <w:rPr/>
      </w:pPr>
      <w:r>
        <w:rPr>
          <w:lang w:val="en-GB"/>
        </w:rPr>
        <w:t xml:space="preserve">Type I </w:t>
      </w:r>
      <w:r>
        <w:rPr/>
        <w:t>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Heading2"/>
        <w:keepNext w:val="true"/>
        <w:numPr>
          <w:ilvl w:val="1"/>
          <w:numId w:val="18"/>
        </w:numPr>
        <w:tabs>
          <w:tab w:val="clear" w:pos="1134"/>
          <w:tab w:val="left" w:pos="504" w:leader="none"/>
          <w:tab w:val="left" w:pos="851" w:leader="none"/>
        </w:tabs>
        <w:ind w:hanging="504" w:start="504" w:end="0"/>
        <w:rPr/>
      </w:pPr>
      <w:r>
        <w:rPr>
          <w:lang w:val="en-GB"/>
        </w:rPr>
        <w:t>Type II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Heading2"/>
        <w:keepNext w:val="true"/>
        <w:numPr>
          <w:ilvl w:val="1"/>
          <w:numId w:val="18"/>
        </w:numPr>
        <w:tabs>
          <w:tab w:val="clear" w:pos="1134"/>
          <w:tab w:val="left" w:pos="504" w:leader="none"/>
          <w:tab w:val="left" w:pos="851" w:leader="none"/>
        </w:tabs>
        <w:ind w:hanging="504" w:start="504" w:end="0"/>
        <w:rPr/>
      </w:pPr>
      <w:r>
        <w:rPr>
          <w:lang w:val="en-GB"/>
        </w:rPr>
        <w:t>Type III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Heading2"/>
        <w:keepNext w:val="true"/>
        <w:numPr>
          <w:ilvl w:val="1"/>
          <w:numId w:val="18"/>
        </w:numPr>
        <w:tabs>
          <w:tab w:val="clear" w:pos="1134"/>
          <w:tab w:val="left" w:pos="504" w:leader="none"/>
          <w:tab w:val="left" w:pos="851" w:leader="none"/>
        </w:tabs>
        <w:ind w:hanging="504" w:start="504" w:end="0"/>
        <w:rPr/>
      </w:pPr>
      <w:r>
        <w:rPr>
          <w:lang w:val="en-GB"/>
        </w:rPr>
        <w:t>Type IV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Normal"/>
        <w:rPr/>
      </w:pPr>
      <w:r>
        <w:rPr/>
      </w:r>
    </w:p>
    <w:p>
      <w:pPr>
        <w:pStyle w:val="TableText"/>
        <w:spacing w:before="120" w:after="120"/>
        <w:rPr/>
      </w:pPr>
      <w:r>
        <w:rPr/>
      </w:r>
    </w:p>
    <w:sectPr>
      <w:headerReference w:type="default" r:id="rId2"/>
      <w:footerReference w:type="default" r:id="rId3"/>
      <w:type w:val="nextPage"/>
      <w:pgSz w:w="12240" w:h="15840"/>
      <w:pgMar w:left="862" w:right="862" w:gutter="0" w:header="720" w:top="2516" w:footer="32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jc w:val="center"/>
      <w:rPr>
        <w:rFonts w:ascii="Arial" w:hAnsi="Arial" w:cs="Arial"/>
        <w:sz w:val="20"/>
        <w:szCs w:val="22"/>
      </w:rPr>
    </w:pPr>
    <w:r>
      <w:rPr>
        <w:rFonts w:cs="Arial" w:ascii="Arial" w:hAnsi="Arial"/>
        <w:sz w:val="20"/>
        <w:szCs w:val="22"/>
      </w:rPr>
      <w:t>GlobalPharma and ServicePro Confidential</w:t>
    </w:r>
  </w:p>
  <w:p>
    <w:pPr>
      <w:pStyle w:val="Footer"/>
      <w:spacing w:before="120" w:after="120"/>
      <w:jc w:val="center"/>
      <w:rPr>
        <w:rFonts w:ascii="Arial" w:hAnsi="Arial" w:cs="Arial"/>
        <w:sz w:val="20"/>
        <w:szCs w:val="22"/>
      </w:rPr>
    </w:pPr>
    <w:r>
      <w:rPr>
        <w:rFonts w:cs="Arial" w:ascii="Arial" w:hAnsi="Arial"/>
        <w:sz w:val="20"/>
        <w:szCs w:val="22"/>
      </w:rPr>
      <w:fldChar w:fldCharType="begin"/>
    </w:r>
    <w:r>
      <w:rPr>
        <w:sz w:val="20"/>
        <w:szCs w:val="22"/>
        <w:rFonts w:cs="Arial" w:ascii="Arial" w:hAnsi="Arial"/>
      </w:rPr>
      <w:instrText xml:space="preserve"> PAGE </w:instrText>
    </w:r>
    <w:r>
      <w:rPr>
        <w:sz w:val="20"/>
        <w:szCs w:val="22"/>
        <w:rFonts w:cs="Arial" w:ascii="Arial" w:hAnsi="Arial"/>
      </w:rPr>
      <w:fldChar w:fldCharType="separate"/>
    </w:r>
    <w:r>
      <w:rPr>
        <w:sz w:val="20"/>
        <w:szCs w:val="22"/>
        <w:rFonts w:cs="Arial" w:ascii="Arial" w:hAnsi="Arial"/>
      </w:rPr>
      <w:t>10</w:t>
    </w:r>
    <w:r>
      <w:rPr>
        <w:sz w:val="20"/>
        <w:szCs w:val="22"/>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21">
          <wp:simplePos x="0" y="0"/>
          <wp:positionH relativeFrom="column">
            <wp:posOffset>7886700</wp:posOffset>
          </wp:positionH>
          <wp:positionV relativeFrom="paragraph">
            <wp:posOffset>45720</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anchor behindDoc="1" distT="0" distB="0" distL="114935" distR="114935" simplePos="0" locked="0" layoutInCell="1" allowOverlap="1" relativeHeight="31">
          <wp:simplePos x="0" y="0"/>
          <wp:positionH relativeFrom="column">
            <wp:posOffset>5676900</wp:posOffset>
          </wp:positionH>
          <wp:positionV relativeFrom="paragraph">
            <wp:posOffset>-31115</wp:posOffset>
          </wp:positionV>
          <wp:extent cx="1028700" cy="385445"/>
          <wp:effectExtent l="0" t="0" r="0" b="0"/>
          <wp:wrapNone/>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371600" cy="34798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3"/>
                  <a:srcRect l="-24" t="-104" r="-24" b="-104"/>
                  <a:stretch>
                    <a:fillRect/>
                  </a:stretch>
                </pic:blipFill>
                <pic:spPr bwMode="auto">
                  <a:xfrm>
                    <a:off x="0" y="0"/>
                    <a:ext cx="1371600" cy="347980"/>
                  </a:xfrm>
                  <a:prstGeom prst="rect">
                    <a:avLst/>
                  </a:prstGeom>
                  <a:noFill/>
                </pic:spPr>
              </pic:pic>
            </a:graphicData>
          </a:graphic>
        </wp:inline>
      </w:drawing>
    </w:r>
  </w:p>
  <w:p>
    <w:pPr>
      <w:pStyle w:val="Header"/>
      <w:pBdr>
        <w:bottom w:val="single" w:sz="4" w:space="1" w:color="000000"/>
      </w:pBdr>
      <w:tabs>
        <w:tab w:val="clear" w:pos="14400"/>
        <w:tab w:val="right" w:pos="9360" w:leader="none"/>
        <w:tab w:val="right" w:pos="14760" w:leader="none"/>
      </w:tabs>
      <w:spacing w:before="120" w:after="120"/>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1">
    <w:lvl w:ilvl="0">
      <w:start w:val="1"/>
      <w:numFmt w:val="bullet"/>
      <w:lvlText w:val=""/>
      <w:lvlJc w:val="start"/>
      <w:pPr>
        <w:tabs>
          <w:tab w:val="num" w:pos="1800"/>
        </w:tabs>
        <w:ind w:start="1800" w:hanging="360"/>
      </w:pPr>
      <w:rPr>
        <w:rFonts w:ascii="Symbol" w:hAnsi="Symbol" w:cs="Symbol" w:hint="default"/>
      </w:rPr>
    </w:lvl>
  </w:abstractNum>
  <w:abstractNum w:abstractNumId="12">
    <w:lvl w:ilvl="0">
      <w:start w:val="1"/>
      <w:numFmt w:val="decimal"/>
      <w:lvlText w:val="%1."/>
      <w:lvlJc w:val="start"/>
      <w:pPr>
        <w:tabs>
          <w:tab w:val="num" w:pos="504"/>
        </w:tabs>
        <w:ind w:start="504" w:hanging="504"/>
      </w:pPr>
      <w:rPr>
        <w:sz w:val="24"/>
        <w:i w:val="false"/>
        <w:b/>
        <w:rFonts w:ascii="Times New Roman Bold;Times New Roman" w:hAnsi="Times New Roman Bold;Times New Roman" w:cs="Times New Roman"/>
        <w:color w:val="000000"/>
      </w:rPr>
    </w:lvl>
    <w:lvl w:ilvl="1">
      <w:start w:val="1"/>
      <w:numFmt w:val="decimal"/>
      <w:lvlText w:val="%1.%2."/>
      <w:lvlJc w:val="start"/>
      <w:pPr>
        <w:tabs>
          <w:tab w:val="num" w:pos="504"/>
        </w:tabs>
        <w:ind w:start="504" w:hanging="504"/>
      </w:pPr>
      <w:rPr>
        <w:sz w:val="24"/>
        <w:i w:val="false"/>
        <w:b/>
        <w:rFonts w:ascii="Times New Roman Bold;Times New Roman" w:hAnsi="Times New Roman Bold;Times New Roman" w:cs="Times New Roman"/>
        <w:lang w:val="en-GB"/>
      </w:rPr>
    </w:lvl>
    <w:lvl w:ilvl="2">
      <w:start w:val="1"/>
      <w:numFmt w:val="bullet"/>
      <w:lvlText w:val=""/>
      <w:lvlJc w:val="start"/>
      <w:pPr>
        <w:tabs>
          <w:tab w:val="num" w:pos="360"/>
        </w:tabs>
        <w:ind w:start="360" w:hanging="360"/>
      </w:pPr>
      <w:rPr>
        <w:rFonts w:ascii="Wingdings" w:hAnsi="Wingdings" w:cs="Wingdings" w:hint="default"/>
        <w:sz w:val="24"/>
        <w:i w:val="false"/>
        <w:b/>
        <w:color w:val="000000"/>
      </w:rPr>
    </w:lvl>
    <w:lvl w:ilvl="3">
      <w:start w:val="1"/>
      <w:numFmt w:val="decimal"/>
      <w:lvlText w:val="%1.%2.%3.%4."/>
      <w:lvlJc w:val="start"/>
      <w:pPr>
        <w:tabs>
          <w:tab w:val="num" w:pos="1080"/>
        </w:tabs>
        <w:ind w:start="1080" w:hanging="1080"/>
      </w:pPr>
      <w:rPr>
        <w:sz w:val="22"/>
        <w:i/>
        <w:b w:val="false"/>
        <w:rFonts w:ascii="Times New Roman" w:hAnsi="Times New Roman" w:cs="Times New Roman"/>
      </w:rPr>
    </w:lvl>
    <w:lvl w:ilvl="4">
      <w:start w:val="1"/>
      <w:numFmt w:val="upperLetter"/>
      <w:lvlText w:val="%5."/>
      <w:lvlJc w:val="start"/>
      <w:pPr>
        <w:tabs>
          <w:tab w:val="num" w:pos="1080"/>
        </w:tabs>
        <w:ind w:start="1080" w:hanging="576"/>
      </w:pPr>
      <w:rPr/>
    </w:lvl>
    <w:lvl w:ilvl="5">
      <w:start w:val="1"/>
      <w:numFmt w:val="decimal"/>
      <w:lvlText w:val="%6."/>
      <w:lvlJc w:val="start"/>
      <w:pPr>
        <w:tabs>
          <w:tab w:val="num" w:pos="1080"/>
        </w:tabs>
        <w:ind w:start="1080" w:hanging="576"/>
      </w:pPr>
      <w:rPr/>
    </w:lvl>
    <w:lvl w:ilvl="6">
      <w:start w:val="1"/>
      <w:numFmt w:val="lowerLetter"/>
      <w:lvlText w:val="%7."/>
      <w:lvlJc w:val="start"/>
      <w:pPr>
        <w:tabs>
          <w:tab w:val="num" w:pos="1512"/>
        </w:tabs>
        <w:ind w:start="1512" w:hanging="432"/>
      </w:pPr>
      <w:rPr/>
    </w:lvl>
    <w:lvl w:ilvl="7">
      <w:start w:val="1"/>
      <w:numFmt w:val="lowerRoman"/>
      <w:lvlText w:val="%8.)"/>
      <w:lvlJc w:val="start"/>
      <w:pPr>
        <w:tabs>
          <w:tab w:val="num" w:pos="1512"/>
        </w:tabs>
        <w:ind w:start="1512" w:hanging="432"/>
      </w:pPr>
      <w:rPr/>
    </w:lvl>
    <w:lvl w:ilvl="8">
      <w:start w:val="1"/>
      <w:numFmt w:val="none"/>
      <w:suff w:val="nothing"/>
      <w:lvlText w:val=""/>
      <w:lvlJc w:val="start"/>
      <w:pPr>
        <w:tabs>
          <w:tab w:val="num" w:pos="144"/>
        </w:tabs>
        <w:ind w:start="216" w:hanging="0"/>
      </w:pPr>
      <w:rPr/>
    </w:lvl>
  </w:abstractNum>
  <w:abstractNum w:abstractNumId="13">
    <w:lvl w:ilvl="0">
      <w:start w:val="1"/>
      <w:numFmt w:val="bullet"/>
      <w:lvlText w:val=""/>
      <w:lvlJc w:val="start"/>
      <w:pPr>
        <w:tabs>
          <w:tab w:val="num" w:pos="1080"/>
        </w:tabs>
        <w:ind w:start="1080" w:hanging="360"/>
      </w:pPr>
      <w:rPr>
        <w:rFonts w:ascii="Symbol" w:hAnsi="Symbol" w:cs="Symbol" w:hint="default"/>
      </w:rPr>
    </w:lvl>
  </w:abstractNum>
  <w:abstractNum w:abstractNumId="14">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4"/>
        <w:i w:val="false"/>
        <w:b/>
        <w:rFonts w:ascii="Times New Roman Bold;Times New Roman" w:hAnsi="Times New Roman Bold;Times New Roman" w:cs="Times New Roman Bold;Times New Roman"/>
        <w:lang w:val="en-US"/>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5">
    <w:lvl w:ilvl="0">
      <w:start w:val="1"/>
      <w:numFmt w:val="bullet"/>
      <w:lvlText w:val=""/>
      <w:lvlJc w:val="start"/>
      <w:pPr>
        <w:tabs>
          <w:tab w:val="num" w:pos="2707"/>
        </w:tabs>
        <w:ind w:start="2707" w:hanging="547"/>
      </w:pPr>
      <w:rPr>
        <w:rFonts w:ascii="Symbol" w:hAnsi="Symbol" w:cs="Symbol" w:hint="default"/>
      </w:rPr>
    </w:lvl>
  </w:abstractNum>
  <w:abstractNum w:abstractNumId="16">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decimal"/>
      <w:lvlText w:val="%1."/>
      <w:lvlJc w:val="start"/>
      <w:pPr>
        <w:tabs>
          <w:tab w:val="num" w:pos="504"/>
        </w:tabs>
        <w:ind w:start="504" w:hanging="504"/>
      </w:pPr>
      <w:rPr>
        <w:sz w:val="24"/>
        <w:i w:val="false"/>
        <w:b/>
        <w:rFonts w:ascii="Times New Roman Bold;Times New Roman" w:hAnsi="Times New Roman Bold;Times New Roman" w:cs="Times New Roman"/>
        <w:color w:val="000000"/>
      </w:rPr>
    </w:lvl>
    <w:lvl w:ilvl="1">
      <w:start w:val="1"/>
      <w:numFmt w:val="decimal"/>
      <w:lvlText w:val="%1.%2."/>
      <w:lvlJc w:val="start"/>
      <w:pPr>
        <w:tabs>
          <w:tab w:val="num" w:pos="1044"/>
        </w:tabs>
        <w:ind w:start="1044" w:hanging="504"/>
      </w:pPr>
      <w:rPr>
        <w:sz w:val="24"/>
        <w:i w:val="false"/>
        <w:b/>
        <w:rFonts w:ascii="Times New Roman Bold;Times New Roman" w:hAnsi="Times New Roman Bold;Times New Roman" w:cs="Times New Roman"/>
        <w:lang w:val="en-GB"/>
      </w:rPr>
    </w:lvl>
    <w:lvl w:ilvl="2">
      <w:start w:val="1"/>
      <w:numFmt w:val="decimal"/>
      <w:lvlText w:val="%1.%2.%3."/>
      <w:lvlJc w:val="start"/>
      <w:pPr>
        <w:tabs>
          <w:tab w:val="num" w:pos="1080"/>
        </w:tabs>
        <w:ind w:start="1080" w:hanging="1080"/>
      </w:pPr>
      <w:rPr>
        <w:sz w:val="22"/>
        <w:i w:val="false"/>
        <w:b w:val="false"/>
        <w:rFonts w:ascii="Times New Roman" w:hAnsi="Times New Roman" w:cs="Times New Roman"/>
        <w:lang w:val="en-US"/>
      </w:rPr>
    </w:lvl>
    <w:lvl w:ilvl="3">
      <w:start w:val="1"/>
      <w:numFmt w:val="decimal"/>
      <w:lvlText w:val="%1.%2.%3.%4."/>
      <w:lvlJc w:val="start"/>
      <w:pPr>
        <w:tabs>
          <w:tab w:val="num" w:pos="1080"/>
        </w:tabs>
        <w:ind w:start="1080" w:hanging="1080"/>
      </w:pPr>
      <w:rPr>
        <w:sz w:val="22"/>
        <w:i/>
        <w:b w:val="false"/>
        <w:rFonts w:ascii="Times New Roman" w:hAnsi="Times New Roman" w:cs="Times New Roman"/>
      </w:rPr>
    </w:lvl>
    <w:lvl w:ilvl="4">
      <w:start w:val="1"/>
      <w:numFmt w:val="upperLetter"/>
      <w:lvlText w:val="%5."/>
      <w:lvlJc w:val="start"/>
      <w:pPr>
        <w:tabs>
          <w:tab w:val="num" w:pos="1080"/>
        </w:tabs>
        <w:ind w:start="1080" w:hanging="576"/>
      </w:pPr>
      <w:rPr/>
    </w:lvl>
    <w:lvl w:ilvl="5">
      <w:start w:val="1"/>
      <w:numFmt w:val="decimal"/>
      <w:lvlText w:val="%6."/>
      <w:lvlJc w:val="start"/>
      <w:pPr>
        <w:tabs>
          <w:tab w:val="num" w:pos="1080"/>
        </w:tabs>
        <w:ind w:start="1080" w:hanging="576"/>
      </w:pPr>
      <w:rPr/>
    </w:lvl>
    <w:lvl w:ilvl="6">
      <w:start w:val="1"/>
      <w:numFmt w:val="lowerLetter"/>
      <w:lvlText w:val="%7."/>
      <w:lvlJc w:val="start"/>
      <w:pPr>
        <w:tabs>
          <w:tab w:val="num" w:pos="1512"/>
        </w:tabs>
        <w:ind w:start="1512" w:hanging="432"/>
      </w:pPr>
      <w:rPr/>
    </w:lvl>
    <w:lvl w:ilvl="7">
      <w:start w:val="1"/>
      <w:numFmt w:val="lowerRoman"/>
      <w:lvlText w:val="%8.)"/>
      <w:lvlJc w:val="start"/>
      <w:pPr>
        <w:tabs>
          <w:tab w:val="num" w:pos="1512"/>
        </w:tabs>
        <w:ind w:start="1512" w:hanging="432"/>
      </w:pPr>
      <w:rPr/>
    </w:lvl>
    <w:lvl w:ilvl="8">
      <w:start w:val="1"/>
      <w:numFmt w:val="none"/>
      <w:suff w:val="nothing"/>
      <w:lvlText w:val=""/>
      <w:lvlJc w:val="start"/>
      <w:pPr>
        <w:tabs>
          <w:tab w:val="num" w:pos="144"/>
        </w:tabs>
        <w:ind w:start="216" w:hanging="0"/>
      </w:pPr>
      <w:rPr/>
    </w:lvl>
  </w:abstractNum>
  <w:abstractNum w:abstractNumId="19">
    <w:lvl w:ilvl="0">
      <w:start w:val="1"/>
      <w:numFmt w:val="bullet"/>
      <w:lvlText w:val=""/>
      <w:lvlJc w:val="start"/>
      <w:pPr>
        <w:tabs>
          <w:tab w:val="num" w:pos="1440"/>
        </w:tabs>
        <w:ind w:start="1440" w:hanging="360"/>
      </w:pPr>
      <w:rPr>
        <w:rFonts w:ascii="Symbol" w:hAnsi="Symbol" w:cs="Symbol" w:hint="default"/>
      </w:rPr>
    </w:lvl>
  </w:abstractNum>
  <w:abstractNum w:abstractNumId="20">
    <w:lvl w:ilvl="0">
      <w:start w:val="1"/>
      <w:numFmt w:val="bullet"/>
      <w:lvlText w:val=""/>
      <w:lvlJc w:val="start"/>
      <w:pPr>
        <w:tabs>
          <w:tab w:val="num" w:pos="1627"/>
        </w:tabs>
        <w:ind w:start="1627" w:hanging="547"/>
      </w:pPr>
      <w:rPr>
        <w:rFonts w:ascii="Symbol" w:hAnsi="Symbol" w:cs="Symbol" w:hint="default"/>
      </w:rPr>
    </w:lvl>
  </w:abstractNum>
  <w:abstractNum w:abstractNumId="21">
    <w:lvl w:ilvl="0">
      <w:start w:val="1"/>
      <w:numFmt w:val="bullet"/>
      <w:lvlText w:val=""/>
      <w:lvlJc w:val="start"/>
      <w:pPr>
        <w:tabs>
          <w:tab w:val="num" w:pos="2160"/>
        </w:tabs>
        <w:ind w:start="2160" w:hanging="533"/>
      </w:pPr>
      <w:rPr>
        <w:rFonts w:ascii="Symbol" w:hAnsi="Symbol" w:cs="Symbol" w:hint="default"/>
      </w:rPr>
    </w:lvl>
  </w:abstractNum>
  <w:abstractNum w:abstractNumId="22">
    <w:lvl w:ilvl="0">
      <w:start w:val="1"/>
      <w:isLgl/>
      <w:numFmt w:val="decimal"/>
      <w:lvlText w:val="%1.0"/>
      <w:lvlJc w:val="start"/>
      <w:pPr>
        <w:tabs>
          <w:tab w:val="num" w:pos="0"/>
        </w:tabs>
        <w:ind w:start="0" w:hanging="0"/>
      </w:pPr>
      <w:rPr>
        <w:sz w:val="28"/>
        <w:i w:val="false"/>
        <w:b/>
        <w:szCs w:val="28"/>
        <w:rFonts w:ascii="Times New Roman Bold;Times New Roman" w:hAnsi="Times New Roman Bold;Times New Roman" w:cs="Times New Roman Bold;Times New Roman"/>
        <w:color w:val="000000"/>
      </w:rPr>
    </w:lvl>
    <w:lvl w:ilvl="1">
      <w:start w:val="1"/>
      <w:numFmt w:val="decimal"/>
      <w:lvlText w:val="%1.%2."/>
      <w:lvlJc w:val="start"/>
      <w:pPr>
        <w:tabs>
          <w:tab w:val="num" w:pos="288"/>
        </w:tabs>
        <w:ind w:start="288" w:hanging="619"/>
      </w:pPr>
      <w:rPr>
        <w:sz w:val="22"/>
        <w:i w:val="false"/>
        <w:b w:val="false"/>
        <w:rFonts w:ascii="Times New Roman" w:hAnsi="Times New Roman" w:cs="Times New Roman"/>
      </w:rPr>
    </w:lvl>
    <w:lvl w:ilvl="2">
      <w:start w:val="1"/>
      <w:numFmt w:val="decimal"/>
      <w:lvlText w:val="%1.%2.%3."/>
      <w:lvlJc w:val="start"/>
      <w:pPr>
        <w:tabs>
          <w:tab w:val="num" w:pos="576"/>
        </w:tabs>
        <w:ind w:start="576" w:hanging="878"/>
      </w:pPr>
      <w:rPr>
        <w:sz w:val="22"/>
        <w:i w:val="false"/>
        <w:b w:val="false"/>
        <w:rFonts w:ascii="Times New Roman" w:hAnsi="Times New Roman" w:cs="Times New Roman"/>
      </w:rPr>
    </w:lvl>
    <w:lvl w:ilvl="3">
      <w:start w:val="1"/>
      <w:numFmt w:val="decimal"/>
      <w:lvlText w:val="%1.%2.%3.%4."/>
      <w:lvlJc w:val="start"/>
      <w:pPr>
        <w:tabs>
          <w:tab w:val="num" w:pos="720"/>
        </w:tabs>
        <w:ind w:start="720" w:hanging="994"/>
      </w:pPr>
      <w:rPr>
        <w:sz w:val="22"/>
        <w:i w:val="false"/>
        <w:b w:val="false"/>
        <w:rFonts w:ascii="Times New Roman" w:hAnsi="Times New Roman" w:cs="Times New Roman"/>
      </w:rPr>
    </w:lvl>
    <w:lvl w:ilvl="4">
      <w:start w:val="1"/>
      <w:numFmt w:val="none"/>
      <w:suff w:val="nothing"/>
      <w:lvlText w:val=""/>
      <w:lvlJc w:val="start"/>
      <w:pPr>
        <w:ind w:start="720" w:hanging="0"/>
      </w:pPr>
      <w:rPr/>
    </w:lvl>
    <w:lvl w:ilvl="5">
      <w:start w:val="1"/>
      <w:numFmt w:val="none"/>
      <w:suff w:val="nothing"/>
      <w:lvlText w:val=""/>
      <w:lvlJc w:val="start"/>
      <w:pPr>
        <w:ind w:start="720" w:hanging="0"/>
      </w:pPr>
      <w:rPr/>
    </w:lvl>
    <w:lvl w:ilvl="6">
      <w:start w:val="1"/>
      <w:numFmt w:val="none"/>
      <w:suff w:val="nothing"/>
      <w:lvlText w:val=""/>
      <w:lvlJc w:val="start"/>
      <w:pPr>
        <w:ind w:start="720" w:hanging="0"/>
      </w:pPr>
      <w:rPr/>
    </w:lvl>
    <w:lvl w:ilvl="7">
      <w:start w:val="1"/>
      <w:numFmt w:val="none"/>
      <w:suff w:val="nothing"/>
      <w:lvlText w:val=""/>
      <w:lvlJc w:val="start"/>
      <w:pPr>
        <w:ind w:start="720" w:hanging="0"/>
      </w:pPr>
      <w:rPr/>
    </w:lvl>
    <w:lvl w:ilvl="8">
      <w:start w:val="1"/>
      <w:numFmt w:val="none"/>
      <w:suff w:val="nothing"/>
      <w:lvlText w:val=""/>
      <w:lvlJc w:val="start"/>
      <w:pPr>
        <w:ind w:start="720" w:hanging="0"/>
      </w:pPr>
      <w:rPr/>
    </w:lvl>
  </w:abstractNum>
  <w:abstractNum w:abstractNumId="23">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4.%2"/>
      <w:lvlJc w:val="start"/>
      <w:pPr>
        <w:tabs>
          <w:tab w:val="num" w:pos="1008"/>
        </w:tabs>
        <w:ind w:start="1008" w:hanging="619"/>
      </w:pPr>
      <w:rPr>
        <w:sz w:val="28"/>
        <w:i w:val="false"/>
        <w:b/>
        <w:szCs w:val="28"/>
        <w:rFonts w:ascii="Times New Roman Bold;Times New Roman" w:hAnsi="Times New Roman Bold;Times New Roman" w:cs="Times New Roman Bold;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24">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8"/>
      </w:numPr>
      <w:spacing w:before="48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keepNext w:val="false"/>
      <w:numPr>
        <w:ilvl w:val="0"/>
        <w:numId w:val="18"/>
      </w:numPr>
      <w:tabs>
        <w:tab w:val="clear" w:pos="720"/>
        <w:tab w:val="left" w:pos="1134" w:leader="none"/>
      </w:tabs>
      <w:outlineLvl w:val="1"/>
    </w:pPr>
    <w:rPr>
      <w:bCs w:val="false"/>
      <w:iCs/>
      <w:caps w:val="false"/>
      <w:smallCaps w:val="false"/>
      <w:sz w:val="24"/>
      <w:szCs w:val="28"/>
    </w:rPr>
  </w:style>
  <w:style w:type="paragraph" w:styleId="Heading3">
    <w:name w:val="heading 3"/>
    <w:basedOn w:val="Heading2"/>
    <w:next w:val="TableText"/>
    <w:qFormat/>
    <w:pPr>
      <w:keepLines w:val="false"/>
      <w:numPr>
        <w:ilvl w:val="0"/>
        <w:numId w:val="18"/>
      </w:numPr>
      <w:spacing w:before="240" w:after="240"/>
      <w:outlineLvl w:val="2"/>
    </w:pPr>
    <w:rPr>
      <w:rFonts w:ascii="Times New Roman" w:hAnsi="Times New Roman" w:cs="Times New Roman"/>
      <w:b w:val="false"/>
      <w:bCs/>
      <w:szCs w:val="26"/>
    </w:rPr>
  </w:style>
  <w:style w:type="paragraph" w:styleId="Heading4">
    <w:name w:val="heading 4"/>
    <w:basedOn w:val="Heading3"/>
    <w:next w:val="TableText"/>
    <w:qFormat/>
    <w:pPr>
      <w:numPr>
        <w:ilvl w:val="0"/>
        <w:numId w:val="18"/>
      </w:numPr>
      <w:spacing w:before="120" w:after="0"/>
      <w:outlineLvl w:val="3"/>
    </w:pPr>
    <w:rPr>
      <w:bCs w:val="false"/>
      <w:i/>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Times New Roman" w:hAnsi="Times New Roman" w:cs="Times New Roman"/>
      <w:b w:val="false"/>
      <w:i w:val="false"/>
      <w:color w:val="000000"/>
      <w:sz w:val="22"/>
    </w:rPr>
  </w:style>
  <w:style w:type="character" w:styleId="WW8Num9z1">
    <w:name w:val="WW8Num9z1"/>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2z1">
    <w:name w:val="WW8Num12z1"/>
    <w:qFormat/>
    <w:rPr/>
  </w:style>
  <w:style w:type="character" w:styleId="WW8Num13z0">
    <w:name w:val="WW8Num13z0"/>
    <w:qFormat/>
    <w:rPr/>
  </w:style>
  <w:style w:type="character" w:styleId="WW8Num13z1">
    <w:name w:val="WW8Num13z1"/>
    <w:qFormat/>
    <w:rPr>
      <w:sz w:val="18"/>
    </w:rPr>
  </w:style>
  <w:style w:type="character" w:styleId="WW8Num14z0">
    <w:name w:val="WW8Num14z0"/>
    <w:qFormat/>
    <w:rPr>
      <w:rFonts w:ascii="Times New Roman Bold;Times New Roman" w:hAnsi="Times New Roman Bold;Times New Roman" w:cs="Times New Roman"/>
      <w:b/>
      <w:i w:val="false"/>
      <w:color w:val="000000"/>
      <w:sz w:val="24"/>
    </w:rPr>
  </w:style>
  <w:style w:type="character" w:styleId="WW8Num14z1">
    <w:name w:val="WW8Num14z1"/>
    <w:qFormat/>
    <w:rPr>
      <w:rFonts w:ascii="Times New Roman Bold;Times New Roman" w:hAnsi="Times New Roman Bold;Times New Roman" w:cs="Times New Roman"/>
      <w:b/>
      <w:i w:val="false"/>
      <w:sz w:val="24"/>
      <w:lang w:val="en-GB"/>
    </w:rPr>
  </w:style>
  <w:style w:type="character" w:styleId="WW8Num14z2">
    <w:name w:val="WW8Num14z2"/>
    <w:qFormat/>
    <w:rPr>
      <w:rFonts w:ascii="Wingdings" w:hAnsi="Wingdings" w:cs="Wingdings"/>
      <w:b/>
      <w:i w:val="false"/>
      <w:color w:val="000000"/>
      <w:sz w:val="24"/>
    </w:rPr>
  </w:style>
  <w:style w:type="character" w:styleId="WW8Num14z3">
    <w:name w:val="WW8Num14z3"/>
    <w:qFormat/>
    <w:rPr>
      <w:rFonts w:ascii="Times New Roman" w:hAnsi="Times New Roman" w:cs="Times New Roman"/>
      <w:b w:val="false"/>
      <w:i/>
      <w:sz w:val="22"/>
    </w:rPr>
  </w:style>
  <w:style w:type="character" w:styleId="WW8Num14z4">
    <w:name w:val="WW8Num14z4"/>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Times New Roman Bold;Times New Roman" w:hAnsi="Times New Roman Bold;Times New Roman" w:cs="Times New Roman Bold;Times New Roman"/>
      <w:b/>
      <w:i w:val="false"/>
      <w:sz w:val="28"/>
    </w:rPr>
  </w:style>
  <w:style w:type="character" w:styleId="WW8Num16z1">
    <w:name w:val="WW8Num16z1"/>
    <w:qFormat/>
    <w:rPr>
      <w:rFonts w:ascii="Times New Roman Bold;Times New Roman" w:hAnsi="Times New Roman Bold;Times New Roman" w:cs="Times New Roman Bold;Times New Roman"/>
      <w:b/>
      <w:i w:val="false"/>
      <w:sz w:val="24"/>
      <w:lang w:val="en-US"/>
    </w:rPr>
  </w:style>
  <w:style w:type="character" w:styleId="WW8Num16z2">
    <w:name w:val="WW8Num16z2"/>
    <w:qFormat/>
    <w:rPr>
      <w:rFonts w:ascii="Times New Roman" w:hAnsi="Times New Roman" w:cs="Times New Roman"/>
      <w:b/>
      <w:i w:val="false"/>
      <w:sz w:val="24"/>
    </w:rPr>
  </w:style>
  <w:style w:type="character" w:styleId="WW8Num16z4">
    <w:name w:val="WW8Num16z4"/>
    <w:qFormat/>
    <w:rPr>
      <w:rFonts w:ascii="Times New Roman Bold;Times New Roman" w:hAnsi="Times New Roman Bold;Times New Roman" w:cs="Times New Roman Bold;Times New Roman"/>
      <w:b/>
      <w:i w:val="false"/>
      <w:sz w:val="22"/>
      <w:szCs w:val="22"/>
    </w:rPr>
  </w:style>
  <w:style w:type="character" w:styleId="WW8Num16z5">
    <w:name w:val="WW8Num16z5"/>
    <w:qFormat/>
    <w:rPr>
      <w:rFonts w:ascii="Times New Roman" w:hAnsi="Times New Roman" w:cs="Times New Roman"/>
      <w:b w:val="false"/>
      <w:i w:val="false"/>
      <w:sz w:val="22"/>
    </w:rPr>
  </w:style>
  <w:style w:type="character" w:styleId="WW8Num16z8">
    <w:name w:val="WW8Num16z8"/>
    <w:qFormat/>
    <w:rPr/>
  </w:style>
  <w:style w:type="character" w:styleId="WW8Num17z0">
    <w:name w:val="WW8Num17z0"/>
    <w:qFormat/>
    <w:rPr/>
  </w:style>
  <w:style w:type="character" w:styleId="WW8Num18z0">
    <w:name w:val="WW8Num18z0"/>
    <w:qFormat/>
    <w:rPr>
      <w:rFonts w:ascii="Symbol" w:hAnsi="Symbol" w:cs="Symbol"/>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1z0">
    <w:name w:val="WW8Num21z0"/>
    <w:qFormat/>
    <w:rPr>
      <w:rFonts w:ascii="Times New Roman Bold;Times New Roman" w:hAnsi="Times New Roman Bold;Times New Roman" w:cs="Times New Roman Bold;Times New Roman"/>
      <w:b/>
      <w:i w:val="false"/>
      <w:sz w:val="28"/>
    </w:rPr>
  </w:style>
  <w:style w:type="character" w:styleId="WW8Num21z2">
    <w:name w:val="WW8Num21z2"/>
    <w:qFormat/>
    <w:rPr>
      <w:rFonts w:ascii="Times New Roman" w:hAnsi="Times New Roman" w:cs="Times New Roman"/>
      <w:b/>
      <w:i w:val="false"/>
      <w:sz w:val="24"/>
    </w:rPr>
  </w:style>
  <w:style w:type="character" w:styleId="WW8Num21z4">
    <w:name w:val="WW8Num21z4"/>
    <w:qFormat/>
    <w:rPr>
      <w:rFonts w:ascii="Times New Roman" w:hAnsi="Times New Roman" w:cs="Times New Roman"/>
      <w:b w:val="false"/>
      <w:i w:val="false"/>
      <w:sz w:val="22"/>
    </w:rPr>
  </w:style>
  <w:style w:type="character" w:styleId="WW8Num21z8">
    <w:name w:val="WW8Num21z8"/>
    <w:qFormat/>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Times New Roman Bold;Times New Roman" w:hAnsi="Times New Roman Bold;Times New Roman" w:cs="Times New Roman"/>
      <w:b/>
      <w:i w:val="false"/>
      <w:color w:val="000000"/>
      <w:sz w:val="24"/>
    </w:rPr>
  </w:style>
  <w:style w:type="character" w:styleId="WW8Num23z1">
    <w:name w:val="WW8Num23z1"/>
    <w:qFormat/>
    <w:rPr>
      <w:rFonts w:ascii="Times New Roman Bold;Times New Roman" w:hAnsi="Times New Roman Bold;Times New Roman" w:cs="Times New Roman"/>
      <w:b/>
      <w:i w:val="false"/>
      <w:sz w:val="24"/>
      <w:lang w:val="en-GB"/>
    </w:rPr>
  </w:style>
  <w:style w:type="character" w:styleId="WW8Num23z2">
    <w:name w:val="WW8Num23z2"/>
    <w:qFormat/>
    <w:rPr>
      <w:rFonts w:ascii="Times New Roman" w:hAnsi="Times New Roman" w:cs="Times New Roman"/>
      <w:b w:val="false"/>
      <w:i w:val="false"/>
      <w:sz w:val="22"/>
      <w:lang w:val="en-US"/>
    </w:rPr>
  </w:style>
  <w:style w:type="character" w:styleId="WW8Num23z3">
    <w:name w:val="WW8Num23z3"/>
    <w:qFormat/>
    <w:rPr>
      <w:rFonts w:ascii="Times New Roman" w:hAnsi="Times New Roman" w:cs="Times New Roman"/>
      <w:b w:val="false"/>
      <w:i/>
      <w:sz w:val="22"/>
    </w:rPr>
  </w:style>
  <w:style w:type="character" w:styleId="WW8Num23z4">
    <w:name w:val="WW8Num23z4"/>
    <w:qFormat/>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sz w:val="18"/>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style>
  <w:style w:type="character" w:styleId="WW8Num27z1">
    <w:name w:val="WW8Num27z1"/>
    <w:qFormat/>
    <w:rPr>
      <w:rFonts w:ascii="Symbol" w:hAnsi="Symbol" w:cs="Symbol"/>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Times New Roman" w:hAnsi="Times New Roman" w:cs="Times New Roman"/>
      <w:b w:val="false"/>
      <w:i w:val="false"/>
      <w:color w:val="000000"/>
      <w:sz w:val="22"/>
      <w:szCs w:val="18"/>
    </w:rPr>
  </w:style>
  <w:style w:type="character" w:styleId="WW8Num30z1">
    <w:name w:val="WW8Num30z1"/>
    <w:qFormat/>
    <w:rPr>
      <w:rFonts w:ascii="Symbol" w:hAnsi="Symbol" w:cs="Symbol"/>
      <w:b w:val="false"/>
      <w:i w:val="false"/>
      <w:color w:val="000000"/>
      <w:sz w:val="22"/>
      <w:szCs w:val="18"/>
    </w:rPr>
  </w:style>
  <w:style w:type="character" w:styleId="WW8Num31z0">
    <w:name w:val="WW8Num31z0"/>
    <w:qFormat/>
    <w:rPr>
      <w:rFonts w:ascii="Times New Roman Bold;Times New Roman" w:hAnsi="Times New Roman Bold;Times New Roman" w:cs="Times New Roman Bold;Times New Roman"/>
      <w:b/>
      <w:i w:val="false"/>
      <w:color w:val="000000"/>
      <w:sz w:val="28"/>
      <w:szCs w:val="28"/>
    </w:rPr>
  </w:style>
  <w:style w:type="character" w:styleId="WW8Num31z1">
    <w:name w:val="WW8Num31z1"/>
    <w:qFormat/>
    <w:rPr>
      <w:rFonts w:ascii="Times New Roman" w:hAnsi="Times New Roman" w:cs="Times New Roman"/>
      <w:b w:val="false"/>
      <w:i w:val="false"/>
      <w:sz w:val="22"/>
    </w:rPr>
  </w:style>
  <w:style w:type="character" w:styleId="WW8Num31z4">
    <w:name w:val="WW8Num31z4"/>
    <w:qFormat/>
    <w:rPr/>
  </w:style>
  <w:style w:type="character" w:styleId="WW8Num32z0">
    <w:name w:val="WW8Num32z0"/>
    <w:qFormat/>
    <w:rPr/>
  </w:style>
  <w:style w:type="character" w:styleId="WW8Num32z1">
    <w:name w:val="WW8Num32z1"/>
    <w:qFormat/>
    <w:rPr>
      <w:sz w:val="18"/>
    </w:rPr>
  </w:style>
  <w:style w:type="character" w:styleId="WW8Num33z0">
    <w:name w:val="WW8Num33z0"/>
    <w:qFormat/>
    <w:rPr>
      <w:rFonts w:ascii="Symbol" w:hAnsi="Symbol" w:cs="Symbol"/>
      <w:b w:val="false"/>
      <w:i w:val="false"/>
      <w:color w:val="000000"/>
      <w:sz w:val="22"/>
      <w:szCs w:val="18"/>
    </w:rPr>
  </w:style>
  <w:style w:type="character" w:styleId="WW8Num34z0">
    <w:name w:val="WW8Num34z0"/>
    <w:qFormat/>
    <w:rPr/>
  </w:style>
  <w:style w:type="character" w:styleId="WW8Num36z0">
    <w:name w:val="WW8Num36z0"/>
    <w:qFormat/>
    <w:rPr/>
  </w:style>
  <w:style w:type="character" w:styleId="WW8Num37z0">
    <w:name w:val="WW8Num37z0"/>
    <w:qFormat/>
    <w:rPr>
      <w:rFonts w:ascii="Times New Roman" w:hAnsi="Times New Roman" w:cs="Times New Roman"/>
      <w:b w:val="false"/>
      <w:i w:val="false"/>
      <w:color w:val="000000"/>
      <w:sz w:val="22"/>
    </w:rPr>
  </w:style>
  <w:style w:type="character" w:styleId="WW8Num37z1">
    <w:name w:val="WW8Num37z1"/>
    <w:qFormat/>
    <w:rPr>
      <w:rFonts w:ascii="Times New Roman Bold;Times New Roman" w:hAnsi="Times New Roman Bold;Times New Roman" w:cs="Times New Roman Bold;Times New Roman"/>
      <w:b/>
      <w:i w:val="false"/>
      <w:sz w:val="28"/>
      <w:szCs w:val="28"/>
    </w:rPr>
  </w:style>
  <w:style w:type="character" w:styleId="WW8Num37z2">
    <w:name w:val="WW8Num37z2"/>
    <w:qFormat/>
    <w:rPr>
      <w:rFonts w:ascii="Times New Roman" w:hAnsi="Times New Roman" w:cs="Times New Roman"/>
      <w:b w:val="false"/>
      <w:i w:val="false"/>
      <w:sz w:val="22"/>
    </w:rPr>
  </w:style>
  <w:style w:type="character" w:styleId="WW8Num37z4">
    <w:name w:val="WW8Num37z4"/>
    <w:qFormat/>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style>
  <w:style w:type="character" w:styleId="WW8Num40z0">
    <w:name w:val="WW8Num40z0"/>
    <w:qFormat/>
    <w:rPr/>
  </w:style>
  <w:style w:type="character" w:styleId="WW8Num41z0">
    <w:name w:val="WW8Num41z0"/>
    <w:qFormat/>
    <w:rPr/>
  </w:style>
  <w:style w:type="character" w:styleId="WW8Num42z0">
    <w:name w:val="WW8Num42z0"/>
    <w:qFormat/>
    <w:rPr/>
  </w:style>
  <w:style w:type="character" w:styleId="WW8Num43z0">
    <w:name w:val="WW8Num43z0"/>
    <w:qFormat/>
    <w:rPr/>
  </w:style>
  <w:style w:type="character" w:styleId="WW8Num44z0">
    <w:name w:val="WW8Num44z0"/>
    <w:qFormat/>
    <w:rPr>
      <w:rFonts w:ascii="Symbol" w:hAnsi="Symbol" w:cs="Symbol"/>
    </w:rPr>
  </w:style>
  <w:style w:type="character" w:styleId="WW8Num45z0">
    <w:name w:val="WW8Num45z0"/>
    <w:qFormat/>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Char3">
    <w:name w:val=" Char3"/>
    <w:basedOn w:val="Absatz-Standardschriftart"/>
    <w:qFormat/>
    <w:rPr>
      <w:rFonts w:ascii="Times New Roman Bold;Times New Roman" w:hAnsi="Times New Roman Bold;Times New Roman" w:cs="Arial"/>
      <w:b/>
      <w:bCs/>
      <w:caps/>
      <w:kern w:val="2"/>
      <w:sz w:val="28"/>
      <w:szCs w:val="32"/>
      <w:lang w:val="en-US" w:bidi="ar-SA"/>
    </w:rPr>
  </w:style>
  <w:style w:type="character" w:styleId="Char2">
    <w:name w:val=" Char2"/>
    <w:basedOn w:val="Char3"/>
    <w:qFormat/>
    <w:rPr>
      <w:iCs/>
      <w:sz w:val="24"/>
      <w:szCs w:val="28"/>
    </w:rPr>
  </w:style>
  <w:style w:type="character" w:styleId="TableTextCharCharChar">
    <w:name w:val="Table Text Char Char Char"/>
    <w:basedOn w:val="Absatz-Standardschriftart"/>
    <w:qFormat/>
    <w:rPr>
      <w:sz w:val="22"/>
      <w:szCs w:val="24"/>
      <w:lang w:val="en-US" w:bidi="ar-SA"/>
    </w:rPr>
  </w:style>
  <w:style w:type="character" w:styleId="PageNumber">
    <w:name w:val="page number"/>
    <w:basedOn w:val="Absatz-Standardschriftart"/>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TableTextChar">
    <w:name w:val="Table Text Char"/>
    <w:basedOn w:val="Absatz-Standardschriftart"/>
    <w:qFormat/>
    <w:rPr>
      <w:sz w:val="22"/>
      <w:szCs w:val="24"/>
      <w:lang w:val="en-US" w:bidi="ar-SA"/>
    </w:rPr>
  </w:style>
  <w:style w:type="character" w:styleId="Char1">
    <w:name w:val=" Char1"/>
    <w:basedOn w:val="Char2"/>
    <w:qFormat/>
    <w:rPr>
      <w:bCs/>
      <w:szCs w:val="26"/>
    </w:rPr>
  </w:style>
  <w:style w:type="character" w:styleId="CharChar1">
    <w:name w:val=" Char Char1"/>
    <w:basedOn w:val="Absatz-Standardschriftart"/>
    <w:qFormat/>
    <w:rPr>
      <w:rFonts w:ascii="Times New Roman Bold;Times New Roman" w:hAnsi="Times New Roman Bold;Times New Roman" w:cs="Arial"/>
      <w:b/>
      <w:bCs/>
      <w:caps/>
      <w:kern w:val="2"/>
      <w:sz w:val="28"/>
      <w:szCs w:val="32"/>
      <w:lang w:val="en-US" w:bidi="ar-SA"/>
    </w:rPr>
  </w:style>
  <w:style w:type="character" w:styleId="CharChar">
    <w:name w:val=" Char Char"/>
    <w:basedOn w:val="CharChar1"/>
    <w:qFormat/>
    <w:rPr>
      <w:iCs/>
      <w:szCs w:val="28"/>
    </w:rPr>
  </w:style>
  <w:style w:type="character" w:styleId="Kommentarzeichen">
    <w:name w:val="Kommentarzeichen"/>
    <w:basedOn w:val="Absatz-Standardschriftart"/>
    <w:qFormat/>
    <w:rPr>
      <w:sz w:val="16"/>
      <w:szCs w:val="16"/>
    </w:rPr>
  </w:style>
  <w:style w:type="character" w:styleId="IndexLink">
    <w:name w:val="Index Link"/>
    <w:qFormat/>
    <w:rPr/>
  </w:style>
  <w:style w:type="paragraph" w:styleId="Heading">
    <w:name w:val="Heading"/>
    <w:basedOn w:val="Normal"/>
    <w:next w:val="Normal"/>
    <w:qFormat/>
    <w:pPr>
      <w:spacing w:before="240" w:after="240"/>
      <w:jc w:val="center"/>
      <w:outlineLvl w:val="0"/>
    </w:pPr>
    <w:rPr>
      <w:rFonts w:cs="Arial"/>
      <w:b/>
      <w:bCs/>
      <w:caps/>
      <w:kern w:val="2"/>
      <w:sz w:val="32"/>
      <w:szCs w:val="32"/>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er">
    <w:name w:val="header"/>
    <w:basedOn w:val="Normal"/>
    <w:pPr>
      <w:tabs>
        <w:tab w:val="clear" w:pos="720"/>
        <w:tab w:val="right" w:pos="9360" w:leader="none"/>
        <w:tab w:val="right" w:pos="14400" w:leader="none"/>
      </w:tabs>
    </w:pPr>
    <w:rPr>
      <w:i/>
      <w:sz w:val="18"/>
    </w:rPr>
  </w:style>
  <w:style w:type="paragraph" w:styleId="Dokumentstruktur">
    <w:name w:val="Dokumentstruktur"/>
    <w:basedOn w:val="Normal"/>
    <w:qFormat/>
    <w:pPr>
      <w:shd w:fill="000080" w:val="clear"/>
    </w:pPr>
    <w:rPr>
      <w:rFonts w:ascii="Tahoma" w:hAnsi="Tahoma" w:cs="Tahoma"/>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TOC4">
    <w:name w:val="toc 4"/>
    <w:basedOn w:val="Normal"/>
    <w:next w:val="Normal"/>
    <w:pPr>
      <w:spacing w:before="0" w:after="0"/>
      <w:ind w:hanging="0" w:start="660" w:end="0"/>
    </w:pPr>
    <w:rPr>
      <w:sz w:val="18"/>
      <w:szCs w:val="18"/>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9"/>
      </w:numPr>
      <w:spacing w:before="240" w:after="240"/>
    </w:pPr>
    <w:rPr/>
  </w:style>
  <w:style w:type="paragraph" w:styleId="TableLevel1Numbered">
    <w:name w:val="Table Level 1 Numbered"/>
    <w:basedOn w:val="Normal"/>
    <w:qFormat/>
    <w:pPr>
      <w:numPr>
        <w:ilvl w:val="0"/>
        <w:numId w:val="8"/>
      </w:numPr>
    </w:pPr>
    <w:rPr/>
  </w:style>
  <w:style w:type="paragraph" w:styleId="TableTextBullet">
    <w:name w:val="Table Text Bullet"/>
    <w:basedOn w:val="Normal"/>
    <w:qFormat/>
    <w:pPr>
      <w:numPr>
        <w:ilvl w:val="0"/>
        <w:numId w:val="17"/>
      </w:numPr>
    </w:pPr>
    <w:rPr/>
  </w:style>
  <w:style w:type="paragraph" w:styleId="Bullet1Table">
    <w:name w:val="Bullet 1 Table"/>
    <w:basedOn w:val="TableTextBullet"/>
    <w:next w:val="TableTextBullet"/>
    <w:qFormat/>
    <w:pPr/>
    <w:rPr/>
  </w:style>
  <w:style w:type="paragraph" w:styleId="Char1CharCharCharCharChar">
    <w:name w:val="Char1 Char Char Char Char Char"/>
    <w:basedOn w:val="Normal"/>
    <w:qFormat/>
    <w:pPr>
      <w:spacing w:lineRule="exact" w:line="240" w:before="0" w:after="160"/>
      <w:jc w:val="both"/>
    </w:pPr>
    <w:rPr>
      <w:rFonts w:ascii="Arial" w:hAnsi="Arial" w:cs="Arial"/>
      <w:sz w:val="20"/>
      <w:szCs w:val="20"/>
    </w:rPr>
  </w:style>
  <w:style w:type="paragraph" w:styleId="Formatvorlage1">
    <w:name w:val="Formatvorlage1"/>
    <w:basedOn w:val="Heading1"/>
    <w:qFormat/>
    <w:pPr>
      <w:numPr>
        <w:ilvl w:val="0"/>
        <w:numId w:val="18"/>
      </w:numPr>
    </w:pPr>
    <w:rPr/>
  </w:style>
  <w:style w:type="paragraph" w:styleId="TableText">
    <w:name w:val="Table Text"/>
    <w:basedOn w:val="Normal"/>
    <w:qFormat/>
    <w:pPr/>
    <w:rPr/>
  </w:style>
  <w:style w:type="paragraph" w:styleId="TableLevel2Numbered">
    <w:name w:val="Table Level 2 Numbered"/>
    <w:basedOn w:val="Normal"/>
    <w:qFormat/>
    <w:pPr>
      <w:numPr>
        <w:ilvl w:val="0"/>
        <w:numId w:val="8"/>
      </w:numPr>
    </w:pPr>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0"/>
      </w:numPr>
      <w:spacing w:before="180" w:after="180"/>
    </w:pPr>
    <w:rPr/>
  </w:style>
  <w:style w:type="paragraph" w:styleId="BodyLevel2Numbered">
    <w:name w:val="Body Level 2 Numbered"/>
    <w:basedOn w:val="Normal"/>
    <w:qFormat/>
    <w:pPr>
      <w:numPr>
        <w:ilvl w:val="0"/>
        <w:numId w:val="10"/>
      </w:numPr>
      <w:spacing w:before="180" w:after="180"/>
    </w:pPr>
    <w:rPr/>
  </w:style>
  <w:style w:type="paragraph" w:styleId="BodyLevel3Numbered">
    <w:name w:val="Body Level 3 Numbered"/>
    <w:basedOn w:val="Normal"/>
    <w:qFormat/>
    <w:pPr>
      <w:numPr>
        <w:ilvl w:val="0"/>
        <w:numId w:val="10"/>
      </w:numPr>
      <w:spacing w:before="180" w:after="180"/>
    </w:pPr>
    <w:rPr/>
  </w:style>
  <w:style w:type="paragraph" w:styleId="BodyLevel4Numbered">
    <w:name w:val="Body Level 4 Numbered"/>
    <w:basedOn w:val="Normal"/>
    <w:qFormat/>
    <w:pPr>
      <w:numPr>
        <w:ilvl w:val="0"/>
        <w:numId w:val="10"/>
      </w:numPr>
      <w:spacing w:before="180" w:after="180"/>
    </w:pPr>
    <w:rPr/>
  </w:style>
  <w:style w:type="paragraph" w:styleId="BodyLevel1Text">
    <w:name w:val="Body Level 1 Text"/>
    <w:basedOn w:val="BodyText"/>
    <w:qFormat/>
    <w:pPr>
      <w:ind w:hanging="0" w:start="1620" w:end="0"/>
    </w:pPr>
    <w:rPr/>
  </w:style>
  <w:style w:type="paragraph" w:styleId="BodyLevel2Text">
    <w:name w:val="Body Level 2 Text"/>
    <w:basedOn w:val="BodyText"/>
    <w:qFormat/>
    <w:pPr>
      <w:ind w:hanging="0" w:start="2160" w:end="0"/>
    </w:pPr>
    <w:rPr/>
  </w:style>
  <w:style w:type="paragraph" w:styleId="BodyLevel3Text">
    <w:name w:val="Body Level 3 Text"/>
    <w:basedOn w:val="BodyText"/>
    <w:qFormat/>
    <w:pPr>
      <w:ind w:hanging="0" w:start="2700" w:end="0"/>
    </w:pPr>
    <w:rPr/>
  </w:style>
  <w:style w:type="paragraph" w:styleId="BodyLevel4Text">
    <w:name w:val="Body Level 4 Text"/>
    <w:basedOn w:val="BodyText"/>
    <w:qFormat/>
    <w:pPr>
      <w:ind w:hanging="0" w:start="3240" w:end="0"/>
    </w:pPr>
    <w:rPr/>
  </w:style>
  <w:style w:type="paragraph" w:styleId="Bullet1Level1">
    <w:name w:val="Bullet 1 Level 1"/>
    <w:basedOn w:val="Normal"/>
    <w:qFormat/>
    <w:pPr>
      <w:numPr>
        <w:ilvl w:val="0"/>
        <w:numId w:val="13"/>
      </w:numPr>
    </w:pPr>
    <w:rPr/>
  </w:style>
  <w:style w:type="paragraph" w:styleId="Level1Numbered">
    <w:name w:val="Level 1 Numbered"/>
    <w:basedOn w:val="Normal"/>
    <w:qFormat/>
    <w:pPr>
      <w:numPr>
        <w:ilvl w:val="0"/>
        <w:numId w:val="23"/>
      </w:numPr>
    </w:pPr>
    <w:rPr>
      <w:bCs/>
    </w:rPr>
  </w:style>
  <w:style w:type="paragraph" w:styleId="Sprechblasentext">
    <w:name w:val="Sprechblasentext"/>
    <w:basedOn w:val="Normal"/>
    <w:qFormat/>
    <w:pPr/>
    <w:rPr>
      <w:rFonts w:ascii="Tahoma" w:hAnsi="Tahoma" w:cs="Tahoma"/>
      <w:sz w:val="16"/>
      <w:szCs w:val="16"/>
    </w:rPr>
  </w:style>
  <w:style w:type="paragraph" w:styleId="TableTextCharChar">
    <w:name w:val="Table Text Char Char"/>
    <w:basedOn w:val="Normal"/>
    <w:qFormat/>
    <w:pPr/>
    <w:rPr/>
  </w:style>
  <w:style w:type="paragraph" w:styleId="StyleHeading1NumberedJustified">
    <w:name w:val="Style Heading 1 Numbered + Justified"/>
    <w:basedOn w:val="Normal"/>
    <w:qFormat/>
    <w:pPr>
      <w:keepNext w:val="true"/>
      <w:keepLines/>
      <w:spacing w:before="480" w:after="240"/>
      <w:jc w:val="both"/>
    </w:pPr>
    <w:rPr>
      <w:rFonts w:ascii="Times New Roman Bold;Times New Roman" w:hAnsi="Times New Roman Bold;Times New Roman" w:cs="Times New Roman Bold;Times New Roman"/>
      <w:b/>
      <w:bCs/>
      <w:caps/>
      <w:sz w:val="28"/>
      <w:szCs w:val="20"/>
    </w:rPr>
  </w:style>
  <w:style w:type="paragraph" w:styleId="FootnoteText">
    <w:name w:val="footnote text"/>
    <w:basedOn w:val="Normal"/>
    <w:pPr>
      <w:keepLines/>
      <w:spacing w:before="0" w:after="240"/>
      <w:jc w:val="both"/>
    </w:pPr>
    <w:rPr>
      <w:sz w:val="20"/>
      <w:szCs w:val="20"/>
    </w:rPr>
  </w:style>
  <w:style w:type="paragraph" w:styleId="BodyTextBullet">
    <w:name w:val="Body Text Bullet"/>
    <w:basedOn w:val="Normal"/>
    <w:qFormat/>
    <w:pPr>
      <w:numPr>
        <w:ilvl w:val="0"/>
        <w:numId w:val="20"/>
      </w:numPr>
      <w:tabs>
        <w:tab w:val="clear" w:pos="720"/>
        <w:tab w:val="left" w:pos="1440" w:leader="none"/>
      </w:tabs>
      <w:ind w:hanging="360" w:start="1440" w:end="0"/>
    </w:pPr>
    <w:rPr/>
  </w:style>
  <w:style w:type="paragraph" w:styleId="BodyTextBulletL1">
    <w:name w:val="Body Text Bullet L1"/>
    <w:basedOn w:val="Normal"/>
    <w:qFormat/>
    <w:pPr>
      <w:numPr>
        <w:ilvl w:val="0"/>
        <w:numId w:val="21"/>
      </w:numPr>
      <w:ind w:hanging="360" w:start="0" w:end="0"/>
    </w:pPr>
    <w:rPr/>
  </w:style>
  <w:style w:type="paragraph" w:styleId="BodyTextBulletL2">
    <w:name w:val="Body Text Bullet L2"/>
    <w:basedOn w:val="Normal"/>
    <w:qFormat/>
    <w:pPr>
      <w:numPr>
        <w:ilvl w:val="0"/>
        <w:numId w:val="15"/>
      </w:numPr>
      <w:ind w:hanging="367" w:start="0" w:end="0"/>
    </w:pPr>
    <w:rPr/>
  </w:style>
  <w:style w:type="paragraph" w:styleId="BodyTextBulletL3">
    <w:name w:val="Body Text Bullet L3"/>
    <w:basedOn w:val="Normal"/>
    <w:qFormat/>
    <w:pPr>
      <w:numPr>
        <w:ilvl w:val="0"/>
        <w:numId w:val="24"/>
      </w:numPr>
      <w:ind w:hanging="360" w:start="0" w:end="0"/>
    </w:pPr>
    <w:rPr/>
  </w:style>
  <w:style w:type="paragraph" w:styleId="Datum">
    <w:name w:val="Datum"/>
    <w:basedOn w:val="Normal"/>
    <w:next w:val="Normal"/>
    <w:qFormat/>
    <w:pPr/>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1-NoTOC">
    <w:name w:val="Head 1 # - No TOC"/>
    <w:basedOn w:val="Normal"/>
    <w:next w:val="BodyText"/>
    <w:qFormat/>
    <w:pPr>
      <w:numPr>
        <w:ilvl w:val="0"/>
        <w:numId w:val="16"/>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2-NoTOC">
    <w:name w:val="Head 2 # - No TOC"/>
    <w:basedOn w:val="Normal"/>
    <w:next w:val="BodyText"/>
    <w:qFormat/>
    <w:pPr>
      <w:numPr>
        <w:ilvl w:val="0"/>
        <w:numId w:val="16"/>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3-NoTOC">
    <w:name w:val="Head 3 # - No TOC"/>
    <w:basedOn w:val="Normal"/>
    <w:next w:val="BodyText"/>
    <w:qFormat/>
    <w:pPr>
      <w:numPr>
        <w:ilvl w:val="0"/>
        <w:numId w:val="16"/>
      </w:numPr>
    </w:pPr>
    <w:rPr/>
  </w:style>
  <w:style w:type="paragraph" w:styleId="Head4-NoTOCor">
    <w:name w:val="Head 4 - No TOC or #"/>
    <w:basedOn w:val="Heading4"/>
    <w:next w:val="TableText"/>
    <w:qFormat/>
    <w:pPr>
      <w:numPr>
        <w:ilvl w:val="0"/>
        <w:numId w:val="18"/>
      </w:numPr>
    </w:pPr>
    <w:rPr/>
  </w:style>
  <w:style w:type="paragraph" w:styleId="Head4-NoTOC">
    <w:name w:val="Head 4 # - No TOC"/>
    <w:basedOn w:val="Normal"/>
    <w:next w:val="BodyText"/>
    <w:qFormat/>
    <w:pPr>
      <w:numPr>
        <w:ilvl w:val="0"/>
        <w:numId w:val="16"/>
      </w:numPr>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TableLevel1-2Bullet">
    <w:name w:val="Table Level 1-2 Bullet"/>
    <w:basedOn w:val="Normal"/>
    <w:qFormat/>
    <w:pPr>
      <w:numPr>
        <w:ilvl w:val="0"/>
        <w:numId w:val="19"/>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3-4Bullet">
    <w:name w:val="Table Level 3-4 Bullet"/>
    <w:basedOn w:val="Normal"/>
    <w:qFormat/>
    <w:pPr>
      <w:numPr>
        <w:ilvl w:val="0"/>
        <w:numId w:val="11"/>
      </w:numPr>
    </w:pPr>
    <w:rPr/>
  </w:style>
  <w:style w:type="paragraph" w:styleId="TableLevel3-4Indent">
    <w:name w:val="Table Level 3-4 Indent"/>
    <w:basedOn w:val="Normal"/>
    <w:qFormat/>
    <w:pPr>
      <w:ind w:hanging="0" w:start="1296" w:end="0"/>
    </w:pPr>
    <w:rPr/>
  </w:style>
  <w:style w:type="paragraph" w:styleId="Bullet1Body">
    <w:name w:val="Bullet 1 Body"/>
    <w:basedOn w:val="BodyTextBullet"/>
    <w:next w:val="BodyTextBullet"/>
    <w:qFormat/>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4"/>
      </w:numPr>
    </w:pPr>
    <w:rPr>
      <w:b/>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CharCharCharChar">
    <w:name w:val=" Char Char Char Char"/>
    <w:basedOn w:val="Normal"/>
    <w:qFormat/>
    <w:pPr>
      <w:spacing w:lineRule="exact" w:line="240" w:before="0" w:after="160"/>
    </w:pPr>
    <w:rPr>
      <w:rFonts w:ascii="Verdana" w:hAnsi="Verdana" w:cs="Verdana"/>
      <w:sz w:val="20"/>
      <w:szCs w:val="20"/>
    </w:rPr>
  </w:style>
  <w:style w:type="paragraph" w:styleId="CharCharCharCharCharCharCharCharCharChar">
    <w:name w:val=" Char Char Char Char Char Char Char Char Char Char"/>
    <w:basedOn w:val="Normal"/>
    <w:qFormat/>
    <w:pPr>
      <w:spacing w:lineRule="exact" w:line="240" w:before="0" w:after="160"/>
      <w:jc w:val="both"/>
    </w:pPr>
    <w:rPr>
      <w:rFonts w:ascii="Arial" w:hAnsi="Arial" w:cs="Arial"/>
      <w:sz w:val="20"/>
      <w:szCs w:val="20"/>
    </w:rPr>
  </w:style>
  <w:style w:type="paragraph" w:styleId="TableRef1">
    <w:name w:val="Table Ref # +1"/>
    <w:basedOn w:val="TableRef"/>
    <w:qFormat/>
    <w:pPr/>
    <w:rPr>
      <w:lang w:val="en-GB"/>
    </w:rPr>
  </w:style>
  <w:style w:type="paragraph" w:styleId="TableRef11">
    <w:name w:val="Table Ref #+1"/>
    <w:basedOn w:val="TableRef"/>
    <w:qFormat/>
    <w:pPr/>
    <w:rPr>
      <w:lang w:val="en-GB"/>
    </w:rPr>
  </w:style>
  <w:style w:type="paragraph" w:styleId="StyleTableLevel1NumberedLeft102cm">
    <w:name w:val="Style Table Level 1 Numbered + Left:  102 cm"/>
    <w:basedOn w:val="TableLevel1Numbered"/>
    <w:qFormat/>
    <w:pPr>
      <w:numPr>
        <w:ilvl w:val="0"/>
        <w:numId w:val="22"/>
      </w:numPr>
    </w:pPr>
    <w:rPr>
      <w:szCs w:val="20"/>
    </w:rPr>
  </w:style>
  <w:style w:type="paragraph" w:styleId="Kommentartext">
    <w:name w:val="Kommentartext"/>
    <w:basedOn w:val="Normal"/>
    <w:qFormat/>
    <w:pPr/>
    <w:rPr>
      <w:sz w:val="20"/>
      <w:szCs w:val="20"/>
    </w:rPr>
  </w:style>
  <w:style w:type="paragraph" w:styleId="Kommentarthema">
    <w:name w:val="Kommentarthema"/>
    <w:basedOn w:val="Kommentartext"/>
    <w:next w:val="Kommentartext"/>
    <w:qFormat/>
    <w:pPr/>
    <w:rPr>
      <w:b/>
      <w:bCs/>
    </w:rPr>
  </w:style>
  <w:style w:type="paragraph" w:styleId="Char">
    <w:name w:val=" Char"/>
    <w:basedOn w:val="Normal"/>
    <w:qFormat/>
    <w:pPr>
      <w:spacing w:lineRule="exact" w:line="240" w:before="0" w:after="160"/>
      <w:jc w:val="both"/>
    </w:pPr>
    <w:rPr>
      <w:rFonts w:ascii="Arial" w:hAnsi="Arial" w:cs="Arial"/>
      <w:sz w:val="20"/>
      <w:szCs w:val="20"/>
    </w:rPr>
  </w:style>
  <w:style w:type="paragraph" w:styleId="Char1CharCharChar">
    <w:name w:val=" Char1 Char Char Char"/>
    <w:basedOn w:val="Normal"/>
    <w:qFormat/>
    <w:pPr>
      <w:spacing w:lineRule="exact" w:line="240" w:before="0" w:after="160"/>
      <w:jc w:val="both"/>
    </w:pPr>
    <w:rPr>
      <w:rFonts w:ascii="Arial" w:hAnsi="Arial" w:cs="Arial"/>
      <w:sz w:val="20"/>
      <w:szCs w:val="20"/>
    </w:rPr>
  </w:style>
  <w:style w:type="paragraph" w:styleId="StyleTableTextCentered">
    <w:name w:val="Style Table Text + Centered"/>
    <w:basedOn w:val="TableText"/>
    <w:qFormat/>
    <w:pPr>
      <w:jc w:val="center"/>
    </w:pPr>
    <w:rPr>
      <w:szCs w:val="20"/>
    </w:rPr>
  </w:style>
  <w:style w:type="paragraph" w:styleId="Legal2L4">
    <w:name w:val="Legal2_L4"/>
    <w:basedOn w:val="Normal"/>
    <w:next w:val="BodyText"/>
    <w:qFormat/>
    <w:pPr>
      <w:tabs>
        <w:tab w:val="clear" w:pos="720"/>
        <w:tab w:val="left" w:pos="2160" w:leader="none"/>
        <w:tab w:val="left" w:pos="2520" w:leader="none"/>
      </w:tabs>
      <w:spacing w:before="0" w:after="240"/>
      <w:ind w:firstLine="2160" w:start="2160" w:end="0"/>
      <w:jc w:val="both"/>
      <w:outlineLvl w:val="3"/>
    </w:pPr>
    <w:rPr>
      <w:sz w:val="24"/>
    </w:rPr>
  </w:style>
  <w:style w:type="paragraph" w:styleId="RPF-BodyText">
    <w:name w:val="RPF-BodyText"/>
    <w:qFormat/>
    <w:pPr>
      <w:widowControl/>
      <w:bidi w:val="0"/>
      <w:spacing w:before="120" w:after="120"/>
      <w:ind w:hanging="0" w:start="720" w:end="0"/>
      <w:jc w:val="both"/>
    </w:pPr>
    <w:rPr>
      <w:rFonts w:ascii="Arial" w:hAnsi="Arial" w:eastAsia="SimSun;宋体" w:cs="Arial"/>
      <w:bCs/>
      <w:color w:val="auto"/>
      <w:sz w:val="22"/>
      <w:szCs w:val="20"/>
      <w:lang w:val="en-US" w:bidi="he-IL" w:eastAsia="zh-CN"/>
    </w:rPr>
  </w:style>
  <w:style w:type="paragraph" w:styleId="RPF-BulletList">
    <w:name w:val="RPF-BulletList"/>
    <w:qFormat/>
    <w:pPr>
      <w:widowControl/>
      <w:bidi w:val="0"/>
      <w:spacing w:before="60" w:after="60"/>
      <w:jc w:val="both"/>
    </w:pPr>
    <w:rPr>
      <w:rFonts w:ascii="Arial" w:hAnsi="Arial" w:eastAsia="SimSun;宋体" w:cs="Arial"/>
      <w:color w:val="0000FF"/>
      <w:sz w:val="20"/>
      <w:szCs w:val="22"/>
      <w:lang w:val="en-GB" w:eastAsia="zh-CN"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1.wmf"/><Relationship Id="rId3"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2007-01-29T19:57:00Z</dcterms:created>
  <dc:creator>Bob Szambelan</dc:creator>
  <dc:description/>
  <cp:keywords>General Accounting</cp:keywords>
  <dc:language>en-US</dc:language>
  <cp:lastModifiedBy>Wenger Plattner</cp:lastModifiedBy>
  <cp:lastPrinted>2007-01-15T13:26:00Z</cp:lastPrinted>
  <dcterms:modified xsi:type="dcterms:W3CDTF">2007-01-29T19:57:00Z</dcterms:modified>
  <cp:revision>2</cp:revision>
  <dc:subject>E2.8 - General Accounting</dc:subject>
  <dc:title>RFP8 - F&amp;A SOW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G Woodstrom</vt:lpwstr>
  </property>
  <property fmtid="{D5CDD505-2E9C-101B-9397-08002B2CF9AE}" pid="3" name="Office">
    <vt:lpwstr>Houston, TX</vt:lpwstr>
  </property>
  <property fmtid="{D5CDD505-2E9C-101B-9397-08002B2CF9AE}" pid="4" name="Order">
    <vt:lpwstr>16000.0000000000</vt:lpwstr>
  </property>
  <property fmtid="{D5CDD505-2E9C-101B-9397-08002B2CF9AE}" pid="5" name="Project">
    <vt:lpwstr>RFP 8</vt:lpwstr>
  </property>
  <property fmtid="{D5CDD505-2E9C-101B-9397-08002B2CF9AE}" pid="6" name="Status">
    <vt:lpwstr>Draft</vt:lpwstr>
  </property>
  <property fmtid="{D5CDD505-2E9C-101B-9397-08002B2CF9AE}" pid="7" name="TPI_RefPrefix">
    <vt:lpwstr>E2.2 - A</vt:lpwstr>
  </property>
</Properties>
</file>