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lang w:val="en-GB"/>
        </w:rPr>
      </w:pPr>
      <w:r>
        <w:rPr>
          <w:lang w:val="en-GB"/>
        </w:rPr>
      </w:r>
    </w:p>
    <w:p>
      <w:pPr>
        <w:pStyle w:val="Titel"/>
        <w:rPr>
          <w:lang w:val="en-GB"/>
        </w:rPr>
      </w:pPr>
      <w:r>
        <w:rPr>
          <w:lang w:val="en-GB"/>
        </w:rPr>
        <w:t>NOvartis pharma ag</w:t>
      </w:r>
    </w:p>
    <w:p>
      <w:pPr>
        <w:pStyle w:val="Titel"/>
        <w:rPr>
          <w:lang w:val="en-GB"/>
        </w:rPr>
      </w:pPr>
      <w:r>
        <w:rPr>
          <w:lang w:val="en-GB"/>
        </w:rPr>
      </w:r>
    </w:p>
    <w:p>
      <w:pPr>
        <w:pStyle w:val="Titel"/>
        <w:rPr>
          <w:rFonts w:cs="Times New Roman"/>
          <w:lang w:val="en-GB"/>
        </w:rPr>
      </w:pPr>
      <w:r>
        <w:rPr>
          <w:lang w:val="en-GB"/>
        </w:rPr>
        <w:t xml:space="preserve">Exhibit </w:t>
      </w:r>
      <w:r>
        <w:rPr>
          <w:rFonts w:cs="Times New Roman"/>
          <w:lang w:val="en-GB"/>
        </w:rPr>
        <w:t>20</w:t>
      </w:r>
    </w:p>
    <w:p>
      <w:pPr>
        <w:pStyle w:val="Titel"/>
        <w:rPr>
          <w:rFonts w:cs="Times New Roman"/>
          <w:lang w:val="en-GB"/>
        </w:rPr>
      </w:pPr>
      <w:r>
        <w:rPr>
          <w:rFonts w:cs="Times New Roman"/>
          <w:lang w:val="en-GB"/>
        </w:rPr>
      </w:r>
    </w:p>
    <w:p>
      <w:pPr>
        <w:pStyle w:val="Titel"/>
        <w:rPr>
          <w:lang w:val="en-GB"/>
        </w:rPr>
      </w:pPr>
      <w:r>
        <w:rPr>
          <w:lang w:val="en-GB"/>
        </w:rPr>
        <w:t>CHange control procedures</w:t>
      </w:r>
    </w:p>
    <w:p>
      <w:pPr>
        <w:pStyle w:val="Titel"/>
        <w:rPr>
          <w:lang w:val="en-GB"/>
        </w:rPr>
      </w:pPr>
      <w:r>
        <w:rPr>
          <w:lang w:val="en-GB"/>
        </w:rPr>
      </w:r>
    </w:p>
    <w:tbl>
      <w:tblPr>
        <w:tblW w:w="8361" w:type="dxa"/>
        <w:jc w:val="center"/>
        <w:tblInd w:w="0" w:type="dxa"/>
        <w:tblLayout w:type="fixed"/>
        <w:tblCellMar>
          <w:top w:w="0" w:type="dxa"/>
          <w:start w:w="108" w:type="dxa"/>
          <w:bottom w:w="0" w:type="dxa"/>
          <w:end w:w="108" w:type="dxa"/>
        </w:tblCellMar>
      </w:tblPr>
      <w:tblGrid>
        <w:gridCol w:w="8361"/>
      </w:tblGrid>
      <w:tr>
        <w:trPr/>
        <w:tc>
          <w:tcPr>
            <w:tcW w:w="8361" w:type="dxa"/>
            <w:tcBorders>
              <w:top w:val="single" w:sz="4" w:space="0" w:color="000000"/>
              <w:start w:val="single" w:sz="4" w:space="0" w:color="000000"/>
              <w:bottom w:val="single" w:sz="4" w:space="0" w:color="000000"/>
              <w:end w:val="single" w:sz="4" w:space="0" w:color="000000"/>
            </w:tcBorders>
            <w:vAlign w:val="bottom"/>
          </w:tcPr>
          <w:p>
            <w:pPr>
              <w:pStyle w:val="Normal"/>
              <w:spacing w:before="120" w:after="120"/>
              <w:jc w:val="center"/>
              <w:rPr/>
            </w:pPr>
            <w:r>
              <w:rPr>
                <w:lang w:val="en-GB"/>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tc>
      </w:tr>
    </w:tbl>
    <w:p>
      <w:pPr>
        <w:pStyle w:val="Normal"/>
        <w:rPr>
          <w:lang w:val="en-GB"/>
        </w:rPr>
      </w:pPr>
      <w:r>
        <w:rPr>
          <w:lang w:val="en-GB"/>
        </w:rPr>
      </w:r>
    </w:p>
    <w:p>
      <w:pPr>
        <w:pStyle w:val="Normal"/>
        <w:rPr>
          <w:lang w:val="en-GB"/>
        </w:rPr>
      </w:pPr>
      <w:r>
        <w:rPr>
          <w:lang w:val="en-GB"/>
        </w:rPr>
      </w:r>
      <w:r>
        <w:br w:type="page"/>
      </w:r>
    </w:p>
    <w:p>
      <w:pPr>
        <w:pStyle w:val="ScheduleL1"/>
        <w:rPr/>
      </w:pPr>
      <w:r>
        <w:rPr/>
        <w:t>TABLE OF CONTENTS</w:t>
      </w:r>
    </w:p>
    <w:p>
      <w:pPr>
        <w:pStyle w:val="ScheduleL1"/>
        <w:rPr/>
      </w:pPr>
      <w:r>
        <w:rPr/>
      </w:r>
    </w:p>
    <w:sdt>
      <w:sdtPr>
        <w:docPartObj>
          <w:docPartGallery w:val="Table of Contents"/>
          <w:docPartUnique w:val="true"/>
        </w:docPartObj>
      </w:sdtPr>
      <w:sdtContent>
        <w:p>
          <w:pPr>
            <w:pStyle w:val="TOC1"/>
            <w:tabs>
              <w:tab w:val="clear" w:pos="720"/>
              <w:tab w:val="left" w:pos="660" w:leader="none"/>
              <w:tab w:val="right" w:pos="10197" w:leader="dot"/>
            </w:tabs>
            <w:rPr>
              <w:b w:val="false"/>
              <w:bCs w:val="false"/>
              <w:caps w:val="false"/>
              <w:smallCaps w:val="false"/>
              <w:sz w:val="24"/>
              <w:szCs w:val="24"/>
              <w:lang w:val="de-CH" w:eastAsia="en-US"/>
            </w:rPr>
          </w:pPr>
          <w:r>
            <w:fldChar w:fldCharType="begin"/>
          </w:r>
          <w:r>
            <w:rPr>
              <w:rStyle w:val="IndexLink"/>
              <w:lang w:val="en-US" w:eastAsia="en-US"/>
            </w:rPr>
            <w:instrText xml:space="preserve"> TOC \h \z \t "Heading 1 Numbered;1" </w:instrText>
          </w:r>
          <w:r>
            <w:rPr>
              <w:rStyle w:val="IndexLink"/>
              <w:lang w:val="en-US" w:eastAsia="en-US"/>
            </w:rPr>
            <w:fldChar w:fldCharType="separate"/>
          </w:r>
          <w:hyperlink w:anchor="__RefHeading___Toc157779846">
            <w:r>
              <w:rPr>
                <w:rStyle w:val="IndexLink"/>
                <w:lang w:val="en-US" w:eastAsia="en-US"/>
              </w:rPr>
              <w:t>1.0</w:t>
            </w:r>
            <w:r>
              <w:rPr>
                <w:rStyle w:val="IndexLink"/>
                <w:b w:val="false"/>
                <w:bCs w:val="false"/>
                <w:caps w:val="false"/>
                <w:smallCaps w:val="false"/>
                <w:sz w:val="24"/>
                <w:szCs w:val="24"/>
                <w:lang w:val="de-CH" w:eastAsia="en-US"/>
              </w:rPr>
              <w:tab/>
            </w:r>
            <w:r>
              <w:rPr>
                <w:rStyle w:val="IndexLink"/>
                <w:lang w:val="en-US" w:eastAsia="en-US"/>
              </w:rPr>
              <w:t>INTRODUCTION</w:t>
              <w:tab/>
              <w:t>2</w:t>
            </w:r>
          </w:hyperlink>
        </w:p>
        <w:p>
          <w:pPr>
            <w:pStyle w:val="TOC1"/>
            <w:tabs>
              <w:tab w:val="clear" w:pos="720"/>
              <w:tab w:val="left" w:pos="660" w:leader="none"/>
              <w:tab w:val="right" w:pos="10197" w:leader="dot"/>
            </w:tabs>
            <w:rPr>
              <w:b w:val="false"/>
              <w:bCs w:val="false"/>
              <w:caps w:val="false"/>
              <w:smallCaps w:val="false"/>
              <w:sz w:val="24"/>
              <w:szCs w:val="24"/>
              <w:lang w:val="de-CH" w:eastAsia="en-US"/>
            </w:rPr>
          </w:pPr>
          <w:hyperlink w:anchor="__RefHeading___Toc157779847">
            <w:r>
              <w:rPr>
                <w:rStyle w:val="IndexLink"/>
                <w:lang w:val="en-US" w:eastAsia="en-US"/>
              </w:rPr>
              <w:t>2.0</w:t>
            </w:r>
            <w:r>
              <w:rPr>
                <w:rStyle w:val="IndexLink"/>
                <w:b w:val="false"/>
                <w:bCs w:val="false"/>
                <w:caps w:val="false"/>
                <w:smallCaps w:val="false"/>
                <w:sz w:val="24"/>
                <w:szCs w:val="24"/>
                <w:lang w:val="de-CH" w:eastAsia="en-US"/>
              </w:rPr>
              <w:tab/>
            </w:r>
            <w:r>
              <w:rPr>
                <w:rStyle w:val="IndexLink"/>
                <w:lang w:val="en-US" w:eastAsia="en-US"/>
              </w:rPr>
              <w:t>DESCRIPTION OF THIS EXHIBIT</w:t>
              <w:tab/>
              <w:t>2</w:t>
            </w:r>
          </w:hyperlink>
        </w:p>
        <w:p>
          <w:pPr>
            <w:pStyle w:val="TOC1"/>
            <w:tabs>
              <w:tab w:val="clear" w:pos="720"/>
              <w:tab w:val="left" w:pos="660" w:leader="none"/>
              <w:tab w:val="right" w:pos="10197" w:leader="dot"/>
            </w:tabs>
            <w:rPr>
              <w:b w:val="false"/>
              <w:bCs w:val="false"/>
              <w:caps w:val="false"/>
              <w:smallCaps w:val="false"/>
              <w:sz w:val="24"/>
              <w:szCs w:val="24"/>
              <w:lang w:val="de-CH" w:eastAsia="en-US"/>
            </w:rPr>
          </w:pPr>
          <w:hyperlink w:anchor="__RefHeading___Toc157779848">
            <w:r>
              <w:rPr>
                <w:rStyle w:val="IndexLink"/>
                <w:lang w:val="en-US" w:eastAsia="en-US"/>
              </w:rPr>
              <w:t>3.0</w:t>
            </w:r>
            <w:r>
              <w:rPr>
                <w:rStyle w:val="IndexLink"/>
                <w:b w:val="false"/>
                <w:bCs w:val="false"/>
                <w:caps w:val="false"/>
                <w:smallCaps w:val="false"/>
                <w:sz w:val="24"/>
                <w:szCs w:val="24"/>
                <w:lang w:val="de-CH" w:eastAsia="en-US"/>
              </w:rPr>
              <w:tab/>
            </w:r>
            <w:r>
              <w:rPr>
                <w:rStyle w:val="IndexLink"/>
                <w:lang w:val="en-US" w:eastAsia="en-US"/>
              </w:rPr>
              <w:t>CHANGe CLASSIFICATION</w:t>
              <w:tab/>
              <w:t>2</w:t>
            </w:r>
          </w:hyperlink>
        </w:p>
        <w:p>
          <w:pPr>
            <w:pStyle w:val="TOC1"/>
            <w:tabs>
              <w:tab w:val="clear" w:pos="720"/>
              <w:tab w:val="left" w:pos="660" w:leader="none"/>
              <w:tab w:val="right" w:pos="10197" w:leader="dot"/>
            </w:tabs>
            <w:rPr>
              <w:b w:val="false"/>
              <w:bCs w:val="false"/>
              <w:caps w:val="false"/>
              <w:smallCaps w:val="false"/>
              <w:sz w:val="24"/>
              <w:szCs w:val="24"/>
              <w:lang w:val="de-CH" w:eastAsia="en-US"/>
            </w:rPr>
          </w:pPr>
          <w:hyperlink w:anchor="__RefHeading___Toc157779849">
            <w:r>
              <w:rPr>
                <w:rStyle w:val="IndexLink"/>
                <w:lang w:val="en-US" w:eastAsia="en-US"/>
              </w:rPr>
              <w:t>4.0</w:t>
            </w:r>
            <w:r>
              <w:rPr>
                <w:rStyle w:val="IndexLink"/>
                <w:b w:val="false"/>
                <w:bCs w:val="false"/>
                <w:caps w:val="false"/>
                <w:smallCaps w:val="false"/>
                <w:sz w:val="24"/>
                <w:szCs w:val="24"/>
                <w:lang w:val="de-CH" w:eastAsia="en-US"/>
              </w:rPr>
              <w:tab/>
            </w:r>
            <w:r>
              <w:rPr>
                <w:rStyle w:val="IndexLink"/>
                <w:lang w:val="en-US" w:eastAsia="en-US"/>
              </w:rPr>
              <w:t>SIGNIFICANT CHAnge CONTROL PROCEDURE</w:t>
              <w:tab/>
              <w:t>5</w:t>
            </w:r>
          </w:hyperlink>
        </w:p>
        <w:p>
          <w:pPr>
            <w:pStyle w:val="TOC1"/>
            <w:tabs>
              <w:tab w:val="clear" w:pos="720"/>
              <w:tab w:val="left" w:pos="660" w:leader="none"/>
              <w:tab w:val="right" w:pos="10197" w:leader="dot"/>
            </w:tabs>
            <w:rPr>
              <w:b w:val="false"/>
              <w:bCs w:val="false"/>
              <w:caps w:val="false"/>
              <w:smallCaps w:val="false"/>
              <w:sz w:val="24"/>
              <w:szCs w:val="24"/>
              <w:lang w:val="de-CH" w:eastAsia="en-US"/>
            </w:rPr>
          </w:pPr>
          <w:hyperlink w:anchor="__RefHeading___Toc157779850">
            <w:r>
              <w:rPr>
                <w:rStyle w:val="IndexLink"/>
                <w:lang w:val="en-US" w:eastAsia="en-US"/>
              </w:rPr>
              <w:t>5.0</w:t>
            </w:r>
            <w:r>
              <w:rPr>
                <w:rStyle w:val="IndexLink"/>
                <w:b w:val="false"/>
                <w:bCs w:val="false"/>
                <w:caps w:val="false"/>
                <w:smallCaps w:val="false"/>
                <w:sz w:val="24"/>
                <w:szCs w:val="24"/>
                <w:lang w:val="de-CH" w:eastAsia="en-US"/>
              </w:rPr>
              <w:tab/>
            </w:r>
            <w:r>
              <w:rPr>
                <w:rStyle w:val="IndexLink"/>
                <w:lang w:val="en-US" w:eastAsia="en-US"/>
              </w:rPr>
              <w:t>Approval</w:t>
              <w:tab/>
              <w:t>6</w:t>
            </w:r>
          </w:hyperlink>
        </w:p>
        <w:p>
          <w:pPr>
            <w:pStyle w:val="TOC1"/>
            <w:tabs>
              <w:tab w:val="clear" w:pos="720"/>
              <w:tab w:val="left" w:pos="660" w:leader="none"/>
              <w:tab w:val="right" w:pos="10197" w:leader="dot"/>
            </w:tabs>
            <w:rPr>
              <w:b w:val="false"/>
              <w:bCs w:val="false"/>
              <w:sz w:val="24"/>
              <w:szCs w:val="24"/>
              <w:lang w:val="de-CH" w:eastAsia="en-US"/>
            </w:rPr>
          </w:pPr>
          <w:hyperlink w:anchor="__RefHeading___Toc157779851">
            <w:r>
              <w:rPr>
                <w:rStyle w:val="IndexLink"/>
                <w:caps w:val="false"/>
                <w:smallCaps w:val="false"/>
                <w:lang w:val="en-US" w:eastAsia="en-US"/>
              </w:rPr>
              <w:t>6.0</w:t>
            </w:r>
            <w:r>
              <w:rPr>
                <w:rStyle w:val="IndexLink"/>
                <w:b w:val="false"/>
                <w:bCs w:val="false"/>
                <w:caps w:val="false"/>
                <w:smallCaps w:val="false"/>
                <w:sz w:val="24"/>
                <w:szCs w:val="24"/>
                <w:lang w:val="de-CH" w:eastAsia="en-US"/>
              </w:rPr>
              <w:tab/>
            </w:r>
            <w:r>
              <w:rPr>
                <w:rStyle w:val="IndexLink"/>
                <w:caps w:val="false"/>
                <w:smallCaps w:val="false"/>
                <w:lang w:val="en-US" w:eastAsia="en-US"/>
              </w:rPr>
              <w:t>CHANGE MANAGEMENT</w:t>
              <w:tab/>
              <w:t>7</w:t>
            </w:r>
          </w:hyperlink>
          <w:r>
            <w:rPr>
              <w:rStyle w:val="IndexLink"/>
              <w:smallCaps w:val="false"/>
              <w:caps w:val="false"/>
              <w:lang w:val="en-US" w:eastAsia="en-US"/>
            </w:rPr>
            <w:fldChar w:fldCharType="end"/>
          </w:r>
        </w:p>
      </w:sdtContent>
    </w:sdt>
    <w:p>
      <w:pPr>
        <w:pStyle w:val="ScheduleL1"/>
        <w:rPr>
          <w:b w:val="false"/>
          <w:bCs w:val="false"/>
          <w:caps/>
          <w:sz w:val="24"/>
          <w:szCs w:val="24"/>
          <w:lang w:val="de-CH" w:eastAsia="en-US"/>
        </w:rPr>
      </w:pPr>
      <w:r>
        <w:rPr>
          <w:b w:val="false"/>
          <w:bCs w:val="false"/>
          <w:caps/>
          <w:sz w:val="24"/>
          <w:szCs w:val="24"/>
          <w:lang w:val="de-CH" w:eastAsia="en-US"/>
        </w:rPr>
      </w:r>
      <w:r>
        <w:br w:type="page"/>
      </w:r>
    </w:p>
    <w:p>
      <w:pPr>
        <w:pStyle w:val="ScheduleL1"/>
        <w:rPr/>
      </w:pPr>
      <w:r>
        <w:rPr/>
      </w:r>
    </w:p>
    <w:p>
      <w:pPr>
        <w:pStyle w:val="Heading1Numbered"/>
        <w:numPr>
          <w:ilvl w:val="0"/>
          <w:numId w:val="2"/>
        </w:numPr>
        <w:ind w:hanging="0" w:start="0"/>
        <w:rPr/>
      </w:pPr>
      <w:bookmarkStart w:id="0" w:name="__RefHeading___Toc157779846"/>
      <w:bookmarkEnd w:id="0"/>
      <w:r>
        <w:rPr/>
        <w:t>INTRODUCTION</w:t>
      </w:r>
    </w:p>
    <w:p>
      <w:pPr>
        <w:pStyle w:val="Bodytext1"/>
        <w:rPr/>
      </w:pPr>
      <w:r>
        <w:rPr/>
        <w:t xml:space="preserve">The Parties agree that, throughout the Term, the process for changing, reducing or adding to the Services, including amending the Agreement and making any related changes to relevant Exhibits to the Agreement, will be in accordance with the procedures set out in this Exhibit. </w:t>
      </w:r>
    </w:p>
    <w:p>
      <w:pPr>
        <w:pStyle w:val="Bodytext1"/>
        <w:rPr/>
      </w:pPr>
      <w:r>
        <w:rPr/>
        <w:t>This Exhibit sets out the procedures that will apply in the classification, processing and approval or rejection of changes.</w:t>
      </w:r>
    </w:p>
    <w:p>
      <w:pPr>
        <w:pStyle w:val="Bodytext1"/>
        <w:rPr/>
      </w:pPr>
      <w:r>
        <w:rPr/>
        <w:t>It is the intent of the Parties that the procedure for classification and processing of changes does not automatically give rise to a change in the Base Charges unless (i) the classification of a specific change is such that the Charge Review Procedure, as described in Section 3.05 below, applies, or (ii) the change is exempted from the Charge Review Procedure pursuant to Section 3.02(2).</w:t>
      </w:r>
    </w:p>
    <w:p>
      <w:pPr>
        <w:pStyle w:val="Bodytext1"/>
        <w:rPr/>
      </w:pPr>
      <w:r>
        <w:rPr/>
        <w:t xml:space="preserve">Change requests can emanate from either Party and will be documented as a change control note (“CCN”) in the form set out in </w:t>
      </w:r>
      <w:r>
        <w:rPr>
          <w:b/>
        </w:rPr>
        <w:t>Attachment 20-A</w:t>
      </w:r>
      <w:r>
        <w:rPr/>
        <w:t>.</w:t>
      </w:r>
    </w:p>
    <w:p>
      <w:pPr>
        <w:pStyle w:val="Heading1Numbered"/>
        <w:numPr>
          <w:ilvl w:val="0"/>
          <w:numId w:val="2"/>
        </w:numPr>
        <w:ind w:hanging="0" w:start="0"/>
        <w:rPr/>
      </w:pPr>
      <w:bookmarkStart w:id="1" w:name="__RefHeading___Toc157779847"/>
      <w:bookmarkEnd w:id="1"/>
      <w:r>
        <w:rPr/>
        <w:t>DESCRIPTION OF THIS EXHIBIT</w:t>
      </w:r>
    </w:p>
    <w:p>
      <w:pPr>
        <w:pStyle w:val="Bodytext1"/>
        <w:rPr/>
      </w:pPr>
      <w:r>
        <w:rPr/>
        <w:t xml:space="preserve">This Exhibit consists of the following documents: </w:t>
      </w:r>
    </w:p>
    <w:p>
      <w:pPr>
        <w:pStyle w:val="Bullet"/>
        <w:numPr>
          <w:ilvl w:val="0"/>
          <w:numId w:val="6"/>
        </w:numPr>
        <w:rPr/>
      </w:pPr>
      <w:r>
        <w:rPr/>
        <w:t xml:space="preserve">This Exhibit; </w:t>
      </w:r>
    </w:p>
    <w:p>
      <w:pPr>
        <w:pStyle w:val="Bullet"/>
        <w:numPr>
          <w:ilvl w:val="0"/>
          <w:numId w:val="6"/>
        </w:numPr>
        <w:rPr/>
      </w:pPr>
      <w:r>
        <w:rPr>
          <w:b/>
        </w:rPr>
        <w:t xml:space="preserve">Attachment 20-A </w:t>
      </w:r>
      <w:r>
        <w:rPr/>
        <w:t>- Change Control Notice (CNN)</w:t>
      </w:r>
    </w:p>
    <w:p>
      <w:pPr>
        <w:pStyle w:val="Bullet"/>
        <w:numPr>
          <w:ilvl w:val="0"/>
          <w:numId w:val="6"/>
        </w:numPr>
        <w:rPr/>
      </w:pPr>
      <w:r>
        <w:rPr/>
        <w:t xml:space="preserve">Procedural Change Management Procedure, to be prepared as part of the Policies and Procedures Manual in line with </w:t>
      </w:r>
      <w:r>
        <w:rPr>
          <w:b/>
        </w:rPr>
        <w:t xml:space="preserve">Exhibit 6 </w:t>
      </w:r>
      <w:r>
        <w:rPr/>
        <w:t>and</w:t>
      </w:r>
      <w:r>
        <w:rPr>
          <w:b/>
        </w:rPr>
        <w:t xml:space="preserve"> Attachment 6-B.</w:t>
      </w:r>
    </w:p>
    <w:p>
      <w:pPr>
        <w:pStyle w:val="Heading1Numbered"/>
        <w:numPr>
          <w:ilvl w:val="0"/>
          <w:numId w:val="2"/>
        </w:numPr>
        <w:ind w:hanging="0" w:start="0"/>
        <w:rPr/>
      </w:pPr>
      <w:bookmarkStart w:id="2" w:name="__RefHeading___Toc157779848"/>
      <w:bookmarkEnd w:id="2"/>
      <w:r>
        <w:rPr/>
        <w:t>CHANGe CLASSIFICATION</w:t>
      </w:r>
    </w:p>
    <w:p>
      <w:pPr>
        <w:pStyle w:val="Heading21"/>
        <w:numPr>
          <w:ilvl w:val="1"/>
          <w:numId w:val="4"/>
        </w:numPr>
        <w:ind w:hanging="0" w:start="0"/>
        <w:rPr/>
      </w:pPr>
      <w:r>
        <w:rPr/>
        <w:t>Step One – Assess the type of Change</w:t>
      </w:r>
    </w:p>
    <w:p>
      <w:pPr>
        <w:pStyle w:val="Bodytext1"/>
        <w:rPr/>
      </w:pPr>
      <w:r>
        <w:rPr/>
        <w:t>The assessment of the classification of a change is to first determine whether the change is a Procedural Change or a Significant Change in order to establish which procedure applies to the administration and implementation of that change and secondly to establish, in the case of a Significant Change, whether such Change has the potential for a charge or a reduction in the Base Charges as applicable as described in Article 3.03(2) below.</w:t>
      </w:r>
    </w:p>
    <w:p>
      <w:pPr>
        <w:pStyle w:val="Heading21"/>
        <w:numPr>
          <w:ilvl w:val="1"/>
          <w:numId w:val="4"/>
        </w:numPr>
        <w:tabs>
          <w:tab w:val="clear" w:pos="720"/>
          <w:tab w:val="left" w:pos="2127" w:leader="none"/>
        </w:tabs>
        <w:ind w:hanging="0" w:start="0"/>
        <w:rPr/>
      </w:pPr>
      <w:r>
        <w:rPr/>
        <w:t>Definitions of Changes</w:t>
      </w:r>
    </w:p>
    <w:p>
      <w:pPr>
        <w:pStyle w:val="Heading31"/>
        <w:numPr>
          <w:ilvl w:val="0"/>
          <w:numId w:val="0"/>
        </w:numPr>
        <w:ind w:hanging="0" w:start="720" w:end="0"/>
        <w:rPr/>
      </w:pPr>
      <w:r>
        <w:rPr/>
        <w:t xml:space="preserve">(1) </w:t>
      </w:r>
      <w:r>
        <w:rPr>
          <w:u w:val="single"/>
        </w:rPr>
        <w:t xml:space="preserve">Procedural Change </w:t>
      </w:r>
    </w:p>
    <w:p>
      <w:pPr>
        <w:pStyle w:val="Heading31"/>
        <w:numPr>
          <w:ilvl w:val="0"/>
          <w:numId w:val="0"/>
        </w:numPr>
        <w:ind w:hanging="0" w:start="1080" w:end="0"/>
        <w:jc w:val="start"/>
        <w:rPr/>
      </w:pPr>
      <w:r>
        <w:rPr/>
        <w:t>Changes in the manner in which the Services are performed or provided, which, when implemented   do not modify, add to or reduce the scope of the Services</w:t>
      </w:r>
    </w:p>
    <w:p>
      <w:pPr>
        <w:pStyle w:val="Heading31"/>
        <w:numPr>
          <w:ilvl w:val="0"/>
          <w:numId w:val="0"/>
        </w:numPr>
        <w:ind w:hanging="0" w:start="720" w:end="0"/>
        <w:jc w:val="start"/>
        <w:rPr/>
      </w:pPr>
      <w:r>
        <w:rPr/>
        <w:t xml:space="preserve">(2) </w:t>
      </w:r>
      <w:r>
        <w:rPr>
          <w:u w:val="single"/>
        </w:rPr>
        <w:t>Significant Change</w:t>
      </w:r>
    </w:p>
    <w:p>
      <w:pPr>
        <w:pStyle w:val="Heading31"/>
        <w:numPr>
          <w:ilvl w:val="0"/>
          <w:numId w:val="0"/>
        </w:numPr>
        <w:ind w:hanging="0" w:start="1080" w:end="0"/>
        <w:jc w:val="start"/>
        <w:rPr/>
      </w:pPr>
      <w:r>
        <w:rPr/>
        <w:t>Any Change that is not a Procedural Change, as defined above. This would include any amendment to the agreement.</w:t>
      </w:r>
    </w:p>
    <w:p>
      <w:pPr>
        <w:pStyle w:val="Heading21"/>
        <w:numPr>
          <w:ilvl w:val="1"/>
          <w:numId w:val="4"/>
        </w:numPr>
        <w:tabs>
          <w:tab w:val="clear" w:pos="720"/>
          <w:tab w:val="left" w:pos="2127" w:leader="none"/>
        </w:tabs>
        <w:ind w:hanging="0" w:start="0"/>
        <w:rPr/>
      </w:pPr>
      <w:r>
        <w:rPr/>
        <w:t>Change Control Procedure</w:t>
      </w:r>
    </w:p>
    <w:p>
      <w:pPr>
        <w:pStyle w:val="Bodytext1"/>
        <w:ind w:start="720" w:end="0"/>
        <w:jc w:val="start"/>
        <w:rPr/>
      </w:pPr>
      <w:r>
        <w:rPr/>
        <w:t>(1) Procedural Change Management Procedure or Change Control Procedure</w:t>
      </w:r>
    </w:p>
    <w:p>
      <w:pPr>
        <w:pStyle w:val="Bodytext1"/>
        <w:rPr/>
      </w:pPr>
      <w:r>
        <w:rPr/>
      </w:r>
    </w:p>
    <w:p>
      <w:pPr>
        <w:pStyle w:val="Bodytext1"/>
        <w:rPr/>
      </w:pPr>
      <w:r>
        <w:rPr/>
        <w:t>The process described in this Exhibit recognises that there are two procedures for the implementation of changes that occur in the performance of the Services by the Service Provider</w:t>
      </w:r>
    </w:p>
    <w:p>
      <w:pPr>
        <w:pStyle w:val="Heading41"/>
        <w:numPr>
          <w:ilvl w:val="3"/>
          <w:numId w:val="4"/>
        </w:numPr>
        <w:tabs>
          <w:tab w:val="left" w:pos="1260" w:leader="none"/>
        </w:tabs>
        <w:ind w:hanging="540" w:start="1260" w:end="0"/>
        <w:rPr/>
      </w:pPr>
      <w:r>
        <w:rPr/>
        <w:t>The Procedural Change Management Procedure which is intended to be a fast-track process for the implementation of day-to-day procedural changes. The Procedural Change Management Procedure will be prepared by Service Provider with the assistance and approval of GlobalPharma as part of the Policies and Procedures Manual as described in Section 5 of Exhibit 6 and Attachment 6-B.</w:t>
      </w:r>
      <w:r>
        <w:rPr>
          <w:b/>
        </w:rPr>
      </w:r>
      <w:r>
        <w:rPr/>
      </w:r>
      <w:r>
        <w:rPr>
          <w:b/>
        </w:rPr>
      </w:r>
      <w:r>
        <w:rPr/>
      </w:r>
    </w:p>
    <w:p>
      <w:pPr>
        <w:pStyle w:val="Heading41"/>
        <w:numPr>
          <w:ilvl w:val="3"/>
          <w:numId w:val="4"/>
        </w:numPr>
        <w:tabs>
          <w:tab w:val="left" w:pos="1260" w:leader="none"/>
        </w:tabs>
        <w:ind w:hanging="540" w:start="1260" w:end="0"/>
        <w:rPr/>
      </w:pPr>
      <w:r>
        <w:rPr/>
        <w:t xml:space="preserve">Significant Change Control Procedure, described in Section </w:t>
      </w:r>
      <w:r>
        <w:rPr/>
        <w:fldChar w:fldCharType="begin"/>
      </w:r>
      <w:r>
        <w:rPr/>
        <w:instrText xml:space="preserve"> REF _Ref21255857 \w \w \h </w:instrText>
      </w:r>
      <w:r>
        <w:rPr/>
        <w:fldChar w:fldCharType="separate"/>
      </w:r>
      <w:r>
        <w:rPr/>
        <w:t>4.0</w:t>
      </w:r>
      <w:r>
        <w:rPr/>
        <w:fldChar w:fldCharType="end"/>
      </w:r>
      <w:r>
        <w:rPr/>
        <w:t xml:space="preserve"> below, is the procedure which applies to any Significant Change. </w:t>
      </w:r>
    </w:p>
    <w:p>
      <w:pPr>
        <w:pStyle w:val="Bodytext1"/>
        <w:rPr/>
      </w:pPr>
      <w:r>
        <w:rPr/>
        <w:t xml:space="preserve">It is possible for a change which starts as a Procedural change and is implemented through the Procedural change Management Procedure, to become a Significant Change. </w:t>
      </w:r>
    </w:p>
    <w:p>
      <w:pPr>
        <w:pStyle w:val="Heading31"/>
        <w:numPr>
          <w:ilvl w:val="2"/>
          <w:numId w:val="4"/>
        </w:numPr>
        <w:ind w:hanging="360" w:start="1080" w:end="0"/>
        <w:rPr>
          <w:lang w:val="fr-FR"/>
        </w:rPr>
      </w:pPr>
      <w:bookmarkStart w:id="3" w:name="_Ref21255711"/>
      <w:r>
        <w:rPr>
          <w:lang w:val="fr-FR"/>
        </w:rPr>
        <w:t>Chargeable or Non-Chargeable Changes</w:t>
      </w:r>
      <w:bookmarkEnd w:id="3"/>
    </w:p>
    <w:p>
      <w:pPr>
        <w:pStyle w:val="Heading41"/>
        <w:numPr>
          <w:ilvl w:val="3"/>
          <w:numId w:val="4"/>
        </w:numPr>
        <w:tabs>
          <w:tab w:val="left" w:pos="1980" w:leader="none"/>
        </w:tabs>
        <w:ind w:hanging="720" w:start="1980" w:end="0"/>
        <w:rPr/>
      </w:pPr>
      <w:r>
        <w:rPr/>
        <w:t>All Procedural changes introduced by Service Provider will be non-chargeable unless otherwise agreed in advance with GlobalPharma. Procedural changes introduced as a result of a GlobalPharma request might be chargeable if they have an impact on Service Provider's costs, in which case they will be treated in accordance with the Significant Change Control Procedure.</w:t>
      </w:r>
    </w:p>
    <w:p>
      <w:pPr>
        <w:pStyle w:val="Heading41"/>
        <w:numPr>
          <w:ilvl w:val="3"/>
          <w:numId w:val="4"/>
        </w:numPr>
        <w:tabs>
          <w:tab w:val="left" w:pos="1980" w:leader="none"/>
        </w:tabs>
        <w:ind w:hanging="720" w:start="1980" w:end="0"/>
        <w:rPr/>
      </w:pPr>
      <w:r>
        <w:rPr/>
        <w:t>Changes governed by the Significant Change Control Procedure are not automatically chargeable and may result in reduction in the Charges. The following are classifications of Significant Changes for which the Charge Review Procedure will not apply:</w:t>
      </w:r>
    </w:p>
    <w:p>
      <w:pPr>
        <w:pStyle w:val="Heading51"/>
        <w:numPr>
          <w:ilvl w:val="4"/>
          <w:numId w:val="4"/>
        </w:numPr>
        <w:tabs>
          <w:tab w:val="clear" w:pos="2127"/>
          <w:tab w:val="left" w:pos="2700" w:leader="none"/>
        </w:tabs>
        <w:ind w:hanging="540" w:start="2700" w:end="0"/>
        <w:rPr/>
      </w:pPr>
      <w:r>
        <w:rPr/>
        <w:t xml:space="preserve">Changes to the consumption of Resource Units, as covered by ARCs and RRCs, and more fully described in </w:t>
      </w:r>
      <w:r>
        <w:rPr>
          <w:b/>
        </w:rPr>
        <w:t>Exhibit 4</w:t>
      </w:r>
      <w:r>
        <w:rPr/>
        <w:t>;</w:t>
      </w:r>
    </w:p>
    <w:p>
      <w:pPr>
        <w:pStyle w:val="Heading51"/>
        <w:numPr>
          <w:ilvl w:val="4"/>
          <w:numId w:val="4"/>
        </w:numPr>
        <w:tabs>
          <w:tab w:val="clear" w:pos="2127"/>
          <w:tab w:val="left" w:pos="2700" w:leader="none"/>
        </w:tabs>
        <w:ind w:hanging="540" w:start="2700" w:end="0"/>
        <w:rPr/>
      </w:pPr>
      <w:r>
        <w:rPr/>
        <w:t>Changes required for Service Provider to carry out its obligations under the Agreement where the costs and expenses associated with such Changes are included in the Base Charges.</w:t>
      </w:r>
    </w:p>
    <w:p>
      <w:pPr>
        <w:pStyle w:val="Heading41"/>
        <w:numPr>
          <w:ilvl w:val="3"/>
          <w:numId w:val="4"/>
        </w:numPr>
        <w:ind w:hanging="0" w:start="0"/>
        <w:rPr/>
      </w:pPr>
      <w:r>
        <w:rPr/>
        <w:t>For Significant Changes that are not excluded in the list above, the Change will be assessed in accordance with the Charge Review Procedure, as defined below.</w:t>
      </w:r>
    </w:p>
    <w:p>
      <w:pPr>
        <w:pStyle w:val="Heading21"/>
        <w:numPr>
          <w:ilvl w:val="1"/>
          <w:numId w:val="4"/>
        </w:numPr>
        <w:ind w:hanging="0" w:start="0"/>
        <w:jc w:val="both"/>
        <w:rPr/>
      </w:pPr>
      <w:r>
        <w:rPr/>
        <w:t>Step Two – Assess the Costs of Administering the Significant Change or Procedural change.</w:t>
      </w:r>
    </w:p>
    <w:p>
      <w:pPr>
        <w:pStyle w:val="Heading31"/>
        <w:numPr>
          <w:ilvl w:val="2"/>
          <w:numId w:val="4"/>
        </w:numPr>
        <w:ind w:hanging="360" w:start="1080" w:end="0"/>
        <w:rPr/>
      </w:pPr>
      <w:r>
        <w:rPr/>
        <w:t>The preparation by Service Provider of the CCN for changes that are non-chargeable, as specified above, will be performed at no additional cost to GlobalPharma.</w:t>
      </w:r>
    </w:p>
    <w:p>
      <w:pPr>
        <w:pStyle w:val="Heading31"/>
        <w:numPr>
          <w:ilvl w:val="2"/>
          <w:numId w:val="4"/>
        </w:numPr>
        <w:ind w:hanging="360" w:start="1080" w:end="0"/>
        <w:rPr/>
      </w:pPr>
      <w:r>
        <w:rPr/>
        <w:t xml:space="preserve">Implementing the Procedural change Management Procedure will be at no additional cost to GlobalPharma. </w:t>
      </w:r>
    </w:p>
    <w:p>
      <w:pPr>
        <w:pStyle w:val="Heading31"/>
        <w:numPr>
          <w:ilvl w:val="2"/>
          <w:numId w:val="4"/>
        </w:numPr>
        <w:ind w:hanging="360" w:start="1080" w:end="0"/>
        <w:rPr/>
      </w:pPr>
      <w:r>
        <w:rPr/>
        <w:t>Except as set out below, each Party shall be responsible for their own costs incurred in the preparation and assessment of CCNs:</w:t>
      </w:r>
    </w:p>
    <w:p>
      <w:pPr>
        <w:pStyle w:val="Heading41"/>
        <w:numPr>
          <w:ilvl w:val="3"/>
          <w:numId w:val="4"/>
        </w:numPr>
        <w:tabs>
          <w:tab w:val="left" w:pos="1980" w:leader="none"/>
        </w:tabs>
        <w:ind w:hanging="720" w:start="1980" w:end="0"/>
        <w:rPr/>
      </w:pPr>
      <w:r>
        <w:rPr/>
        <w:t xml:space="preserve">Service Provider reserves the right to charge GlobalPharma for the preparation of CCNs (including the impact analysis), for Significant Changes requested by GlobalPharma (i) where the Charge Review Procedure applies or (ii) which are for New Services. Where the preparation of such CCNs is performed by personnel included within the Base Charges, then, if such preparation cannot be accommodated within such resources, Service Provider may levy a charge for the time of the additional resources necessary to prepare the CCN, provided that no charge will be made for minor CCN preparation which requires less than one (1) man-day of effort. </w:t>
      </w:r>
    </w:p>
    <w:p>
      <w:pPr>
        <w:pStyle w:val="Heading41"/>
        <w:numPr>
          <w:ilvl w:val="3"/>
          <w:numId w:val="4"/>
        </w:numPr>
        <w:tabs>
          <w:tab w:val="left" w:pos="1980" w:leader="none"/>
        </w:tabs>
        <w:ind w:hanging="720" w:start="1980" w:end="0"/>
        <w:rPr/>
      </w:pPr>
      <w:r>
        <w:rPr/>
        <w:t xml:space="preserve">For those CCNs for which Service Provider may make a charge, Service Provider will be entitled to charge solely for (i) the reasonable and actual time engaged by its personnel in preparation of the CCN and (ii) for reasonable out–of-pocket expenses agreed in advance with GlobalPharma. Service Provider will not automatically make a charge and may waive its entitlement to charge where there is a business benefit to Service Provider in making the Change. Where a charge is to be made, rates applicable for the time engaged by Service Provider personnel will be no greater than the applicable rates specified in Exhibit 4. The total cost for preparation will be estimated and agreed in advance of incurring any cost and such estimate shall not be exceeded unless by agreement with GlobalPharma.  </w:t>
      </w:r>
      <w:r>
        <w:rPr>
          <w:b/>
        </w:rPr>
      </w:r>
      <w:r>
        <w:rPr/>
      </w:r>
    </w:p>
    <w:p>
      <w:pPr>
        <w:pStyle w:val="Heading41"/>
        <w:numPr>
          <w:ilvl w:val="0"/>
          <w:numId w:val="0"/>
        </w:numPr>
        <w:ind w:hanging="0" w:start="1260" w:end="0"/>
        <w:rPr/>
      </w:pPr>
      <w:r>
        <w:rPr/>
      </w:r>
    </w:p>
    <w:p>
      <w:pPr>
        <w:pStyle w:val="Heading21"/>
        <w:numPr>
          <w:ilvl w:val="1"/>
          <w:numId w:val="4"/>
        </w:numPr>
        <w:ind w:hanging="0" w:start="0"/>
        <w:rPr/>
      </w:pPr>
      <w:bookmarkStart w:id="4" w:name="_Ref21255598"/>
      <w:r>
        <w:rPr/>
        <w:t>Step 3 – The Charge Review Procedure</w:t>
      </w:r>
      <w:bookmarkEnd w:id="4"/>
    </w:p>
    <w:p>
      <w:pPr>
        <w:pStyle w:val="Heading31"/>
        <w:numPr>
          <w:ilvl w:val="2"/>
          <w:numId w:val="4"/>
        </w:numPr>
        <w:ind w:hanging="360" w:start="1080" w:end="0"/>
        <w:rPr/>
      </w:pPr>
      <w:r>
        <w:rPr/>
        <w:t>Scope</w:t>
      </w:r>
    </w:p>
    <w:p>
      <w:pPr>
        <w:pStyle w:val="Bodytext1"/>
        <w:rPr/>
      </w:pPr>
      <w:r>
        <w:rPr/>
        <w:t>The Charge Review Procedure is the only process by which Service Provider may increase the Base Charges as a result of a Change except for:</w:t>
      </w:r>
    </w:p>
    <w:p>
      <w:pPr>
        <w:pStyle w:val="Heading41"/>
        <w:numPr>
          <w:ilvl w:val="3"/>
          <w:numId w:val="4"/>
        </w:numPr>
        <w:ind w:hanging="0" w:start="0"/>
        <w:rPr/>
      </w:pPr>
      <w:r>
        <w:rPr/>
        <w:t>New Services (which are dealt with in accordance with the according provisions of the Agreement);</w:t>
      </w:r>
    </w:p>
    <w:p>
      <w:pPr>
        <w:pStyle w:val="Heading41"/>
        <w:numPr>
          <w:ilvl w:val="3"/>
          <w:numId w:val="4"/>
        </w:numPr>
        <w:ind w:hanging="0" w:start="0"/>
        <w:rPr/>
      </w:pPr>
      <w:r>
        <w:rPr/>
        <w:t xml:space="preserve">Changes classified under Section 3.03(2) above for which the Charge Review Procedure does not apply; and </w:t>
      </w:r>
    </w:p>
    <w:p>
      <w:pPr>
        <w:pStyle w:val="Heading41"/>
        <w:numPr>
          <w:ilvl w:val="3"/>
          <w:numId w:val="4"/>
        </w:numPr>
        <w:ind w:hanging="0" w:start="0"/>
        <w:rPr/>
      </w:pPr>
      <w:r>
        <w:rPr/>
        <w:t xml:space="preserve">Changes to the consumption of Resource Units as described in </w:t>
      </w:r>
      <w:r>
        <w:rPr>
          <w:b/>
        </w:rPr>
        <w:t xml:space="preserve">Exhibit 4 </w:t>
      </w:r>
      <w:r>
        <w:rPr/>
        <w:t>that have an automatic formula to adjust the volume.</w:t>
      </w:r>
    </w:p>
    <w:p>
      <w:pPr>
        <w:pStyle w:val="Heading41"/>
        <w:numPr>
          <w:ilvl w:val="3"/>
          <w:numId w:val="4"/>
        </w:numPr>
        <w:ind w:hanging="0" w:start="0"/>
        <w:rPr/>
      </w:pPr>
      <w:r>
        <w:rPr/>
        <w:t xml:space="preserve">Changes in the pass-through expenses listed in </w:t>
      </w:r>
      <w:r>
        <w:rPr>
          <w:b/>
        </w:rPr>
        <w:t>Attachment 4</w:t>
      </w:r>
      <w:r>
        <w:rPr/>
        <w:t xml:space="preserve"> (Service Provider Pricing Form), in sheet ‘Pass-Through Charges’, resulting from either change in consumption of resource units or increase in the number of resource units</w:t>
      </w:r>
    </w:p>
    <w:p>
      <w:pPr>
        <w:pStyle w:val="Heading31"/>
        <w:numPr>
          <w:ilvl w:val="2"/>
          <w:numId w:val="4"/>
        </w:numPr>
        <w:ind w:hanging="0" w:start="0"/>
        <w:rPr/>
      </w:pPr>
      <w:bookmarkStart w:id="5" w:name="_Ref21256457"/>
      <w:r>
        <w:rPr/>
        <w:t>Procedure</w:t>
      </w:r>
      <w:bookmarkEnd w:id="5"/>
    </w:p>
    <w:p>
      <w:pPr>
        <w:pStyle w:val="Bodytext1"/>
        <w:rPr/>
      </w:pPr>
      <w:r>
        <w:rPr/>
        <w:t xml:space="preserve">Where Service Provider requires an increase in the Base Charges or additional pass-through elements that are not included in </w:t>
      </w:r>
      <w:r>
        <w:rPr>
          <w:b/>
        </w:rPr>
        <w:t>Attachment 4</w:t>
      </w:r>
      <w:r>
        <w:rPr/>
        <w:t xml:space="preserve"> (Service Provider Pricing Form), in sheet ‘Pass-Through Charges’ to be introduced as a result of a Change, the following will be provided with the CCN to justify the basis of the increase:</w:t>
      </w:r>
    </w:p>
    <w:p>
      <w:pPr>
        <w:pStyle w:val="Heading41"/>
        <w:numPr>
          <w:ilvl w:val="3"/>
          <w:numId w:val="4"/>
        </w:numPr>
        <w:ind w:hanging="0" w:start="0"/>
        <w:rPr/>
      </w:pPr>
      <w:r>
        <w:rPr/>
        <w:t>an analysis of the reasons why Service Provider believes its costs will be impacted by the Change and any applicable supporting documentation;</w:t>
      </w:r>
    </w:p>
    <w:p>
      <w:pPr>
        <w:pStyle w:val="Heading41"/>
        <w:numPr>
          <w:ilvl w:val="3"/>
          <w:numId w:val="4"/>
        </w:numPr>
        <w:ind w:hanging="0" w:start="0"/>
        <w:rPr/>
      </w:pPr>
      <w:r>
        <w:rPr/>
        <w:t>where applicable, reasonable evidence that Service Provider is performing efficiently and that it has reviewed any alternatives to accommodate the requested Change without adjusting or increasing the Base Charges;</w:t>
      </w:r>
    </w:p>
    <w:p>
      <w:pPr>
        <w:pStyle w:val="Heading41"/>
        <w:numPr>
          <w:ilvl w:val="3"/>
          <w:numId w:val="4"/>
        </w:numPr>
        <w:ind w:hanging="0" w:start="0"/>
        <w:rPr/>
      </w:pPr>
      <w:r>
        <w:rPr/>
        <w:t>details of proposed one-off charges or changes to the Base Charges based upon the above; and</w:t>
      </w:r>
    </w:p>
    <w:p>
      <w:pPr>
        <w:pStyle w:val="Heading41"/>
        <w:numPr>
          <w:ilvl w:val="3"/>
          <w:numId w:val="4"/>
        </w:numPr>
        <w:ind w:hanging="0" w:start="0"/>
        <w:rPr/>
      </w:pPr>
      <w:r>
        <w:rPr/>
        <w:t>any other relevant information, including information justifying any proposed one-off charges or changes to the Base Charges and any base data and charging assumptions required by GlobalPharma to verify such proposed changes.</w:t>
      </w:r>
    </w:p>
    <w:p>
      <w:pPr>
        <w:pStyle w:val="Bodytext1"/>
        <w:rPr/>
      </w:pPr>
      <w:r>
        <w:rPr/>
        <w:t>Where there is a decrease in the Base Charges, Service Provider shall detail the reduction, providing reasonable supporting documentation sufficient for GlobalPharma to assess the proposed decrease.</w:t>
      </w:r>
    </w:p>
    <w:p>
      <w:pPr>
        <w:pStyle w:val="Heading31"/>
        <w:numPr>
          <w:ilvl w:val="2"/>
          <w:numId w:val="4"/>
        </w:numPr>
        <w:ind w:hanging="0" w:start="0"/>
        <w:rPr/>
      </w:pPr>
      <w:r>
        <w:rPr/>
        <w:t>Review and Approval</w:t>
      </w:r>
    </w:p>
    <w:p>
      <w:pPr>
        <w:pStyle w:val="Bodytext1"/>
        <w:rPr/>
      </w:pPr>
      <w:r>
        <w:rPr/>
        <w:t xml:space="preserve">GlobalPharma will review the notification and, following such review, either: </w:t>
      </w:r>
    </w:p>
    <w:p>
      <w:pPr>
        <w:pStyle w:val="Heading41"/>
        <w:numPr>
          <w:ilvl w:val="3"/>
          <w:numId w:val="4"/>
        </w:numPr>
        <w:ind w:hanging="0" w:start="0"/>
        <w:rPr/>
      </w:pPr>
      <w:r>
        <w:rPr/>
        <w:t>will accept or reject Service Provider’s proposal;</w:t>
      </w:r>
    </w:p>
    <w:p>
      <w:pPr>
        <w:pStyle w:val="Heading41"/>
        <w:numPr>
          <w:ilvl w:val="3"/>
          <w:numId w:val="4"/>
        </w:numPr>
        <w:ind w:hanging="0" w:start="0"/>
        <w:rPr/>
      </w:pPr>
      <w:r>
        <w:rPr/>
        <w:t xml:space="preserve">will request amendment to the notification providing reasonable details of the items in the notification that GlobalPharma rejects; or </w:t>
      </w:r>
    </w:p>
    <w:p>
      <w:pPr>
        <w:pStyle w:val="Heading41"/>
        <w:numPr>
          <w:ilvl w:val="3"/>
          <w:numId w:val="4"/>
        </w:numPr>
        <w:ind w:hanging="0" w:start="0"/>
        <w:rPr/>
      </w:pPr>
      <w:r>
        <w:rPr/>
        <w:t xml:space="preserve">will request more information from Service Provider as may be reasonably required by GlobalPharma to review the notification. </w:t>
      </w:r>
    </w:p>
    <w:p>
      <w:pPr>
        <w:pStyle w:val="Bodytext1"/>
        <w:rPr/>
      </w:pPr>
      <w:r>
        <w:rPr/>
        <w:t>At GlobalPharma’s request, Service Provider will resubmit its proposal with amendments as discussed between the parties.</w:t>
      </w:r>
    </w:p>
    <w:p>
      <w:pPr>
        <w:pStyle w:val="Bodytext1"/>
        <w:rPr/>
      </w:pPr>
      <w:r>
        <w:rPr/>
        <w:t>Any agreed one-off charge, ongoing separate charges or adjustment to the Base Charges will be subject to the approval of GlobalPharma and Service Provider.</w:t>
      </w:r>
    </w:p>
    <w:p>
      <w:pPr>
        <w:pStyle w:val="Heading1Numbered"/>
        <w:numPr>
          <w:ilvl w:val="0"/>
          <w:numId w:val="2"/>
        </w:numPr>
        <w:ind w:hanging="0" w:start="0"/>
        <w:rPr/>
      </w:pPr>
      <w:bookmarkStart w:id="6" w:name="__RefHeading___Toc157779849"/>
      <w:bookmarkStart w:id="7" w:name="_Ref21255857"/>
      <w:bookmarkStart w:id="8" w:name="_Ref21255620"/>
      <w:bookmarkEnd w:id="6"/>
      <w:r>
        <w:rPr/>
        <w:t>SIGNIFICANT CHAnge CONTROL PROCEDURE</w:t>
      </w:r>
      <w:bookmarkEnd w:id="7"/>
      <w:bookmarkEnd w:id="8"/>
    </w:p>
    <w:p>
      <w:pPr>
        <w:pStyle w:val="Bodytext1"/>
        <w:rPr/>
      </w:pPr>
      <w:r>
        <w:rPr/>
        <w:t>This Article 4 sets out the procedures to be followed to raise, request, record and agree Changes.</w:t>
      </w:r>
    </w:p>
    <w:p>
      <w:pPr>
        <w:pStyle w:val="Heading21"/>
        <w:numPr>
          <w:ilvl w:val="1"/>
          <w:numId w:val="4"/>
        </w:numPr>
        <w:ind w:hanging="0" w:start="0"/>
        <w:rPr/>
      </w:pPr>
      <w:r>
        <w:rPr/>
        <w:t>4.01 Change Control Notice</w:t>
      </w:r>
    </w:p>
    <w:p>
      <w:pPr>
        <w:pStyle w:val="Heading31"/>
        <w:numPr>
          <w:ilvl w:val="2"/>
          <w:numId w:val="10"/>
        </w:numPr>
        <w:ind w:hanging="0" w:start="0"/>
        <w:rPr/>
      </w:pPr>
      <w:r>
        <w:rPr/>
        <w:t>All Change Control Notices (“CCN”, Attachment 20-A), will be executed by an authorized representative of the Party that requests the Change, who will act as the CCN sponsor throughout the Change Control Procedure, and who will complete Part A of the CCN. Part B of the CCN will be completed by Service Provider. CCNs will be presented to the appropriate authorized representative who will acknowledge receipt of the CCN. Service Provider and GlobalPharma will agree the timescale for completion of each CCN. One Change shall generate a single CCN.</w:t>
      </w:r>
      <w:r>
        <w:rPr>
          <w:b/>
        </w:rPr>
      </w:r>
      <w:r>
        <w:rPr/>
      </w:r>
    </w:p>
    <w:p>
      <w:pPr>
        <w:pStyle w:val="Heading31"/>
        <w:numPr>
          <w:ilvl w:val="2"/>
          <w:numId w:val="4"/>
        </w:numPr>
        <w:ind w:hanging="0" w:start="0"/>
        <w:rPr/>
      </w:pPr>
      <w:r>
        <w:rPr/>
        <w:t>All Changes will further be classified as categorized by the originator as:</w:t>
      </w:r>
    </w:p>
    <w:p>
      <w:pPr>
        <w:pStyle w:val="Heading41"/>
        <w:numPr>
          <w:ilvl w:val="3"/>
          <w:numId w:val="4"/>
        </w:numPr>
        <w:ind w:hanging="0" w:start="0"/>
        <w:rPr/>
      </w:pPr>
      <w:r>
        <w:rPr/>
        <w:t>Priority 1 (urgent); or</w:t>
      </w:r>
    </w:p>
    <w:p>
      <w:pPr>
        <w:pStyle w:val="Heading41"/>
        <w:numPr>
          <w:ilvl w:val="3"/>
          <w:numId w:val="4"/>
        </w:numPr>
        <w:ind w:hanging="0" w:start="0"/>
        <w:rPr/>
      </w:pPr>
      <w:r>
        <w:rPr/>
        <w:t>Priority 2 (normal).</w:t>
      </w:r>
    </w:p>
    <w:p>
      <w:pPr>
        <w:pStyle w:val="Bodytext1"/>
        <w:ind w:start="709" w:end="0"/>
        <w:rPr/>
      </w:pPr>
      <w:r>
        <w:rPr/>
        <w:t>It is also possible that Changes may fall into more than one priority category in which case the CCN shall detail the categories into which the elements of the Change are divided.</w:t>
      </w:r>
    </w:p>
    <w:p>
      <w:pPr>
        <w:pStyle w:val="Heading21"/>
        <w:numPr>
          <w:ilvl w:val="0"/>
          <w:numId w:val="0"/>
        </w:numPr>
        <w:ind w:hanging="0" w:start="540" w:end="0"/>
        <w:rPr/>
      </w:pPr>
      <w:r>
        <w:rPr/>
        <w:t>4.02 Service Provider’s Obligations</w:t>
      </w:r>
    </w:p>
    <w:p>
      <w:pPr>
        <w:pStyle w:val="Heading31"/>
        <w:numPr>
          <w:ilvl w:val="2"/>
          <w:numId w:val="11"/>
        </w:numPr>
        <w:ind w:hanging="0" w:start="0"/>
        <w:rPr/>
      </w:pPr>
      <w:r>
        <w:rPr/>
        <w:t>For each CCN, Service Provider shall assess the CCN and complete Part B of the CCN form in accordance with the timescales agreed with GlobalPharma.  In completing Part B of the CCN form, at a minimum Service Provider will provide:</w:t>
      </w:r>
    </w:p>
    <w:p>
      <w:pPr>
        <w:pStyle w:val="Heading41"/>
        <w:numPr>
          <w:ilvl w:val="3"/>
          <w:numId w:val="4"/>
        </w:numPr>
        <w:ind w:hanging="0" w:start="0"/>
        <w:rPr/>
      </w:pPr>
      <w:r>
        <w:rPr/>
        <w:t>a description of the Change and whether Service Provider considers that the Change is a New Service and should be dealt with in accordance with the according provisions of the Agreement;</w:t>
      </w:r>
    </w:p>
    <w:p>
      <w:pPr>
        <w:pStyle w:val="Heading41"/>
        <w:numPr>
          <w:ilvl w:val="3"/>
          <w:numId w:val="4"/>
        </w:numPr>
        <w:ind w:hanging="0" w:start="0"/>
        <w:rPr/>
      </w:pPr>
      <w:r>
        <w:rPr/>
        <w:t>where the Charge Review Procedure is applicable, the information that is required by Article 30.05(2) above;</w:t>
      </w:r>
    </w:p>
    <w:p>
      <w:pPr>
        <w:pStyle w:val="Heading41"/>
        <w:numPr>
          <w:ilvl w:val="3"/>
          <w:numId w:val="4"/>
        </w:numPr>
        <w:ind w:hanging="0" w:start="0"/>
        <w:rPr/>
      </w:pPr>
      <w:r>
        <w:rPr/>
        <w:t>a list of deliverables required for implementing the Change;</w:t>
      </w:r>
    </w:p>
    <w:p>
      <w:pPr>
        <w:pStyle w:val="Heading41"/>
        <w:numPr>
          <w:ilvl w:val="3"/>
          <w:numId w:val="4"/>
        </w:numPr>
        <w:ind w:hanging="0" w:start="0"/>
        <w:rPr/>
      </w:pPr>
      <w:r>
        <w:rPr/>
        <w:t>a timetable for implementation;</w:t>
      </w:r>
    </w:p>
    <w:p>
      <w:pPr>
        <w:pStyle w:val="Heading41"/>
        <w:numPr>
          <w:ilvl w:val="3"/>
          <w:numId w:val="4"/>
        </w:numPr>
        <w:ind w:hanging="0" w:start="0"/>
        <w:rPr/>
      </w:pPr>
      <w:r>
        <w:rPr/>
        <w:t>an impact analysis (as more fully described in Article 4.03 below);</w:t>
      </w:r>
    </w:p>
    <w:p>
      <w:pPr>
        <w:pStyle w:val="Heading41"/>
        <w:numPr>
          <w:ilvl w:val="3"/>
          <w:numId w:val="4"/>
        </w:numPr>
        <w:ind w:hanging="0" w:start="0"/>
        <w:rPr/>
      </w:pPr>
      <w:r>
        <w:rPr/>
        <w:t>any relevant acceptance criteria;</w:t>
      </w:r>
    </w:p>
    <w:p>
      <w:pPr>
        <w:pStyle w:val="Heading41"/>
        <w:numPr>
          <w:ilvl w:val="3"/>
          <w:numId w:val="4"/>
        </w:numPr>
        <w:ind w:hanging="0" w:start="0"/>
        <w:rPr/>
      </w:pPr>
      <w:r>
        <w:rPr/>
        <w:t>an assessment of the added value of a proposed change to GlobalPharma for Service Provider initiated changes; and</w:t>
      </w:r>
    </w:p>
    <w:p>
      <w:pPr>
        <w:pStyle w:val="Heading41"/>
        <w:numPr>
          <w:ilvl w:val="3"/>
          <w:numId w:val="4"/>
        </w:numPr>
        <w:ind w:hanging="0" w:start="0"/>
        <w:rPr/>
      </w:pPr>
      <w:r>
        <w:rPr/>
        <w:t>Proposed amendments to the Agreement as required.</w:t>
      </w:r>
    </w:p>
    <w:p>
      <w:pPr>
        <w:pStyle w:val="Heading21"/>
        <w:numPr>
          <w:ilvl w:val="0"/>
          <w:numId w:val="0"/>
        </w:numPr>
        <w:ind w:hanging="0" w:start="540" w:end="0"/>
        <w:rPr/>
      </w:pPr>
      <w:bookmarkStart w:id="9" w:name="_Ref21256487"/>
      <w:r>
        <w:rPr/>
        <w:t>4.03 Impact Analysis</w:t>
      </w:r>
      <w:bookmarkEnd w:id="9"/>
    </w:p>
    <w:p>
      <w:pPr>
        <w:pStyle w:val="Heading31"/>
        <w:numPr>
          <w:ilvl w:val="2"/>
          <w:numId w:val="12"/>
        </w:numPr>
        <w:ind w:hanging="0" w:start="0"/>
        <w:rPr/>
      </w:pPr>
      <w:r>
        <w:rPr/>
        <w:t>The purpose of the impact analysis is to provide a context for a discussion around the approval and implementation of the proposed Change.</w:t>
      </w:r>
    </w:p>
    <w:p>
      <w:pPr>
        <w:pStyle w:val="Heading31"/>
        <w:numPr>
          <w:ilvl w:val="2"/>
          <w:numId w:val="4"/>
        </w:numPr>
        <w:ind w:hanging="0" w:start="0"/>
        <w:rPr/>
      </w:pPr>
      <w:r>
        <w:rPr/>
        <w:t>The impact analysis will consider the material effect of any proposed Change on any other existing Services provided under the Agreement.  The impact analysis should also consider the effect on other applicable services provided by GlobalPharma or a Third Party.  If the proposed Change has no such impact, a “no impact” statement will be made.</w:t>
      </w:r>
    </w:p>
    <w:p>
      <w:pPr>
        <w:pStyle w:val="Heading31"/>
        <w:numPr>
          <w:ilvl w:val="2"/>
          <w:numId w:val="4"/>
        </w:numPr>
        <w:ind w:hanging="0" w:start="0"/>
        <w:rPr/>
      </w:pPr>
      <w:r>
        <w:rPr/>
        <w:t>The impact analysis will consider the impact of the proposed Change using, among others, the following parameters, when relevant to each particular Change:</w:t>
      </w:r>
    </w:p>
    <w:p>
      <w:pPr>
        <w:pStyle w:val="Heading41"/>
        <w:numPr>
          <w:ilvl w:val="3"/>
          <w:numId w:val="4"/>
        </w:numPr>
        <w:ind w:hanging="0" w:start="0"/>
        <w:rPr/>
      </w:pPr>
      <w:r>
        <w:rPr/>
        <w:t>scope of the Agreement;</w:t>
      </w:r>
    </w:p>
    <w:p>
      <w:pPr>
        <w:pStyle w:val="Heading41"/>
        <w:numPr>
          <w:ilvl w:val="3"/>
          <w:numId w:val="4"/>
        </w:numPr>
        <w:ind w:hanging="0" w:start="0"/>
        <w:rPr/>
      </w:pPr>
      <w:r>
        <w:rPr/>
        <w:t>whether the proposed Change is a New Service (in which case the according procedures set out in the Agreement will apply);</w:t>
      </w:r>
    </w:p>
    <w:p>
      <w:pPr>
        <w:pStyle w:val="Heading41"/>
        <w:numPr>
          <w:ilvl w:val="3"/>
          <w:numId w:val="4"/>
        </w:numPr>
        <w:ind w:hanging="0" w:start="0"/>
        <w:rPr/>
      </w:pPr>
      <w:r>
        <w:rPr/>
        <w:t>consideration of location;</w:t>
      </w:r>
    </w:p>
    <w:p>
      <w:pPr>
        <w:pStyle w:val="Heading41"/>
        <w:numPr>
          <w:ilvl w:val="3"/>
          <w:numId w:val="4"/>
        </w:numPr>
        <w:ind w:hanging="0" w:start="0"/>
        <w:rPr/>
      </w:pPr>
      <w:r>
        <w:rPr/>
        <w:t>Service Levels;</w:t>
      </w:r>
    </w:p>
    <w:p>
      <w:pPr>
        <w:pStyle w:val="Heading41"/>
        <w:numPr>
          <w:ilvl w:val="3"/>
          <w:numId w:val="4"/>
        </w:numPr>
        <w:ind w:hanging="0" w:start="0"/>
        <w:rPr/>
      </w:pPr>
      <w:r>
        <w:rPr/>
        <w:t>pricing elements;</w:t>
      </w:r>
    </w:p>
    <w:p>
      <w:pPr>
        <w:pStyle w:val="Heading41"/>
        <w:numPr>
          <w:ilvl w:val="3"/>
          <w:numId w:val="4"/>
        </w:numPr>
        <w:ind w:hanging="0" w:start="0"/>
        <w:rPr/>
      </w:pPr>
      <w:r>
        <w:rPr/>
        <w:t>delivery dates;</w:t>
      </w:r>
    </w:p>
    <w:p>
      <w:pPr>
        <w:pStyle w:val="Heading41"/>
        <w:numPr>
          <w:ilvl w:val="3"/>
          <w:numId w:val="4"/>
        </w:numPr>
        <w:ind w:hanging="0" w:start="0"/>
        <w:rPr/>
      </w:pPr>
      <w:r>
        <w:rPr/>
        <w:t>acceptance criteria, including End User acceptance criteria where applicable;</w:t>
      </w:r>
    </w:p>
    <w:p>
      <w:pPr>
        <w:pStyle w:val="Heading41"/>
        <w:numPr>
          <w:ilvl w:val="3"/>
          <w:numId w:val="4"/>
        </w:numPr>
        <w:ind w:hanging="0" w:start="0"/>
        <w:rPr/>
      </w:pPr>
      <w:r>
        <w:rPr/>
        <w:t>the Disaster Recovery Plan;</w:t>
      </w:r>
    </w:p>
    <w:p>
      <w:pPr>
        <w:pStyle w:val="Heading41"/>
        <w:numPr>
          <w:ilvl w:val="3"/>
          <w:numId w:val="4"/>
        </w:numPr>
        <w:ind w:hanging="0" w:start="0"/>
        <w:rPr/>
      </w:pPr>
      <w:r>
        <w:rPr/>
        <w:t>roll-back provision, including the cost and impact of such provision;</w:t>
      </w:r>
    </w:p>
    <w:p>
      <w:pPr>
        <w:pStyle w:val="Heading41"/>
        <w:numPr>
          <w:ilvl w:val="3"/>
          <w:numId w:val="4"/>
        </w:numPr>
        <w:ind w:hanging="0" w:start="0"/>
        <w:rPr/>
      </w:pPr>
      <w:r>
        <w:rPr/>
        <w:t>GlobalPharma’s policies;</w:t>
      </w:r>
    </w:p>
    <w:p>
      <w:pPr>
        <w:pStyle w:val="Heading41"/>
        <w:numPr>
          <w:ilvl w:val="3"/>
          <w:numId w:val="4"/>
        </w:numPr>
        <w:ind w:hanging="0" w:start="0"/>
        <w:rPr/>
      </w:pPr>
      <w:r>
        <w:rPr/>
        <w:t>infrastructure requirements including new equipment and/or software;</w:t>
      </w:r>
    </w:p>
    <w:p>
      <w:pPr>
        <w:pStyle w:val="Heading41"/>
        <w:numPr>
          <w:ilvl w:val="3"/>
          <w:numId w:val="4"/>
        </w:numPr>
        <w:ind w:hanging="0" w:start="0"/>
        <w:rPr/>
      </w:pPr>
      <w:r>
        <w:rPr/>
        <w:t>Third Party agreements; and</w:t>
      </w:r>
    </w:p>
    <w:p>
      <w:pPr>
        <w:pStyle w:val="Heading41"/>
        <w:numPr>
          <w:ilvl w:val="3"/>
          <w:numId w:val="4"/>
        </w:numPr>
        <w:ind w:hanging="0" w:start="0"/>
        <w:rPr/>
      </w:pPr>
      <w:r>
        <w:rPr/>
        <w:t>any other matter reasonably requested by GlobalPharma at the time of the impact analysis or reasonably considered by Service Provider to be relevant.</w:t>
      </w:r>
    </w:p>
    <w:p>
      <w:pPr>
        <w:pStyle w:val="Bodytext1"/>
        <w:rPr/>
      </w:pPr>
      <w:r>
        <w:rPr/>
        <w:t>The preceding is not an exhaustive list, and there may be more parameters to consider in the context of a particular Change and some of the parameters described above may not be relevant to every Change.</w:t>
      </w:r>
    </w:p>
    <w:p>
      <w:pPr>
        <w:pStyle w:val="Heading31"/>
        <w:numPr>
          <w:ilvl w:val="2"/>
          <w:numId w:val="4"/>
        </w:numPr>
        <w:ind w:hanging="0" w:start="0"/>
        <w:rPr/>
      </w:pPr>
      <w:r>
        <w:rPr/>
        <w:t>The above parameters should be considered in such a way to ensure that the impact analysis clearly shows the impact (if any) on the Base Charges, Service Levels, the Services and any other relevant matter covered by the Agreement. The resulting impact analysis will confirm the authority level required to authorize the Change.</w:t>
      </w:r>
    </w:p>
    <w:p>
      <w:pPr>
        <w:pStyle w:val="Heading1Numbered"/>
        <w:numPr>
          <w:ilvl w:val="0"/>
          <w:numId w:val="2"/>
        </w:numPr>
        <w:ind w:hanging="0" w:start="0"/>
        <w:rPr/>
      </w:pPr>
      <w:bookmarkStart w:id="10" w:name="__RefHeading___Toc157779850"/>
      <w:bookmarkEnd w:id="10"/>
      <w:r>
        <w:rPr/>
        <w:t>Approval</w:t>
      </w:r>
    </w:p>
    <w:p>
      <w:pPr>
        <w:pStyle w:val="Bodytext1"/>
        <w:rPr/>
      </w:pPr>
      <w:r>
        <w:rPr/>
        <w:t xml:space="preserve">Prior to submission of the completed CCN to GlobalPharma, Service Provider will undertake its own internal review of the proposal and obtain all necessary internal approvals. As a part of this internal review process, Service Provider will consider the materiality of the proposed Change in the context both of the Services affected by the change and the effect on the Agreement that may arise from implementation of the Change. For greater certainty, such review is not intended to replace an impact analysis. </w:t>
      </w:r>
    </w:p>
    <w:p>
      <w:pPr>
        <w:pStyle w:val="Bodytext1"/>
        <w:rPr/>
      </w:pPr>
      <w:r>
        <w:rPr/>
        <w:t>GlobalPharma may accept or reject the CCN in whole or in part. Where GlobalPharma requires Service Provider to resubmit the CCN, GlobalPharma will provide reasonable detail to Service Provider of the parts of the CCN that do not meet with its approval, setting out reasons for such rejection. The Parties will negotiate in good faith on those matters in the CCN that do not meet with GlobalPharma’s approval.</w:t>
      </w:r>
    </w:p>
    <w:p>
      <w:pPr>
        <w:pStyle w:val="Bodytext1"/>
        <w:rPr/>
      </w:pPr>
      <w:r>
        <w:rPr/>
        <w:t>Subject to the following paragraph, following an internal process of approval by GlobalPharma and agreement between GlobalPharma and Service Provider, Part C of the CCN will be authorized in accordance with the authority levels agreed pursuant to Exhibit 6 (Governance Model) or otherwise as agreed between the Parties.</w:t>
      </w:r>
      <w:r>
        <w:rPr>
          <w:b/>
        </w:rPr>
      </w:r>
      <w:r>
        <w:rPr/>
      </w:r>
    </w:p>
    <w:p>
      <w:pPr>
        <w:pStyle w:val="Bodytext1"/>
        <w:rPr/>
      </w:pPr>
      <w:r>
        <w:rPr/>
        <w:t>If Service Provider proceeds with a Significant Change without GlobalPharma’s prior written authorization, such Significant Change will be entirely at Service Provider’s cost and risk (and may require Service Provider to undo the Significant Change at Service Provider’s expense), except in emergencies where immediate risk of loss or damage to either Party exists; however in such case, Service Provider shall notify GlobalPharma as soon as practicable after implementation of the Significant Change.</w:t>
      </w:r>
    </w:p>
    <w:p>
      <w:pPr>
        <w:pStyle w:val="Bodytext1"/>
        <w:rPr/>
      </w:pPr>
      <w:bookmarkStart w:id="11" w:name="_Ref495769091"/>
      <w:r>
        <w:rPr/>
        <w:t xml:space="preserve">Subject to agreement on the price of a Significant Change (where applicable) Service Provider is compelled to implement Changes at GlobalPharma’s request. </w:t>
      </w:r>
      <w:bookmarkStart w:id="12" w:name="_Ref495769226"/>
      <w:bookmarkEnd w:id="11"/>
      <w:r>
        <w:rPr/>
      </w:r>
      <w:bookmarkEnd w:id="12"/>
    </w:p>
    <w:p>
      <w:pPr>
        <w:pStyle w:val="Bodytext1"/>
        <w:rPr/>
      </w:pPr>
      <w:r>
        <w:rPr/>
        <w:t>For the avoidance of doubt a Significant Change will not be deemed acceptable unless agreed upon in writing by the respective authorized signatories of the Parties.</w:t>
      </w:r>
    </w:p>
    <w:p>
      <w:pPr>
        <w:pStyle w:val="Heading1Numbered"/>
        <w:numPr>
          <w:ilvl w:val="0"/>
          <w:numId w:val="2"/>
        </w:numPr>
        <w:ind w:hanging="0" w:start="0"/>
        <w:rPr/>
      </w:pPr>
      <w:bookmarkStart w:id="13" w:name="__RefHeading___Toc157779851"/>
      <w:bookmarkEnd w:id="13"/>
      <w:r>
        <w:rPr/>
        <w:t>CHANGE MANAGEMENT</w:t>
      </w:r>
    </w:p>
    <w:p>
      <w:pPr>
        <w:pStyle w:val="Bodytext1"/>
        <w:spacing w:before="120" w:after="120"/>
        <w:rPr/>
      </w:pPr>
      <w:r>
        <w:rPr/>
        <w:t xml:space="preserve">Service Provider will record and track the progress of all CCNs and report the status of CCNs in accordance with </w:t>
      </w:r>
      <w:r>
        <w:rPr>
          <w:b/>
        </w:rPr>
        <w:t>Exhibit 20-A (Change Control Notice)</w:t>
      </w:r>
    </w:p>
    <w:sectPr>
      <w:headerReference w:type="default" r:id="rId2"/>
      <w:headerReference w:type="first" r:id="rId3"/>
      <w:footerReference w:type="default" r:id="rId4"/>
      <w:footerReference w:type="first" r:id="rId5"/>
      <w:type w:val="nextPage"/>
      <w:pgSz w:w="11906" w:h="16838"/>
      <w:pgMar w:left="851" w:right="851" w:gutter="0" w:header="181" w:top="1418" w:footer="386" w:bottom="1418"/>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5220" w:leader="none"/>
      </w:tabs>
      <w:spacing w:before="120" w:after="120"/>
      <w:jc w:val="both"/>
      <w:rPr/>
    </w:pPr>
    <w:r>
      <w:rPr>
        <w:rStyle w:val="Heading4YYCharChar"/>
        <w:sz w:val="16"/>
        <w:szCs w:val="16"/>
      </w:rPr>
      <w:tab/>
      <w:t>Exhibit 20</w:t>
    </w:r>
  </w:p>
  <w:p>
    <w:pPr>
      <w:pStyle w:val="Footer"/>
      <w:tabs>
        <w:tab w:val="left" w:pos="4320" w:leader="none"/>
        <w:tab w:val="right" w:pos="8640" w:leader="none"/>
        <w:tab w:val="right" w:pos="10080" w:leader="none"/>
      </w:tabs>
      <w:spacing w:before="120" w:after="120"/>
      <w:jc w:val="both"/>
      <w:rPr/>
    </w:pPr>
    <w:r>
      <w:rPr>
        <w:rStyle w:val="Heading4YYCharChar"/>
        <w:sz w:val="16"/>
        <w:szCs w:val="16"/>
      </w:rPr>
      <w:t>GlobalPharma</w:t>
      <w:tab/>
      <w:tab/>
      <w:tab/>
      <w:t>CONFIDENTIAL</w:t>
    </w:r>
    <w:r>
      <w:rPr>
        <w:sz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17">
          <wp:simplePos x="0" y="0"/>
          <wp:positionH relativeFrom="column">
            <wp:posOffset>5469890</wp:posOffset>
          </wp:positionH>
          <wp:positionV relativeFrom="paragraph">
            <wp:posOffset>-22860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94155" cy="345440"/>
          <wp:effectExtent l="0" t="0" r="0" b="0"/>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10">
          <wp:simplePos x="0" y="0"/>
          <wp:positionH relativeFrom="column">
            <wp:posOffset>5478145</wp:posOffset>
          </wp:positionH>
          <wp:positionV relativeFrom="paragraph">
            <wp:posOffset>-22860</wp:posOffset>
          </wp:positionV>
          <wp:extent cx="1028700" cy="385445"/>
          <wp:effectExtent l="0" t="0" r="0" b="0"/>
          <wp:wrapNone/>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94155" cy="34544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ARTICLE %1"/>
      <w:lvlJc w:val="start"/>
      <w:pPr>
        <w:tabs>
          <w:tab w:val="num" w:pos="1440"/>
        </w:tabs>
        <w:ind w:start="771" w:hanging="771"/>
      </w:pPr>
      <w:rPr/>
    </w:lvl>
    <w:lvl w:ilvl="1">
      <w:start w:val="1"/>
      <w:isLgl/>
      <w:numFmt w:val="decimalZero"/>
      <w:lvlText w:val="3.%2."/>
      <w:lvlJc w:val="start"/>
      <w:pPr>
        <w:tabs>
          <w:tab w:val="num" w:pos="1080"/>
        </w:tabs>
        <w:ind w:start="1080" w:hanging="540"/>
      </w:pPr>
      <w:rPr/>
    </w:lvl>
    <w:lvl w:ilvl="2">
      <w:start w:val="1"/>
      <w:numFmt w:val="decimal"/>
      <w:lvlText w:val="(%3)"/>
      <w:lvlJc w:val="start"/>
      <w:pPr>
        <w:tabs>
          <w:tab w:val="num" w:pos="2520"/>
        </w:tabs>
        <w:ind w:start="2520" w:hanging="720"/>
      </w:pPr>
      <w:rPr/>
    </w:lvl>
    <w:lvl w:ilvl="3">
      <w:start w:val="1"/>
      <w:numFmt w:val="lowerLetter"/>
      <w:lvlText w:val="%4)"/>
      <w:lvlJc w:val="start"/>
      <w:pPr>
        <w:tabs>
          <w:tab w:val="num" w:pos="3960"/>
        </w:tabs>
        <w:ind w:start="3960" w:hanging="720"/>
      </w:pPr>
      <w:rPr/>
    </w:lvl>
    <w:lvl w:ilvl="4">
      <w:start w:val="1"/>
      <w:numFmt w:val="lowerRoman"/>
      <w:lvlText w:val="(%5)"/>
      <w:lvlJc w:val="start"/>
      <w:pPr>
        <w:tabs>
          <w:tab w:val="num" w:pos="5760"/>
        </w:tabs>
        <w:ind w:start="5760" w:hanging="1080"/>
      </w:pPr>
      <w:rPr/>
    </w:lvl>
    <w:lvl w:ilvl="5">
      <w:start w:val="1"/>
      <w:numFmt w:val="decimal"/>
      <w:lvlText w:val="%1.%2.%3.%4.%5.%6."/>
      <w:lvlJc w:val="start"/>
      <w:pPr>
        <w:tabs>
          <w:tab w:val="num" w:pos="7200"/>
        </w:tabs>
        <w:ind w:start="7200" w:hanging="1080"/>
      </w:pPr>
      <w:rPr/>
    </w:lvl>
    <w:lvl w:ilvl="6">
      <w:start w:val="1"/>
      <w:numFmt w:val="decimal"/>
      <w:lvlText w:val="%1.%2.%3.%4.%5.%6.%7."/>
      <w:lvlJc w:val="start"/>
      <w:pPr>
        <w:tabs>
          <w:tab w:val="num" w:pos="9000"/>
        </w:tabs>
        <w:ind w:start="9000" w:hanging="1440"/>
      </w:pPr>
      <w:rPr/>
    </w:lvl>
    <w:lvl w:ilvl="7">
      <w:start w:val="1"/>
      <w:numFmt w:val="decimal"/>
      <w:lvlText w:val="%1.%2.%3.%4.%5.%6.%7.%8."/>
      <w:lvlJc w:val="start"/>
      <w:pPr>
        <w:tabs>
          <w:tab w:val="num" w:pos="10440"/>
        </w:tabs>
        <w:ind w:start="10440" w:hanging="1440"/>
      </w:pPr>
      <w:rPr/>
    </w:lvl>
    <w:lvl w:ilvl="8">
      <w:start w:val="1"/>
      <w:numFmt w:val="decimal"/>
      <w:lvlText w:val="%1.%2.%3.%4.%5.%6.%7.%8.%9."/>
      <w:lvlJc w:val="start"/>
      <w:pPr>
        <w:tabs>
          <w:tab w:val="num" w:pos="12240"/>
        </w:tabs>
        <w:ind w:start="12240" w:hanging="1800"/>
      </w:pPr>
      <w:rPr/>
    </w:lvl>
  </w:abstractNum>
  <w:abstractNum w:abstractNumId="5">
    <w:lvl w:ilvl="0">
      <w:start w:val="1"/>
      <w:numFmt w:val="bullet"/>
      <w:lvlText w:val=""/>
      <w:lvlJc w:val="start"/>
      <w:pPr>
        <w:tabs>
          <w:tab w:val="num" w:pos="1080"/>
        </w:tabs>
        <w:ind w:start="108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Wingdings" w:hAnsi="Wingdings" w:cs="Wingdings" w:hint="default"/>
      </w:rPr>
    </w:lvl>
  </w:abstractNum>
  <w:abstractNum w:abstractNumId="7">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8">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4"/>
    <w:lvlOverride w:ilvl="0">
      <w:startOverride w:val="1"/>
    </w:lvlOverride>
    <w:lvlOverride w:ilvl="1">
      <w:startOverride w:val="1"/>
    </w:lvlOverride>
    <w:lvlOverride w:ilvl="2">
      <w:startOverride w:val="1"/>
    </w:lvlOverride>
  </w:num>
  <w:num w:numId="11">
    <w:abstractNumId w:val="4"/>
    <w:lvlOverride w:ilvl="0">
      <w:startOverride w:val="1"/>
    </w:lvlOverride>
    <w:lvlOverride w:ilvl="1">
      <w:startOverride w:val="1"/>
    </w:lvlOverride>
    <w:lvlOverride w:ilvl="2">
      <w:startOverride w:val="1"/>
    </w:lvlOverride>
  </w:num>
  <w:num w:numId="12">
    <w:abstractNumId w:val="4"/>
    <w:lvlOverride w:ilvl="0">
      <w:startOverride w:val="1"/>
    </w:lvlOverride>
    <w:lvlOverride w:ilvl="1">
      <w:startOverride w:val="1"/>
    </w:lvlOverride>
    <w:lvlOverride w:ilvl="2">
      <w:startOverride w:val="1"/>
    </w:lvlOverride>
  </w:num>
</w:numbering>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 New Roman" w:hAnsi="Times New Roman" w:cs="Times New Roman"/>
      <w:b w:val="false"/>
      <w:i w:val="false"/>
      <w:color w:val="000000"/>
      <w:sz w:val="22"/>
    </w:rPr>
  </w:style>
  <w:style w:type="character" w:styleId="WW8Num8z1">
    <w:name w:val="WW8Num8z1"/>
    <w:qFormat/>
    <w:rPr>
      <w:rFonts w:ascii="Times New Roman" w:hAnsi="Times New Roman" w:cs="Times New Roman"/>
      <w:b w:val="false"/>
      <w:i w:val="false"/>
      <w:sz w:val="22"/>
    </w:rPr>
  </w:style>
  <w:style w:type="character" w:styleId="WW8Num8z4">
    <w:name w:val="WW8Num8z4"/>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rFonts w:ascii="Times New Roman" w:hAnsi="Times New Roman" w:cs="Times New Roman"/>
      <w:b w:val="false"/>
      <w:i w:val="false"/>
      <w:color w:val="000000"/>
      <w:sz w:val="22"/>
    </w:rPr>
  </w:style>
  <w:style w:type="character" w:styleId="WW8Num12z1">
    <w:name w:val="WW8Num12z1"/>
    <w:qFormat/>
    <w:rPr>
      <w:rFonts w:ascii="Times New Roman" w:hAnsi="Times New Roman" w:cs="Times New Roman"/>
      <w:b w:val="false"/>
      <w:i w:val="false"/>
      <w:sz w:val="22"/>
    </w:rPr>
  </w:style>
  <w:style w:type="character" w:styleId="WW8Num12z4">
    <w:name w:val="WW8Num12z4"/>
    <w:qFormat/>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Kommentarzeichen">
    <w:name w:val="Kommentarzeichen"/>
    <w:basedOn w:val="Absatz-Standardschriftart"/>
    <w:qFormat/>
    <w:rPr>
      <w:sz w:val="16"/>
      <w:szCs w:val="16"/>
    </w:rPr>
  </w:style>
  <w:style w:type="character" w:styleId="PageNumber">
    <w:name w:val="page number"/>
    <w:basedOn w:val="Absatz-Standardschriftart"/>
    <w:rPr/>
  </w:style>
  <w:style w:type="character" w:styleId="Heading4YYCharChar">
    <w:name w:val="Heading 4 YY Char Char"/>
    <w:basedOn w:val="Absatz-Standardschriftart"/>
    <w:qFormat/>
    <w:rPr>
      <w:sz w:val="22"/>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Bullet1Level1">
    <w:name w:val="Bullet 1 Level 1"/>
    <w:basedOn w:val="Normal"/>
    <w:qFormat/>
    <w:pPr>
      <w:numPr>
        <w:ilvl w:val="0"/>
        <w:numId w:val="5"/>
      </w:numPr>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3"/>
      </w:numPr>
      <w:spacing w:before="240" w:after="240"/>
    </w:pPr>
    <w:rPr/>
  </w:style>
  <w:style w:type="paragraph" w:styleId="Bullet1Table">
    <w:name w:val="Bullet 1 Table"/>
    <w:basedOn w:val="Normal"/>
    <w:qFormat/>
    <w:pPr>
      <w:numPr>
        <w:ilvl w:val="0"/>
        <w:numId w:val="9"/>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8"/>
      </w:numPr>
    </w:pPr>
    <w:rPr>
      <w:bCs/>
    </w:rPr>
  </w:style>
  <w:style w:type="paragraph" w:styleId="TableLevel2Numbered">
    <w:name w:val="Table Level 2 Numbered"/>
    <w:basedOn w:val="Normal"/>
    <w:qFormat/>
    <w:pPr>
      <w:numPr>
        <w:ilvl w:val="0"/>
        <w:numId w:val="8"/>
      </w:numPr>
    </w:pPr>
    <w:rPr>
      <w:bCs/>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7"/>
      </w:numPr>
      <w:spacing w:before="240" w:after="240"/>
    </w:pPr>
    <w:rPr/>
  </w:style>
  <w:style w:type="paragraph" w:styleId="BodyLevel2Numbered">
    <w:name w:val="Body Level 2 Numbered"/>
    <w:basedOn w:val="Normal"/>
    <w:qFormat/>
    <w:pPr>
      <w:numPr>
        <w:ilvl w:val="0"/>
        <w:numId w:val="7"/>
      </w:numPr>
      <w:spacing w:before="240" w:after="240"/>
    </w:pPr>
    <w:rPr/>
  </w:style>
  <w:style w:type="paragraph" w:styleId="BodyLevel3Numbered">
    <w:name w:val="Body Level 3 Numbered"/>
    <w:basedOn w:val="Normal"/>
    <w:qFormat/>
    <w:pPr>
      <w:numPr>
        <w:ilvl w:val="0"/>
        <w:numId w:val="7"/>
      </w:numPr>
      <w:spacing w:before="240" w:after="240"/>
    </w:pPr>
    <w:rPr/>
  </w:style>
  <w:style w:type="paragraph" w:styleId="BodyLevel4Numbered">
    <w:name w:val="Body Level 4 Numbered"/>
    <w:basedOn w:val="Normal"/>
    <w:qFormat/>
    <w:pPr>
      <w:numPr>
        <w:ilvl w:val="0"/>
        <w:numId w:val="7"/>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Kommentartext">
    <w:name w:val="Kommentartext"/>
    <w:basedOn w:val="Normal"/>
    <w:qFormat/>
    <w:pPr/>
    <w:rPr>
      <w:sz w:val="20"/>
      <w:szCs w:val="20"/>
    </w:rPr>
  </w:style>
  <w:style w:type="paragraph" w:styleId="CommentSubject1">
    <w:name w:val="Comment Subject1"/>
    <w:basedOn w:val="Kommentartext"/>
    <w:next w:val="Kommentartext"/>
    <w:qFormat/>
    <w:pPr/>
    <w:rPr>
      <w:b/>
      <w:bCs/>
    </w:rPr>
  </w:style>
  <w:style w:type="paragraph" w:styleId="BalloonText1">
    <w:name w:val="Balloon Text1"/>
    <w:basedOn w:val="Normal"/>
    <w:qFormat/>
    <w:pPr/>
    <w:rPr>
      <w:rFonts w:ascii="Tahoma" w:hAnsi="Tahoma" w:cs="Tahoma"/>
      <w:sz w:val="16"/>
      <w:szCs w:val="16"/>
    </w:rPr>
  </w:style>
  <w:style w:type="paragraph" w:styleId="Sprechblasentext">
    <w:name w:val="Sprechblasentext"/>
    <w:basedOn w:val="Normal"/>
    <w:qFormat/>
    <w:pPr/>
    <w:rPr>
      <w:rFonts w:ascii="Tahoma" w:hAnsi="Tahoma" w:cs="Tahoma"/>
      <w:sz w:val="16"/>
      <w:szCs w:val="16"/>
    </w:rPr>
  </w:style>
  <w:style w:type="paragraph" w:styleId="ScheduleL1">
    <w:name w:val="Schedule L1"/>
    <w:basedOn w:val="Normal"/>
    <w:qFormat/>
    <w:pPr>
      <w:spacing w:before="0" w:after="0"/>
      <w:jc w:val="center"/>
      <w:outlineLvl w:val="0"/>
    </w:pPr>
    <w:rPr>
      <w:b/>
      <w:bCs/>
      <w:szCs w:val="20"/>
      <w:lang w:val="en-GB"/>
    </w:rPr>
  </w:style>
  <w:style w:type="paragraph" w:styleId="Heading2Text">
    <w:name w:val="Heading 2 Text"/>
    <w:basedOn w:val="Normal"/>
    <w:qFormat/>
    <w:pPr>
      <w:spacing w:before="0" w:after="240"/>
      <w:ind w:hanging="0" w:start="720" w:end="0"/>
      <w:jc w:val="both"/>
    </w:pPr>
    <w:rPr>
      <w:szCs w:val="20"/>
      <w:lang w:val="en-AU"/>
    </w:rPr>
  </w:style>
  <w:style w:type="paragraph" w:styleId="ScheduleHdg2">
    <w:name w:val="ScheduleHdg2"/>
    <w:basedOn w:val="Normal"/>
    <w:qFormat/>
    <w:pPr>
      <w:keepNext w:val="true"/>
      <w:spacing w:before="0" w:after="240"/>
      <w:jc w:val="center"/>
      <w:outlineLvl w:val="1"/>
    </w:pPr>
    <w:rPr>
      <w:b/>
      <w:szCs w:val="20"/>
    </w:rPr>
  </w:style>
  <w:style w:type="paragraph" w:styleId="HEADING11">
    <w:name w:val="HEADING 11"/>
    <w:basedOn w:val="Normal"/>
    <w:next w:val="Normal"/>
    <w:qFormat/>
    <w:pPr>
      <w:keepNext w:val="true"/>
      <w:numPr>
        <w:ilvl w:val="0"/>
        <w:numId w:val="4"/>
      </w:numPr>
      <w:spacing w:before="240" w:after="240"/>
    </w:pPr>
    <w:rPr>
      <w:b/>
      <w:bCs/>
      <w:caps/>
      <w:sz w:val="24"/>
      <w:u w:val="single"/>
      <w:lang w:val="en-GB"/>
    </w:rPr>
  </w:style>
  <w:style w:type="paragraph" w:styleId="Heading21">
    <w:name w:val="Heading 21"/>
    <w:basedOn w:val="HEADING11"/>
    <w:next w:val="Normal"/>
    <w:qFormat/>
    <w:pPr>
      <w:numPr>
        <w:ilvl w:val="0"/>
        <w:numId w:val="4"/>
      </w:numPr>
      <w:spacing w:before="120" w:after="240"/>
    </w:pPr>
    <w:rPr>
      <w:b w:val="false"/>
      <w:caps w:val="false"/>
      <w:smallCaps w:val="false"/>
      <w:sz w:val="22"/>
    </w:rPr>
  </w:style>
  <w:style w:type="paragraph" w:styleId="Bodytext1">
    <w:name w:val="Body text1"/>
    <w:basedOn w:val="Normal"/>
    <w:qFormat/>
    <w:pPr>
      <w:tabs>
        <w:tab w:val="clear" w:pos="720"/>
        <w:tab w:val="left" w:pos="7200" w:leader="none"/>
      </w:tabs>
      <w:jc w:val="both"/>
    </w:pPr>
    <w:rPr>
      <w:lang w:val="en-GB"/>
    </w:rPr>
  </w:style>
  <w:style w:type="paragraph" w:styleId="Bullet">
    <w:name w:val="Bullet"/>
    <w:basedOn w:val="Bodytext1"/>
    <w:qFormat/>
    <w:pPr>
      <w:numPr>
        <w:ilvl w:val="0"/>
        <w:numId w:val="6"/>
      </w:numPr>
      <w:tabs>
        <w:tab w:val="left" w:pos="1260" w:leader="none"/>
        <w:tab w:val="left" w:pos="7200" w:leader="none"/>
      </w:tabs>
      <w:ind w:hanging="0" w:start="1260" w:end="0"/>
    </w:pPr>
    <w:rPr/>
  </w:style>
  <w:style w:type="paragraph" w:styleId="Heading31">
    <w:name w:val="Heading 31"/>
    <w:basedOn w:val="Bodytext1"/>
    <w:qFormat/>
    <w:pPr>
      <w:numPr>
        <w:ilvl w:val="0"/>
        <w:numId w:val="4"/>
      </w:numPr>
      <w:tabs>
        <w:tab w:val="clear" w:pos="7200"/>
      </w:tabs>
    </w:pPr>
    <w:rPr/>
  </w:style>
  <w:style w:type="paragraph" w:styleId="Heading41">
    <w:name w:val="Heading 41"/>
    <w:basedOn w:val="Heading31"/>
    <w:qFormat/>
    <w:pPr>
      <w:numPr>
        <w:ilvl w:val="0"/>
        <w:numId w:val="4"/>
      </w:numPr>
    </w:pPr>
    <w:rPr/>
  </w:style>
  <w:style w:type="paragraph" w:styleId="Heading51">
    <w:name w:val="Heading 51"/>
    <w:basedOn w:val="Heading31"/>
    <w:qFormat/>
    <w:pPr>
      <w:numPr>
        <w:ilvl w:val="0"/>
        <w:numId w:val="4"/>
      </w:numPr>
      <w:tabs>
        <w:tab w:val="left" w:pos="2127"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2007-01-29T18:59:00Z</dcterms:created>
  <dc:creator>koutross</dc:creator>
  <dc:description/>
  <dc:language>en-US</dc:language>
  <cp:lastModifiedBy>Wenger Plattner</cp:lastModifiedBy>
  <cp:lastPrinted>2007-01-29T14:28:00Z</cp:lastPrinted>
  <dcterms:modified xsi:type="dcterms:W3CDTF">2007-01-29T18:59:00Z</dcterms:modified>
  <cp:revision>2</cp:revision>
  <dc:subject/>
  <dc:title> </dc:title>
</cp:coreProperties>
</file>