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21</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Transition</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Normal"/>
        <w:rPr/>
      </w:pPr>
      <w:r>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"Überschrift 1;1" </w:instrText>
          </w:r>
          <w:r>
            <w:rPr>
              <w:rStyle w:val="IndexLink"/>
              <w:lang w:val="en-US" w:eastAsia="en-US"/>
            </w:rPr>
            <w:fldChar w:fldCharType="separate"/>
          </w:r>
          <w:hyperlink w:anchor="__RefHeading___Toc157780010">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80011">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Transition Approach and timing</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80012">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Resourcing of Transition</w:t>
              <w:tab/>
              <w:t>5</w:t>
            </w:r>
          </w:hyperlink>
        </w:p>
        <w:p>
          <w:pPr>
            <w:pStyle w:val="TOC1"/>
            <w:tabs>
              <w:tab w:val="clear" w:pos="720"/>
              <w:tab w:val="left" w:pos="440" w:leader="none"/>
              <w:tab w:val="right" w:pos="10506" w:leader="dot"/>
            </w:tabs>
            <w:rPr>
              <w:sz w:val="24"/>
              <w:szCs w:val="24"/>
              <w:lang w:val="de-CH" w:eastAsia="en-US"/>
            </w:rPr>
          </w:pPr>
          <w:hyperlink w:anchor="__RefHeading___Toc157780013">
            <w:r>
              <w:rPr>
                <w:rStyle w:val="IndexLink"/>
                <w:b w:val="false"/>
                <w:bCs w:val="false"/>
                <w:caps w:val="false"/>
                <w:smallCaps w:val="false"/>
                <w:lang w:val="en-US" w:eastAsia="en-US"/>
              </w:rPr>
              <w:t>4.</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Transition Phases and Activities</w:t>
              <w:tab/>
              <w:t>7</w:t>
            </w:r>
          </w:hyperlink>
          <w:r>
            <w:rPr>
              <w:rStyle w:val="IndexLink"/>
              <w:smallCaps w:val="false"/>
              <w:caps w:val="false"/>
              <w:b w:val="false"/>
              <w:bCs w:val="false"/>
              <w:lang w:val="en-US" w:eastAsia="en-US"/>
            </w:rPr>
            <w:fldChar w:fldCharType="end"/>
          </w:r>
        </w:p>
      </w:sdtContent>
    </w:sdt>
    <w:p>
      <w:pPr>
        <w:pStyle w:val="Normal"/>
        <w:tabs>
          <w:tab w:val="clear" w:pos="720"/>
          <w:tab w:val="left" w:pos="360" w:leader="none"/>
          <w:tab w:val="left" w:pos="425" w:leader="none"/>
        </w:tabs>
        <w:jc w:val="both"/>
        <w:rPr>
          <w:b/>
          <w:bCs/>
          <w:smallCaps/>
          <w:sz w:val="20"/>
          <w:szCs w:val="20"/>
          <w:lang w:val="de-CH" w:eastAsia="en-US"/>
        </w:rPr>
      </w:pPr>
      <w:r>
        <w:rPr>
          <w:b/>
          <w:bCs/>
          <w:smallCaps/>
          <w:sz w:val="20"/>
          <w:szCs w:val="20"/>
          <w:lang w:val="de-CH" w:eastAsia="en-US"/>
        </w:rPr>
      </w:r>
      <w:r>
        <w:br w:type="page"/>
      </w:r>
    </w:p>
    <w:p>
      <w:pPr>
        <w:pStyle w:val="Heading1"/>
        <w:numPr>
          <w:ilvl w:val="0"/>
          <w:numId w:val="17"/>
        </w:numPr>
        <w:ind w:hanging="0" w:start="0"/>
        <w:rPr/>
      </w:pPr>
      <w:bookmarkStart w:id="0" w:name="__RefHeading___Toc157780010"/>
      <w:bookmarkEnd w:id="0"/>
      <w:r>
        <w:rPr/>
        <w:t>Introduction</w:t>
      </w:r>
    </w:p>
    <w:p>
      <w:pPr>
        <w:pStyle w:val="Heading2"/>
        <w:numPr>
          <w:ilvl w:val="1"/>
          <w:numId w:val="17"/>
        </w:numPr>
        <w:rPr/>
      </w:pPr>
      <w:r>
        <w:rPr/>
        <w:t>General</w:t>
      </w:r>
    </w:p>
    <w:p>
      <w:pPr>
        <w:pStyle w:val="Heading3"/>
        <w:numPr>
          <w:ilvl w:val="2"/>
          <w:numId w:val="17"/>
        </w:numPr>
        <w:ind w:hanging="1134" w:start="1134"/>
        <w:rPr/>
      </w:pPr>
      <w:r>
        <w:rPr/>
        <w:t>The Service Provider’s responsibilities include:</w:t>
      </w:r>
    </w:p>
    <w:p>
      <w:pPr>
        <w:pStyle w:val="Heading3"/>
        <w:numPr>
          <w:ilvl w:val="2"/>
          <w:numId w:val="17"/>
        </w:numPr>
        <w:ind w:hanging="1134" w:start="1134"/>
        <w:rPr>
          <w:rFonts w:ascii="Arial" w:hAnsi="Arial" w:cs="Arial"/>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7"/>
        </w:numPr>
        <w:ind w:hanging="1134" w:start="1134"/>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Heading3"/>
        <w:numPr>
          <w:ilvl w:val="2"/>
          <w:numId w:val="17"/>
        </w:numPr>
        <w:ind w:hanging="1134" w:start="1134"/>
        <w:rPr/>
      </w:pPr>
      <w:r>
        <w:rPr/>
        <w:t xml:space="preserve">Any changes to the Services, tasks, obligations, responsibilities and timelines with regard to the transition timing beyond the flexible limits described in this Exhibit will be managed through the change control process described in </w:t>
      </w:r>
      <w:r>
        <w:rPr>
          <w:b/>
        </w:rPr>
        <w:t>Exhibit 20</w:t>
      </w:r>
      <w:r>
        <w:rPr/>
        <w:t>.</w:t>
      </w:r>
    </w:p>
    <w:p>
      <w:pPr>
        <w:pStyle w:val="Heading1"/>
        <w:numPr>
          <w:ilvl w:val="0"/>
          <w:numId w:val="17"/>
        </w:numPr>
        <w:ind w:hanging="0" w:start="0"/>
        <w:rPr/>
      </w:pPr>
      <w:bookmarkStart w:id="1" w:name="__RefHeading___Toc157780011"/>
      <w:bookmarkEnd w:id="1"/>
      <w:r>
        <w:rPr/>
        <w:t>Transition Approach and timing</w:t>
      </w:r>
    </w:p>
    <w:p>
      <w:pPr>
        <w:pStyle w:val="Heading2"/>
        <w:numPr>
          <w:ilvl w:val="1"/>
          <w:numId w:val="17"/>
        </w:numPr>
        <w:rPr/>
      </w:pPr>
      <w:r>
        <w:rPr/>
        <w:t>The Service Provider’s responsibilities include, but are not limited to:</w:t>
      </w:r>
    </w:p>
    <w:p>
      <w:pPr>
        <w:pStyle w:val="Heading2"/>
        <w:numPr>
          <w:ilvl w:val="1"/>
          <w:numId w:val="17"/>
        </w:numPr>
        <w:rPr/>
      </w:pPr>
      <w:r>
        <w:rPr/>
        <w:t>Approach the transition in the following waves:</w:t>
      </w:r>
    </w:p>
    <w:p>
      <w:pPr>
        <w:pStyle w:val="TableText"/>
        <w:rPr/>
      </w:pPr>
      <w:r>
        <w:rPr/>
        <w:drawing>
          <wp:inline distT="0" distB="0" distL="0" distR="0">
            <wp:extent cx="6669405" cy="6015355"/>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2"/>
                    <a:srcRect l="-2" t="-2" r="-2" b="-2"/>
                    <a:stretch>
                      <a:fillRect/>
                    </a:stretch>
                  </pic:blipFill>
                  <pic:spPr bwMode="auto">
                    <a:xfrm>
                      <a:off x="0" y="0"/>
                      <a:ext cx="6669405" cy="6015355"/>
                    </a:xfrm>
                    <a:prstGeom prst="rect">
                      <a:avLst/>
                    </a:prstGeom>
                    <a:noFill/>
                  </pic:spPr>
                </pic:pic>
              </a:graphicData>
            </a:graphic>
          </wp:inline>
        </w:drawing>
      </w:r>
    </w:p>
    <w:p>
      <w:pPr>
        <w:pStyle w:val="Normal"/>
        <w:rPr/>
      </w:pPr>
      <w:bookmarkStart w:id="2" w:name="_1231585801"/>
      <w:bookmarkStart w:id="3" w:name="_1231585733"/>
      <w:bookmarkStart w:id="4" w:name="_1231322050"/>
      <w:bookmarkStart w:id="5" w:name="_1231321947"/>
      <w:bookmarkEnd w:id="2"/>
      <w:bookmarkEnd w:id="3"/>
      <w:bookmarkEnd w:id="4"/>
      <w:bookmarkEnd w:id="5"/>
      <w:r>
        <w:rPr/>
        <w:object>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76.8pt;height:49.7pt" filled="f" o:ole="">
            <v:imagedata r:id="rId4" o:title=""/>
          </v:shape>
          <o:OLEObject Type="Embed" ProgID="Excel.Sheet.12" ShapeID="ole_rId3" DrawAspect="Icon" ObjectID="_1322840166" r:id="rId3"/>
        </w:object>
      </w:r>
    </w:p>
    <w:p>
      <w:pPr>
        <w:pStyle w:val="Normal"/>
        <w:rPr/>
      </w:pPr>
      <w:r>
        <w:rPr/>
      </w:r>
    </w:p>
    <w:p>
      <w:pPr>
        <w:pStyle w:val="Heading3"/>
        <w:numPr>
          <w:ilvl w:val="2"/>
          <w:numId w:val="17"/>
        </w:numPr>
        <w:ind w:hanging="1134" w:start="1134"/>
        <w:rPr/>
      </w:pPr>
      <w:r>
        <w:rPr/>
        <w:t>The approach to transition with regard to the allocation of the transitions of Germany, Italy, Spain and France to the migration waves will be fully flexible unless there are not more than 3 countries in one wave. GlobalPharma can review and reorder the migration order before 60 days prior to commencement of hiring without any impact on the transition charges.</w:t>
      </w:r>
    </w:p>
    <w:p>
      <w:pPr>
        <w:pStyle w:val="Heading3"/>
        <w:numPr>
          <w:ilvl w:val="2"/>
          <w:numId w:val="17"/>
        </w:numPr>
        <w:ind w:hanging="1134" w:start="1134"/>
        <w:rPr/>
      </w:pPr>
      <w:r>
        <w:rPr/>
        <w:t>A shift of transition of 60 calendar days before planned on-boarding date (start of the pre-on the job training) will have no cost impact other than inflation being applied for 2008 (if deferred to 2008) and the deployment of the transition program lead of the Service Provider beyond 2007 as an additional cost.</w:t>
      </w:r>
    </w:p>
    <w:p>
      <w:pPr>
        <w:pStyle w:val="Heading3"/>
        <w:numPr>
          <w:ilvl w:val="2"/>
          <w:numId w:val="17"/>
        </w:numPr>
        <w:ind w:hanging="1134" w:start="1134"/>
        <w:rPr/>
      </w:pPr>
      <w:r>
        <w:rPr/>
        <w:t>In case GlobalPharma will notify the Service Provider of transition time shifts in less than calendar 60 days GlobalPharma will have to bear the cost for already hired personnel. The Service Provider will mitigate this risk to the maximal possible commercial extent and deploy the already hired employees in other areas if possible on a permanent basis. This would then imply rehiring by the Service Provider for GlobalPharma.</w:t>
      </w:r>
    </w:p>
    <w:p>
      <w:pPr>
        <w:pStyle w:val="Heading3"/>
        <w:numPr>
          <w:ilvl w:val="2"/>
          <w:numId w:val="17"/>
        </w:numPr>
        <w:ind w:hanging="1134" w:start="1134"/>
        <w:rPr/>
      </w:pPr>
      <w:r>
        <w:rPr/>
        <w:t>The Service Provider will provide the same transition program leader in case GlobalPharma will defer one or more country transitions. Any deployment of the transition program lead of the Service Provider beyond 2007 will be charged at extra cost as defined under the Agreement. The program leader alignment to GlobalPharma and the commercial impact associated with a deferral beyond December 2007, for the transition will be managed through the change control process. If GlobalPharma agrees to pay for a prolongation of the transition director , that he as a key personnel would have to be made available for the remaining deferred wave.</w:t>
      </w:r>
    </w:p>
    <w:p>
      <w:pPr>
        <w:pStyle w:val="Heading1"/>
        <w:numPr>
          <w:ilvl w:val="0"/>
          <w:numId w:val="17"/>
        </w:numPr>
        <w:ind w:hanging="0" w:start="0"/>
        <w:rPr/>
      </w:pPr>
      <w:bookmarkStart w:id="6" w:name="__RefHeading___Toc157780012"/>
      <w:bookmarkEnd w:id="6"/>
      <w:r>
        <w:rPr/>
        <w:t>Resourcing of Transition</w:t>
      </w:r>
    </w:p>
    <w:p>
      <w:pPr>
        <w:pStyle w:val="Heading2"/>
        <w:numPr>
          <w:ilvl w:val="1"/>
          <w:numId w:val="17"/>
        </w:numPr>
        <w:ind w:hanging="1077" w:start="1077" w:end="0"/>
        <w:rPr/>
      </w:pPr>
      <w:r>
        <w:rPr/>
        <w:t>GlobalPharma will identify the following resource:</w:t>
      </w:r>
    </w:p>
    <w:p>
      <w:pPr>
        <w:pStyle w:val="TableText"/>
        <w:ind w:firstLine="720" w:start="414" w:end="0"/>
        <w:rPr/>
      </w:pPr>
      <w:r>
        <w:rPr/>
        <w:object w:dxaOrig="33869" w:dyaOrig="1617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600.1pt;height:265.85pt" filled="f" o:ole="">
            <v:imagedata r:id="rId6" o:title=""/>
          </v:shape>
          <o:OLEObject Type="Embed" ProgID="Excel.Sheet.12" ShapeID="ole_rId5" DrawAspect="Content" ObjectID="_1311151350" r:id="rId5"/>
        </w:object>
      </w:r>
    </w:p>
    <w:p>
      <w:pPr>
        <w:pStyle w:val="TableText"/>
        <w:ind w:firstLine="720" w:start="414" w:end="0"/>
        <w:rPr/>
      </w:pPr>
      <w:bookmarkStart w:id="7" w:name="_1231585896"/>
      <w:bookmarkStart w:id="8" w:name="_1231585748"/>
      <w:bookmarkStart w:id="9" w:name="_1231325654"/>
      <w:bookmarkStart w:id="10" w:name="_1230915239"/>
      <w:bookmarkEnd w:id="7"/>
      <w:bookmarkEnd w:id="8"/>
      <w:bookmarkEnd w:id="9"/>
      <w:bookmarkEnd w:id="10"/>
      <w:r>
        <w:rPr/>
        <w:object>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8pt;height:49.7pt" filled="f" o:ole="">
            <v:imagedata r:id="rId8" o:title=""/>
          </v:shape>
          <o:OLEObject Type="Embed" ProgID="Excel.Sheet.12" ShapeID="ole_rId7" DrawAspect="Icon" ObjectID="_1620521172" r:id="rId7"/>
        </w:object>
      </w:r>
    </w:p>
    <w:p>
      <w:pPr>
        <w:pStyle w:val="Heading2"/>
        <w:numPr>
          <w:ilvl w:val="1"/>
          <w:numId w:val="17"/>
        </w:numPr>
        <w:rPr/>
      </w:pPr>
      <w:r>
        <w:drawing>
          <wp:anchor behindDoc="0" distT="0" distB="0" distL="114935" distR="114935" simplePos="0" locked="0" layoutInCell="0" allowOverlap="1" relativeHeight="35">
            <wp:simplePos x="0" y="0"/>
            <wp:positionH relativeFrom="column">
              <wp:posOffset>0</wp:posOffset>
            </wp:positionH>
            <wp:positionV relativeFrom="paragraph">
              <wp:posOffset>476250</wp:posOffset>
            </wp:positionV>
            <wp:extent cx="8001000" cy="3294380"/>
            <wp:effectExtent l="0" t="0" r="0" b="0"/>
            <wp:wrapTopAndBottom/>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9"/>
                    <a:srcRect l="-2" t="-4" r="-2" b="-4"/>
                    <a:stretch>
                      <a:fillRect/>
                    </a:stretch>
                  </pic:blipFill>
                  <pic:spPr bwMode="auto">
                    <a:xfrm>
                      <a:off x="0" y="0"/>
                      <a:ext cx="8001000" cy="3294380"/>
                    </a:xfrm>
                    <a:prstGeom prst="rect">
                      <a:avLst/>
                    </a:prstGeom>
                    <a:noFill/>
                  </pic:spPr>
                </pic:pic>
              </a:graphicData>
            </a:graphic>
          </wp:anchor>
        </w:drawing>
      </w:r>
      <w:r>
        <w:rPr/>
        <w:t>The Service Provider’s responsibilities include, but are not limited to:</w:t>
      </w:r>
    </w:p>
    <w:p>
      <w:pPr>
        <w:pStyle w:val="Heading3"/>
        <w:numPr>
          <w:ilvl w:val="2"/>
          <w:numId w:val="17"/>
        </w:numPr>
        <w:ind w:hanging="1134" w:start="1134"/>
        <w:rPr/>
      </w:pPr>
      <w:r>
        <w:rPr/>
        <w:t>Service Provider will have its transition team ready for travel on agreed dates:</w:t>
      </w:r>
    </w:p>
    <w:p>
      <w:pPr>
        <w:pStyle w:val="TableText"/>
        <w:ind w:firstLine="720" w:start="360" w:end="0"/>
        <w:jc w:val="both"/>
        <w:rPr/>
      </w:pPr>
      <w:r>
        <w:rPr/>
      </w:r>
    </w:p>
    <w:p>
      <w:pPr>
        <w:pStyle w:val="TableText"/>
        <w:ind w:firstLine="720" w:start="360" w:end="0"/>
        <w:jc w:val="both"/>
        <w:rPr>
          <w:sz w:val="20"/>
          <w:lang w:val="en-US" w:eastAsia="en-US"/>
        </w:rPr>
      </w:pPr>
      <w:r>
        <w:rPr>
          <w:sz w:val="20"/>
          <w:lang w:val="en-US" w:eastAsia="en-US"/>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0pt;margin-top:0pt;width:76.4pt;height:49.5pt;mso-wrap-distance-left:9.05pt;mso-wrap-distance-right:9.05pt;mso-position-horizontal-relative:text;mso-position-vertical-relative:text" filled="f" o:ole="">
            <v:imagedata r:id="rId11" o:title=""/>
            <w10:wrap type="topAndBottom"/>
          </v:shape>
          <o:OLEObject Type="Embed" ProgID="Excel.Sheet.12" ShapeID="ole_rId10" DrawAspect="Icon" ObjectID="_640137027" r:id="rId10"/>
        </w:object>
      </w:r>
    </w:p>
    <w:p>
      <w:pPr>
        <w:pStyle w:val="Heading1"/>
        <w:numPr>
          <w:ilvl w:val="0"/>
          <w:numId w:val="17"/>
        </w:numPr>
        <w:ind w:hanging="0" w:start="0"/>
        <w:rPr/>
      </w:pPr>
      <w:bookmarkStart w:id="11" w:name="__RefHeading___Toc157780013"/>
      <w:bookmarkEnd w:id="11"/>
      <w:r>
        <w:rPr/>
        <w:t>Transition Phases and Activities</w:t>
      </w:r>
    </w:p>
    <w:p>
      <w:pPr>
        <w:pStyle w:val="Heading2"/>
        <w:numPr>
          <w:ilvl w:val="1"/>
          <w:numId w:val="17"/>
        </w:numPr>
        <w:rPr/>
      </w:pPr>
      <w:r>
        <w:rPr/>
        <w:t>The Service Provider’s responsibilities include, but are not limited to:</w:t>
      </w:r>
    </w:p>
    <w:p>
      <w:pPr>
        <w:pStyle w:val="Heading2"/>
        <w:numPr>
          <w:ilvl w:val="1"/>
          <w:numId w:val="17"/>
        </w:numPr>
        <w:rPr/>
      </w:pPr>
      <w:r>
        <w:rPr/>
        <w:t>At least at the midpoint of the transition process and in case of any significant delays described in the transition status reports more often as appropriate, the Service Provider will facilitate a work session (workshop) with appropriate participants from both Parties to determine progress in the transition, how far the transition is from being on-schedule, and what must happen to move ahead or get the transition within parameters.</w:t>
      </w:r>
    </w:p>
    <w:p>
      <w:pPr>
        <w:pStyle w:val="Heading2"/>
        <w:numPr>
          <w:ilvl w:val="1"/>
          <w:numId w:val="17"/>
        </w:numPr>
        <w:rPr/>
      </w:pPr>
      <w:r>
        <w:rPr/>
        <w:t>Perform solution identification and transition phases:</w:t>
      </w:r>
    </w:p>
    <w:p>
      <w:pPr>
        <w:pStyle w:val="TableText"/>
        <w:ind w:firstLine="720" w:start="360" w:end="0"/>
        <w:rPr/>
      </w:pPr>
      <w:r>
        <w:rPr/>
        <w:drawing>
          <wp:inline distT="0" distB="0" distL="0" distR="0">
            <wp:extent cx="5861685" cy="3520440"/>
            <wp:effectExtent l="0" t="0" r="0" b="0"/>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12"/>
                    <a:srcRect l="-4" t="-6" r="-4" b="-6"/>
                    <a:stretch>
                      <a:fillRect/>
                    </a:stretch>
                  </pic:blipFill>
                  <pic:spPr bwMode="auto">
                    <a:xfrm>
                      <a:off x="0" y="0"/>
                      <a:ext cx="5861685" cy="3520440"/>
                    </a:xfrm>
                    <a:prstGeom prst="rect">
                      <a:avLst/>
                    </a:prstGeom>
                    <a:noFill/>
                  </pic:spPr>
                </pic:pic>
              </a:graphicData>
            </a:graphic>
          </wp:inline>
        </w:drawing>
      </w:r>
    </w:p>
    <w:p>
      <w:pPr>
        <w:pStyle w:val="Heading2"/>
        <w:numPr>
          <w:ilvl w:val="1"/>
          <w:numId w:val="17"/>
        </w:numPr>
        <w:rPr/>
      </w:pPr>
      <w:r>
        <w:rPr/>
        <w:t>Solution Identification – Transition Tollgate 1</w:t>
      </w:r>
    </w:p>
    <w:p>
      <w:pPr>
        <w:pStyle w:val="Heading3"/>
        <w:numPr>
          <w:ilvl w:val="2"/>
          <w:numId w:val="17"/>
        </w:numPr>
        <w:ind w:hanging="1134" w:start="1134"/>
        <w:rPr/>
      </w:pPr>
      <w:r>
        <w:rPr/>
        <w:t>Indicate required detailed solution deliverables, information requirements and conversation requirements.</w:t>
      </w:r>
    </w:p>
    <w:p>
      <w:pPr>
        <w:pStyle w:val="Heading3"/>
        <w:numPr>
          <w:ilvl w:val="2"/>
          <w:numId w:val="17"/>
        </w:numPr>
        <w:ind w:hanging="1134" w:start="1134"/>
        <w:rPr>
          <w:rFonts w:ascii="Arial" w:hAnsi="Arial" w:cs="Arial"/>
          <w:szCs w:val="22"/>
        </w:rPr>
      </w:pPr>
      <w:r>
        <w:rPr/>
        <w:t>Create and present complete and agreed Tollgate 1 checklist reviews including GlobalPharma acceptance criteria both within the control of the Service Provider and of GlobalPharma.</w:t>
      </w:r>
    </w:p>
    <w:p>
      <w:pPr>
        <w:pStyle w:val="Heading3"/>
        <w:numPr>
          <w:ilvl w:val="2"/>
          <w:numId w:val="17"/>
        </w:numPr>
        <w:ind w:hanging="1134" w:start="1134"/>
        <w:rPr/>
      </w:pPr>
      <w:r>
        <w:rPr/>
        <w:t>Obtain existing documentation from GlobalPharma such as process documentation, reports and baseline data, organization charts, technology touch points, training manuals, standard operating procedures etc.</w:t>
      </w:r>
    </w:p>
    <w:p>
      <w:pPr>
        <w:pStyle w:val="Heading3"/>
        <w:numPr>
          <w:ilvl w:val="2"/>
          <w:numId w:val="17"/>
        </w:numPr>
        <w:ind w:hanging="1134" w:start="1134"/>
        <w:rPr/>
      </w:pPr>
      <w:r>
        <w:rPr/>
        <w:t>Review the processes in scope in detail and design the final adapted processes and sub processes including detailed workflow specifications with subject matter experts (covering the processes/areas in scope), transition leaders/managers for the process, technology experts and operation team members from Service Provider.</w:t>
      </w:r>
    </w:p>
    <w:p>
      <w:pPr>
        <w:pStyle w:val="Heading3"/>
        <w:numPr>
          <w:ilvl w:val="2"/>
          <w:numId w:val="17"/>
        </w:numPr>
        <w:ind w:hanging="1134" w:start="1134"/>
        <w:rPr/>
      </w:pPr>
      <w:r>
        <w:rPr/>
        <w:t>Create future process documentation and training manuals with the support of a designated process expert from GlobalPharma.</w:t>
      </w:r>
    </w:p>
    <w:p>
      <w:pPr>
        <w:pStyle w:val="Heading3"/>
        <w:numPr>
          <w:ilvl w:val="2"/>
          <w:numId w:val="17"/>
        </w:numPr>
        <w:ind w:hanging="1134" w:start="1134"/>
        <w:rPr/>
      </w:pPr>
      <w:r>
        <w:rPr/>
        <w:t>Validate the process metrics and establish the measurement for agreed service levels.</w:t>
      </w:r>
    </w:p>
    <w:p>
      <w:pPr>
        <w:pStyle w:val="Heading3"/>
        <w:numPr>
          <w:ilvl w:val="2"/>
          <w:numId w:val="17"/>
        </w:numPr>
        <w:ind w:hanging="1134" w:start="1134"/>
        <w:rPr/>
      </w:pPr>
      <w:r>
        <w:rPr/>
        <w:t>Revalidate FTEs in scope for off-shoring and for the retained organization.</w:t>
      </w:r>
    </w:p>
    <w:p>
      <w:pPr>
        <w:pStyle w:val="Heading3"/>
        <w:numPr>
          <w:ilvl w:val="2"/>
          <w:numId w:val="17"/>
        </w:numPr>
        <w:ind w:hanging="1134" w:start="1134"/>
        <w:rPr/>
      </w:pPr>
      <w:r>
        <w:rPr/>
        <w:t>Consider the following transition solution design principle in your detailed solution finding: Transition processes as-is to the extent possible. Any basic standardization/ harmonization efforts can be discussed and, if agreed by GlobalPharma, reengineered during transition. Such activities will only be approved if they are in alignment with the idea to minimize transition risks in terms of achieving stability quickly post transition.</w:t>
      </w:r>
    </w:p>
    <w:p>
      <w:pPr>
        <w:pStyle w:val="Heading3"/>
        <w:numPr>
          <w:ilvl w:val="2"/>
          <w:numId w:val="17"/>
        </w:numPr>
        <w:ind w:hanging="1134" w:start="1134"/>
        <w:rPr/>
      </w:pPr>
      <w:r>
        <w:rPr/>
        <w:t>Finalize IT specifications and implementation timelines.</w:t>
      </w:r>
    </w:p>
    <w:p>
      <w:pPr>
        <w:pStyle w:val="Heading3"/>
        <w:numPr>
          <w:ilvl w:val="2"/>
          <w:numId w:val="17"/>
        </w:numPr>
        <w:ind w:hanging="1134" w:start="1134"/>
        <w:rPr/>
      </w:pPr>
      <w:r>
        <w:rPr/>
        <w:t>Work with the finance manager of the respective CPO, the process owners as defined in Exhibit 6 and subject matter experts at GlobalPharma during the onsite solution identification to define and sign off on the retained organization. Plan the communication rhythm to be established with this organization and the set of activities the retained organization will manage. Identify the appropriate team (in terms of profile, experience etc.) for the retained organization and assess if any additional training needs to be provided.</w:t>
      </w:r>
      <w:r>
        <w:rPr>
          <w:lang w:bidi="en-US"/>
        </w:rPr>
      </w:r>
      <w:r>
        <w:rPr/>
      </w:r>
      <w:r>
        <w:rPr>
          <w:lang w:bidi="en-US"/>
        </w:rPr>
      </w:r>
      <w:r>
        <w:rPr/>
      </w:r>
      <w:r>
        <w:rPr>
          <w:lang w:bidi="en-US"/>
        </w:rPr>
      </w:r>
    </w:p>
    <w:p>
      <w:pPr>
        <w:pStyle w:val="Heading3"/>
        <w:numPr>
          <w:ilvl w:val="2"/>
          <w:numId w:val="17"/>
        </w:numPr>
        <w:ind w:hanging="1134" w:start="1134"/>
        <w:rPr/>
      </w:pPr>
      <w:r>
        <w:rPr/>
        <w:t>Create solution identification report per site including Service Provider’s confirmation of its understanding of the as-is GlobalPharma processes, high level adapted process design, the technology architecture design and the infrastructure setup, required skill levels and hiring timelines, high level risks and proposed mitigations, measurement of agreed critical service levels and key measures, business continuity planning, transition timelines and required GlobalPharma resources.</w:t>
      </w:r>
    </w:p>
    <w:p>
      <w:pPr>
        <w:pStyle w:val="Heading3"/>
        <w:numPr>
          <w:ilvl w:val="2"/>
          <w:numId w:val="17"/>
        </w:numPr>
        <w:ind w:hanging="1134" w:start="1134"/>
        <w:rPr/>
      </w:pPr>
      <w:r>
        <w:rPr/>
        <w:t>Obtain agreement with GlobalPharma and approval from GlobalPharma for the solution identification report</w:t>
      </w:r>
    </w:p>
    <w:p>
      <w:pPr>
        <w:pStyle w:val="Heading3"/>
        <w:numPr>
          <w:ilvl w:val="2"/>
          <w:numId w:val="17"/>
        </w:numPr>
        <w:ind w:hanging="1134" w:start="1134"/>
        <w:rPr/>
      </w:pPr>
      <w:r>
        <w:rPr/>
        <w:t>The Solution Identification Report (with all the above indicated deliverables) would be the basis for the transition deliverables and timelines. This would need to be signed off by both the Service Provider and GlobalPharma as this will form the first Tollgate in the Project.</w:t>
      </w:r>
    </w:p>
    <w:p>
      <w:pPr>
        <w:pStyle w:val="Heading3"/>
        <w:numPr>
          <w:ilvl w:val="2"/>
          <w:numId w:val="17"/>
        </w:numPr>
        <w:ind w:hanging="1134" w:start="1134"/>
        <w:rPr/>
      </w:pPr>
      <w:r>
        <w:rPr/>
        <w:t>Tollgate 1 is passed only when both the Service Provider and GlobalPharma have signed off on Tollgate 1 deliverables described above.</w:t>
      </w:r>
    </w:p>
    <w:p>
      <w:pPr>
        <w:pStyle w:val="Heading2"/>
        <w:numPr>
          <w:ilvl w:val="1"/>
          <w:numId w:val="17"/>
        </w:numPr>
        <w:rPr>
          <w:lang w:val="en-GB"/>
        </w:rPr>
      </w:pPr>
      <w:r>
        <w:rPr>
          <w:lang w:val="en-GB"/>
        </w:rPr>
        <w:t>Detailed Transition Planning – Transition Tollgate 2</w:t>
      </w:r>
    </w:p>
    <w:p>
      <w:pPr>
        <w:pStyle w:val="Heading3"/>
        <w:numPr>
          <w:ilvl w:val="2"/>
          <w:numId w:val="17"/>
        </w:numPr>
        <w:ind w:hanging="1134" w:start="1134"/>
        <w:rPr>
          <w:rFonts w:ascii="Arial" w:hAnsi="Arial" w:cs="Arial"/>
          <w:szCs w:val="22"/>
        </w:rPr>
      </w:pPr>
      <w:bookmarkStart w:id="12" w:name="_Approach"/>
      <w:bookmarkEnd w:id="12"/>
      <w:r>
        <w:rPr/>
        <w:t>Create and present complete and agreed Tollgate 2 checklist reviews including GlobalPharma acceptance criteria both within the control of the Service Provider and of GlobalPharma.</w:t>
      </w:r>
    </w:p>
    <w:p>
      <w:pPr>
        <w:pStyle w:val="Heading3"/>
        <w:numPr>
          <w:ilvl w:val="2"/>
          <w:numId w:val="17"/>
        </w:numPr>
        <w:ind w:hanging="1134" w:start="1134"/>
        <w:rPr>
          <w:lang w:val="en-GB"/>
        </w:rPr>
      </w:pPr>
      <w:r>
        <w:rPr/>
        <w:t>Create detailed Transition Plan.</w:t>
      </w:r>
    </w:p>
    <w:p>
      <w:pPr>
        <w:pStyle w:val="Heading3"/>
        <w:numPr>
          <w:ilvl w:val="2"/>
          <w:numId w:val="17"/>
        </w:numPr>
        <w:ind w:hanging="1134" w:start="1134"/>
        <w:rPr>
          <w:lang w:val="en-GB"/>
        </w:rPr>
      </w:pPr>
      <w:r>
        <w:rPr>
          <w:lang w:val="en-GB"/>
        </w:rPr>
        <w:t>Prepare for the training/knowledge transfer activities and infrastructure readiness. Obtain the required input from GlobalPharma project teams.</w:t>
      </w:r>
    </w:p>
    <w:p>
      <w:pPr>
        <w:pStyle w:val="Heading3"/>
        <w:numPr>
          <w:ilvl w:val="2"/>
          <w:numId w:val="17"/>
        </w:numPr>
        <w:ind w:hanging="1134" w:start="1134"/>
        <w:rPr/>
      </w:pPr>
      <w:r>
        <w:rPr>
          <w:lang w:val="en-GB"/>
        </w:rPr>
        <w:t>Develop detailed training plans per process along with GlobalPharma to ensure complete and appropriate transfer of knowledge.</w:t>
      </w:r>
      <w:r>
        <w:rPr/>
      </w:r>
    </w:p>
    <w:p>
      <w:pPr>
        <w:pStyle w:val="Heading3"/>
        <w:numPr>
          <w:ilvl w:val="2"/>
          <w:numId w:val="17"/>
        </w:numPr>
        <w:ind w:hanging="1134" w:start="1134"/>
        <w:rPr/>
      </w:pPr>
      <w:r>
        <w:rPr/>
        <w:t>Initiate conversations with respective process owners at GlobalPharma and finalize the detailed training plans at least 4 weeks before the Service Provider team (trainers/ associates/ managers) commences their training onsite at GlobalPharma. Detailed training plans at a day-by-day activity level (including knowledge transfer, assessments, feedback etc.) will be agreed and signed off by both Service Provider and GlobalPharma Transition teams.</w:t>
      </w:r>
    </w:p>
    <w:p>
      <w:pPr>
        <w:pStyle w:val="Heading3"/>
        <w:numPr>
          <w:ilvl w:val="2"/>
          <w:numId w:val="17"/>
        </w:numPr>
        <w:ind w:hanging="1134" w:start="1134"/>
        <w:rPr/>
      </w:pPr>
      <w:r>
        <w:rPr/>
        <w:t>Review with GlobalPharma during the onsite transition the set of activities the retained organization will manage. Identify any gaps in the retained organization with regard to their profile and assess if any additional training and/or coaching needs to be provided.</w:t>
      </w:r>
      <w:r>
        <w:rPr>
          <w:lang w:bidi="en-US"/>
        </w:rPr>
      </w:r>
      <w:r>
        <w:rPr/>
      </w:r>
      <w:r>
        <w:rPr>
          <w:lang w:bidi="en-US"/>
        </w:rPr>
      </w:r>
    </w:p>
    <w:p>
      <w:pPr>
        <w:pStyle w:val="Heading3"/>
        <w:numPr>
          <w:ilvl w:val="2"/>
          <w:numId w:val="17"/>
        </w:numPr>
        <w:ind w:hanging="1134" w:start="1134"/>
        <w:rPr/>
      </w:pPr>
      <w:r>
        <w:rPr/>
        <w:t>Discuss and agree with GlobalPharma on the communication needs (between Service Provider and GlobalPharma as well as between GlobalPharma and its network of vendors/customers/employees). Create plan for communications between Service Provider, GlobalPharma and its vendors, customers and employees.</w:t>
      </w:r>
    </w:p>
    <w:p>
      <w:pPr>
        <w:pStyle w:val="Heading3"/>
        <w:numPr>
          <w:ilvl w:val="2"/>
          <w:numId w:val="17"/>
        </w:numPr>
        <w:ind w:hanging="1134" w:start="1134"/>
        <w:rPr/>
      </w:pPr>
      <w:r>
        <w:rPr/>
        <w:t>Prepare a site readiness checklist to GlobalPharma requirements and ensure readiness of infrastructure (including technology deployment, seat availability, workflow tool development, telecom and hardware requirements) prior to the return of the onsite teams.</w:t>
      </w:r>
    </w:p>
    <w:p>
      <w:pPr>
        <w:pStyle w:val="Heading3"/>
        <w:numPr>
          <w:ilvl w:val="2"/>
          <w:numId w:val="17"/>
        </w:numPr>
        <w:ind w:hanging="1134" w:start="1134"/>
        <w:rPr>
          <w:rFonts w:ascii="Arial" w:hAnsi="Arial" w:cs="Arial"/>
          <w:sz w:val="18"/>
          <w:szCs w:val="22"/>
        </w:rPr>
      </w:pPr>
      <w:r>
        <w:rPr/>
        <w:t>Hire or internally redeploy Service Providers team members to build up transition and operational team according to agreed timelines and hiring plans.</w:t>
      </w:r>
    </w:p>
    <w:p>
      <w:pPr>
        <w:pStyle w:val="Heading3"/>
        <w:numPr>
          <w:ilvl w:val="2"/>
          <w:numId w:val="17"/>
        </w:numPr>
        <w:ind w:hanging="1134" w:start="1134"/>
        <w:rPr/>
      </w:pPr>
      <w:r>
        <w:rPr/>
        <w:t>Provide local backfill services to GlobalPharma if required and if sufficient lead time has been allowed for hiring, language availability, visa and training.</w:t>
      </w:r>
    </w:p>
    <w:p>
      <w:pPr>
        <w:pStyle w:val="Heading3"/>
        <w:numPr>
          <w:ilvl w:val="2"/>
          <w:numId w:val="17"/>
        </w:numPr>
        <w:ind w:hanging="1134" w:start="1134"/>
        <w:rPr/>
      </w:pPr>
      <w:r>
        <w:rPr/>
        <w:t>Have operational team available onsite at GlobalPharma for the knowledge transfer which is planned to be one-by-one work shadowing (the entire team travels onsite to GlobalPharma to get trained on the process – through on-the-job training) at GlobalPharma site except for AP services for the UK, US and Zurich, for which the train the trainer concept will be applied.</w:t>
      </w:r>
    </w:p>
    <w:p>
      <w:pPr>
        <w:pStyle w:val="Heading3"/>
        <w:numPr>
          <w:ilvl w:val="2"/>
          <w:numId w:val="17"/>
        </w:numPr>
        <w:ind w:hanging="1134" w:start="1134"/>
        <w:rPr/>
      </w:pPr>
      <w:r>
        <w:rPr/>
        <w:t>Conduct pre-training to the selected Service Provider knowledge transfer team members (including new hire orientation, Service Provider ways of working, contextual and cultural knowledge specific to GlobalPharma industry and the markets from where the processes are being transitioned, technical training (finance, pharma &amp; healthcare industry basics, etc.), controllership and compliance training, basic Six-Sigma training, an overview on GlobalPharma with its products and systems and, finally, an overview of the processes to be transitioned. Obtain new hire orientation materials and any other modules which are available or could be created for the pre-training from GlobalPharma.</w:t>
      </w:r>
    </w:p>
    <w:p>
      <w:pPr>
        <w:pStyle w:val="Heading3"/>
        <w:numPr>
          <w:ilvl w:val="2"/>
          <w:numId w:val="17"/>
        </w:numPr>
        <w:ind w:hanging="1134" w:start="1134"/>
        <w:rPr/>
      </w:pPr>
      <w:r>
        <w:rPr/>
        <w:t>Prepare, agree with GlobalPharma and finalize onsite schedules agendas with the final list of FTEs for the onsite knowledge transfer and training. Agree with GlobalPharma to the knowledge transfer review mechanism (assessment, scoring and certification).</w:t>
      </w:r>
    </w:p>
    <w:p>
      <w:pPr>
        <w:pStyle w:val="Heading3"/>
        <w:numPr>
          <w:ilvl w:val="2"/>
          <w:numId w:val="17"/>
        </w:numPr>
        <w:ind w:hanging="1134" w:start="1134"/>
        <w:rPr/>
      </w:pPr>
      <w:r>
        <w:rPr/>
        <w:t>Support GlobalPharma HR in the definition of program management and training needs for the retained organisation and other finance customers within GlobalPharma during the transition.</w:t>
      </w:r>
    </w:p>
    <w:p>
      <w:pPr>
        <w:pStyle w:val="Heading3"/>
        <w:numPr>
          <w:ilvl w:val="2"/>
          <w:numId w:val="17"/>
        </w:numPr>
        <w:ind w:hanging="1134" w:start="1134"/>
        <w:rPr/>
      </w:pPr>
      <w:r>
        <w:rPr/>
        <w:t>Provide your expertise to the creation of training road maps (competency road maps) and the creation of training materials for each of the employees identified by GlobalPharma - related to Service Provider’s services in scope.</w:t>
      </w:r>
    </w:p>
    <w:p>
      <w:pPr>
        <w:pStyle w:val="Heading3"/>
        <w:numPr>
          <w:ilvl w:val="2"/>
          <w:numId w:val="17"/>
        </w:numPr>
        <w:ind w:hanging="1134" w:start="1134"/>
        <w:rPr>
          <w:rFonts w:ascii="Arial" w:hAnsi="Arial" w:cs="Arial"/>
          <w:sz w:val="18"/>
          <w:szCs w:val="22"/>
        </w:rPr>
      </w:pPr>
      <w:r>
        <w:rPr/>
        <w:t>Facilitate the preparation and creation of necessary system IDs and organization of access for training, seating, classroom trainings (systems, products and processes), job shadow schedules, system access, phone access on GlobalPharma site with support of GlobalPharma.</w:t>
      </w:r>
    </w:p>
    <w:p>
      <w:pPr>
        <w:pStyle w:val="Heading3"/>
        <w:numPr>
          <w:ilvl w:val="2"/>
          <w:numId w:val="17"/>
        </w:numPr>
        <w:ind w:hanging="1134" w:start="1134"/>
        <w:rPr/>
      </w:pPr>
      <w:r>
        <w:rPr/>
        <w:t>Ensure that the knowledge will be captured as part of the Standard Operating Procedures (SOPs).</w:t>
      </w:r>
    </w:p>
    <w:p>
      <w:pPr>
        <w:pStyle w:val="Heading3"/>
        <w:numPr>
          <w:ilvl w:val="2"/>
          <w:numId w:val="17"/>
        </w:numPr>
        <w:ind w:hanging="1134" w:start="1134"/>
        <w:rPr/>
      </w:pPr>
      <w:r>
        <w:rPr/>
        <w:t>Capture forma feedback on agent performance on training, review and mentoring during knowledge transfer from GlobalPharma.</w:t>
      </w:r>
    </w:p>
    <w:p>
      <w:pPr>
        <w:pStyle w:val="Heading3"/>
        <w:numPr>
          <w:ilvl w:val="2"/>
          <w:numId w:val="17"/>
        </w:numPr>
        <w:ind w:hanging="1134" w:start="1134"/>
        <w:rPr/>
      </w:pPr>
      <w:r>
        <w:rPr/>
        <w:t>Ensure that the respective GlobalPharma subject matter expert and process owner as defined in Exhibit 6of GlobalPharma has reviewed and signed off SOPs. Tollgate 2 is passed only when both the Service Provider and GlobalPharma have signed off on Tollgate 2 deliverables described above.</w:t>
      </w:r>
      <w:r>
        <w:rPr>
          <w:b/>
        </w:rPr>
      </w:r>
      <w:r>
        <w:rPr/>
      </w:r>
    </w:p>
    <w:p>
      <w:pPr>
        <w:pStyle w:val="Heading2"/>
        <w:numPr>
          <w:ilvl w:val="1"/>
          <w:numId w:val="17"/>
        </w:numPr>
        <w:rPr>
          <w:lang w:val="en-GB"/>
        </w:rPr>
      </w:pPr>
      <w:r>
        <w:rPr>
          <w:lang w:val="en-GB"/>
        </w:rPr>
        <w:t>Completion of Knowledge Transfer / Movement into Pilot – Transition Tollgate 3</w:t>
      </w:r>
    </w:p>
    <w:p>
      <w:pPr>
        <w:pStyle w:val="Heading3"/>
        <w:numPr>
          <w:ilvl w:val="2"/>
          <w:numId w:val="17"/>
        </w:numPr>
        <w:ind w:hanging="1134" w:start="1134"/>
        <w:rPr>
          <w:rFonts w:ascii="Arial" w:hAnsi="Arial" w:cs="Arial"/>
          <w:szCs w:val="22"/>
        </w:rPr>
      </w:pPr>
      <w:r>
        <w:rPr/>
        <w:t>Create and present complete and agreed Tollgate 3 checklist reviews including GlobalPharma acceptance criteria both within the control of the Service Provider and of GlobalPharma.</w:t>
      </w:r>
    </w:p>
    <w:p>
      <w:pPr>
        <w:pStyle w:val="Heading3"/>
        <w:numPr>
          <w:ilvl w:val="2"/>
          <w:numId w:val="17"/>
        </w:numPr>
        <w:ind w:hanging="1134" w:start="1134"/>
        <w:rPr/>
      </w:pPr>
      <w:r>
        <w:rPr/>
        <w:t>Perform knowledge transfer per agreed and approved plan.</w:t>
      </w:r>
    </w:p>
    <w:p>
      <w:pPr>
        <w:pStyle w:val="Heading3"/>
        <w:numPr>
          <w:ilvl w:val="2"/>
          <w:numId w:val="17"/>
        </w:numPr>
        <w:ind w:hanging="1134" w:start="1134"/>
        <w:rPr/>
      </w:pPr>
      <w:r>
        <w:rPr/>
        <w:t>Track the progress of training, creation if required, review and sign off of standard operating procedures, identification of risks and mitigation proposed for each of the processes.</w:t>
      </w:r>
    </w:p>
    <w:p>
      <w:pPr>
        <w:pStyle w:val="Heading3"/>
        <w:numPr>
          <w:ilvl w:val="2"/>
          <w:numId w:val="17"/>
        </w:numPr>
        <w:ind w:hanging="1134" w:start="1134"/>
        <w:rPr/>
      </w:pPr>
      <w:r>
        <w:rPr/>
        <w:t>Conduct onsite classroom trainings with support from GlobalPharma Process Experts.</w:t>
      </w:r>
    </w:p>
    <w:p>
      <w:pPr>
        <w:pStyle w:val="Heading3"/>
        <w:numPr>
          <w:ilvl w:val="2"/>
          <w:numId w:val="17"/>
        </w:numPr>
        <w:ind w:hanging="1134" w:start="1134"/>
        <w:rPr/>
      </w:pPr>
      <w:r>
        <w:rPr/>
        <w:t>Perform “work shadowing” of the Service Providers trainees with the GlobalPharma Operations Team as per the mutually agreed training plan and schedule.</w:t>
      </w:r>
    </w:p>
    <w:p>
      <w:pPr>
        <w:pStyle w:val="Heading3"/>
        <w:numPr>
          <w:ilvl w:val="2"/>
          <w:numId w:val="17"/>
        </w:numPr>
        <w:ind w:hanging="1134" w:start="1134"/>
        <w:rPr/>
      </w:pPr>
      <w:r>
        <w:rPr/>
        <w:t>Ensure knowledge capture and adherence to agreed training methodologies.</w:t>
      </w:r>
    </w:p>
    <w:p>
      <w:pPr>
        <w:pStyle w:val="Heading3"/>
        <w:numPr>
          <w:ilvl w:val="2"/>
          <w:numId w:val="17"/>
        </w:numPr>
        <w:ind w:hanging="1134" w:start="1134"/>
        <w:rPr/>
      </w:pPr>
      <w:r>
        <w:rPr/>
        <w:t>Assuming the full knowledge transfer commitment of GlobalPharma, the Service Provider is responsible to receive sufficient knowledge and capture the activities which are part of the closing, even if the knowledge transfer takes place at the quarter closing period and GlobalPharma’s operational team may be impacted by additional work load. The Service Provider ensures that there is minimal disruption to GlobalPharma staff during quarter end.</w:t>
      </w:r>
    </w:p>
    <w:p>
      <w:pPr>
        <w:pStyle w:val="Heading3"/>
        <w:numPr>
          <w:ilvl w:val="2"/>
          <w:numId w:val="17"/>
        </w:numPr>
        <w:ind w:hanging="1134" w:start="1134"/>
        <w:rPr/>
      </w:pPr>
      <w:r>
        <w:rPr/>
        <w:t>Certify Service Provider Full Time Equivalents (FTEs) based on the completion of a structured learning paths and assessment criteria at the end of the training period. Any given Service Provider associate will be able to perform the process activities under supervision of his GlobalPharma counterpart by the end of the knowledge transfer phase.</w:t>
      </w:r>
    </w:p>
    <w:p>
      <w:pPr>
        <w:pStyle w:val="Heading3"/>
        <w:numPr>
          <w:ilvl w:val="2"/>
          <w:numId w:val="17"/>
        </w:numPr>
        <w:ind w:hanging="1134" w:start="1134"/>
        <w:rPr/>
      </w:pPr>
      <w:r>
        <w:rPr/>
        <w:t>Develop similar structured learning plans for ramp up training, new hires, and refresher-training programs. Ramp-up training is conducted in India and Romania for those team members who did not visit GlobalPharma locations. Articulate clearly in these plans what is to be learnt in the day and the organizational expectations in terms of proficiency gained including dates, duration, methodology, and deliverables for on the job training.</w:t>
      </w:r>
    </w:p>
    <w:p>
      <w:pPr>
        <w:pStyle w:val="Heading3"/>
        <w:numPr>
          <w:ilvl w:val="2"/>
          <w:numId w:val="17"/>
        </w:numPr>
        <w:ind w:hanging="1134" w:start="1134"/>
        <w:rPr/>
      </w:pPr>
      <w:r>
        <w:rPr/>
        <w:t>Conduct ramp-up training in India and Romania for those team members who did not visit GlobalPharma locations.</w:t>
      </w:r>
    </w:p>
    <w:p>
      <w:pPr>
        <w:pStyle w:val="Heading3"/>
        <w:numPr>
          <w:ilvl w:val="2"/>
          <w:numId w:val="17"/>
        </w:numPr>
        <w:ind w:hanging="1134" w:start="1134"/>
        <w:rPr/>
      </w:pPr>
      <w:r>
        <w:rPr/>
        <w:t>GlobalPharma process owners and certified Service Provider’s trainers assess the ramp up team members on the same parameters than the knowledge transfer team and scores are published on a regular basis.</w:t>
      </w:r>
    </w:p>
    <w:p>
      <w:pPr>
        <w:pStyle w:val="Heading3"/>
        <w:numPr>
          <w:ilvl w:val="2"/>
          <w:numId w:val="17"/>
        </w:numPr>
        <w:ind w:hanging="1134" w:start="1134"/>
        <w:rPr/>
      </w:pPr>
      <w:r>
        <w:rPr/>
        <w:t>Create detailed standard operating procedures, which capture the ways of working of a process to (a) develop a comprehensive learning and referencing tool, (b) capture comprehensive and detailed procedures related to every activity performed in the process. Obtain validation and sign off by GlobalPharma process experts.</w:t>
      </w:r>
    </w:p>
    <w:p>
      <w:pPr>
        <w:pStyle w:val="Heading3"/>
        <w:numPr>
          <w:ilvl w:val="2"/>
          <w:numId w:val="17"/>
        </w:numPr>
        <w:ind w:hanging="1134" w:start="1134"/>
        <w:rPr/>
      </w:pPr>
      <w:r>
        <w:rPr/>
        <w:t>Make standard operating procedures available on a centralized repository for GlobalPharma.</w:t>
      </w:r>
    </w:p>
    <w:p>
      <w:pPr>
        <w:pStyle w:val="Heading3"/>
        <w:numPr>
          <w:ilvl w:val="2"/>
          <w:numId w:val="17"/>
        </w:numPr>
        <w:ind w:hanging="1134" w:start="1134"/>
        <w:rPr/>
      </w:pPr>
      <w:r>
        <w:rPr/>
        <w:t>Make service-based learning paths linked to skill profiles available as a comprehensive repository, including digitization tools and productivity or quality projects done on current processes and process maps of as-is and to-be processes.</w:t>
      </w:r>
    </w:p>
    <w:p>
      <w:pPr>
        <w:pStyle w:val="Heading3"/>
        <w:numPr>
          <w:ilvl w:val="2"/>
          <w:numId w:val="17"/>
        </w:numPr>
        <w:ind w:hanging="1134" w:start="1134"/>
        <w:rPr/>
      </w:pPr>
      <w:r>
        <w:rPr/>
        <w:t>Finalize the ramp up plan for the pilot including criteria for back out and exit plan. Assess and mutually agree with GlobalPharma on a logical pilot plan learning curve - for each process. Decide jointly with GlobalPharma on the back out and exit plan (Service Provider Global Operating Leader and GlobalPharma Operations Leader). GlobalPharma Process experts and Service Provider’s operations team will jointly agree on the metrics and targets for measuring the results of the pilot.  The decision to move to production will be taken based on the results of the pilot.</w:t>
      </w:r>
    </w:p>
    <w:p>
      <w:pPr>
        <w:pStyle w:val="Heading3"/>
        <w:numPr>
          <w:ilvl w:val="2"/>
          <w:numId w:val="17"/>
        </w:numPr>
        <w:ind w:hanging="1134" w:start="1134"/>
        <w:rPr/>
      </w:pPr>
      <w:r>
        <w:rPr/>
        <w:t>Carry out user acceptance tests and end to end confidence tests to test the adapted solution before the team proceeds to the next stages of transition which are the pilot and then the service delivery.</w:t>
      </w:r>
    </w:p>
    <w:p>
      <w:pPr>
        <w:pStyle w:val="Heading3"/>
        <w:numPr>
          <w:ilvl w:val="2"/>
          <w:numId w:val="17"/>
        </w:numPr>
        <w:ind w:hanging="1134" w:start="1134"/>
        <w:rPr/>
      </w:pPr>
      <w:r>
        <w:rPr/>
        <w:t>Revisit proposed and agreed business continuity plan (BCP) during contract sign off to include key activities that need to be performed when the business continuity plan is invoked. As the process will not be operating at 100%, agree stepped down service levels with GlobalPharma for activities that will be performed when BCP is invoked. BCP testing will be conducted at the secondary site to ensure connectivity to all systems that are required to perform this process.</w:t>
      </w:r>
    </w:p>
    <w:p>
      <w:pPr>
        <w:pStyle w:val="Heading3"/>
        <w:numPr>
          <w:ilvl w:val="2"/>
          <w:numId w:val="17"/>
        </w:numPr>
        <w:ind w:hanging="1134" w:start="1134"/>
        <w:rPr/>
      </w:pPr>
      <w:r>
        <w:rPr/>
        <w:t>Provide inputs to GlobalPharma for site readiness requirements, risks and mitigations overall and at process level.</w:t>
      </w:r>
    </w:p>
    <w:p>
      <w:pPr>
        <w:pStyle w:val="Heading3"/>
        <w:numPr>
          <w:ilvl w:val="2"/>
          <w:numId w:val="17"/>
        </w:numPr>
        <w:ind w:hanging="1134" w:start="1134"/>
        <w:rPr/>
      </w:pPr>
      <w:r>
        <w:rPr/>
        <w:t>Populate pilot site readiness checklists and ensure readiness as per plan.</w:t>
      </w:r>
    </w:p>
    <w:p>
      <w:pPr>
        <w:pStyle w:val="Heading3"/>
        <w:numPr>
          <w:ilvl w:val="2"/>
          <w:numId w:val="17"/>
        </w:numPr>
        <w:ind w:hanging="1134" w:start="1134"/>
        <w:rPr/>
      </w:pPr>
      <w:r>
        <w:rPr/>
        <w:t>Ensure Service Provider readiness for pilot. Ensure that the Service Provider team is trained and certified as per agreed procedure. Ensure that SOPs are signed off by GlobalPharma subject matter experts. Ensure that the pilot milestones and monitoring plan are agreed with GlobalPharma team.</w:t>
      </w:r>
    </w:p>
    <w:p>
      <w:pPr>
        <w:pStyle w:val="Heading3"/>
        <w:numPr>
          <w:ilvl w:val="2"/>
          <w:numId w:val="17"/>
        </w:numPr>
        <w:ind w:hanging="1134" w:start="1134"/>
        <w:rPr/>
      </w:pPr>
      <w:r>
        <w:rPr/>
        <w:t>Ensure with support from GlobalPharma that the site and GlobalPharma’s team are ready for the pilot and that GlobalPharma subject matter experts are available initially at Service Providers delivery center - definitively for the high contextual processes.</w:t>
      </w:r>
    </w:p>
    <w:p>
      <w:pPr>
        <w:pStyle w:val="Heading3"/>
        <w:numPr>
          <w:ilvl w:val="2"/>
          <w:numId w:val="17"/>
        </w:numPr>
        <w:ind w:hanging="1134" w:start="1134"/>
        <w:rPr/>
      </w:pPr>
      <w:r>
        <w:rPr/>
        <w:t>Agree site readiness with GlobalPharma. Tollgate 3 is passed only when both the Service Provider and GlobalPharma have signed off on Tollgate 3 deliverables described above.</w:t>
      </w:r>
      <w:r>
        <w:rPr>
          <w:b/>
          <w:i/>
          <w:color w:val="0000FF"/>
        </w:rPr>
      </w:r>
      <w:r>
        <w:rPr/>
      </w:r>
    </w:p>
    <w:p>
      <w:pPr>
        <w:pStyle w:val="Heading2"/>
        <w:numPr>
          <w:ilvl w:val="1"/>
          <w:numId w:val="17"/>
        </w:numPr>
        <w:rPr>
          <w:lang w:val="en-GB"/>
        </w:rPr>
      </w:pPr>
      <w:r>
        <w:rPr>
          <w:lang w:val="en-GB"/>
        </w:rPr>
        <w:t>Completion of Pilot / Movement into Production – Transition Tollgate 4</w:t>
      </w:r>
    </w:p>
    <w:p>
      <w:pPr>
        <w:pStyle w:val="Heading3"/>
        <w:numPr>
          <w:ilvl w:val="2"/>
          <w:numId w:val="17"/>
        </w:numPr>
        <w:ind w:hanging="1134" w:start="1134"/>
        <w:rPr>
          <w:rFonts w:ascii="Arial" w:hAnsi="Arial" w:cs="Arial"/>
          <w:szCs w:val="22"/>
        </w:rPr>
      </w:pPr>
      <w:r>
        <w:rPr/>
        <w:t>Create and present complete and agreed Tollgate 4 checklist reviews including GlobalPharma acceptance criteria both within the control of the Service Provider and of GlobalPharma.</w:t>
      </w:r>
    </w:p>
    <w:p>
      <w:pPr>
        <w:pStyle w:val="Heading3"/>
        <w:numPr>
          <w:ilvl w:val="2"/>
          <w:numId w:val="17"/>
        </w:numPr>
        <w:ind w:hanging="1134" w:start="1134"/>
        <w:rPr/>
      </w:pPr>
      <w:r>
        <w:rPr/>
        <w:t>Replicate the production environment, measure and evaluate key process metrics to assess the result of the pilot.</w:t>
      </w:r>
    </w:p>
    <w:p>
      <w:pPr>
        <w:pStyle w:val="Heading3"/>
        <w:numPr>
          <w:ilvl w:val="2"/>
          <w:numId w:val="17"/>
        </w:numPr>
        <w:ind w:hanging="1134" w:start="1134"/>
        <w:rPr/>
      </w:pPr>
      <w:r>
        <w:rPr/>
        <w:t>Start live transactions in a controlled environment.</w:t>
      </w:r>
    </w:p>
    <w:p>
      <w:pPr>
        <w:pStyle w:val="Heading3"/>
        <w:numPr>
          <w:ilvl w:val="2"/>
          <w:numId w:val="17"/>
        </w:numPr>
        <w:ind w:hanging="1134" w:start="1134"/>
        <w:rPr/>
      </w:pPr>
      <w:r>
        <w:rPr/>
        <w:t>Ensure there is rigor in capturing the process exceptions, dissemination to the team and update of SOPs and sign off by GlobalPharma.</w:t>
      </w:r>
    </w:p>
    <w:p>
      <w:pPr>
        <w:pStyle w:val="Heading3"/>
        <w:numPr>
          <w:ilvl w:val="2"/>
          <w:numId w:val="17"/>
        </w:numPr>
        <w:ind w:hanging="1134" w:start="1134"/>
        <w:rPr/>
      </w:pPr>
      <w:r>
        <w:rPr/>
        <w:t>Obtain continuous feedback from GlobalPharma on the performance.</w:t>
      </w:r>
    </w:p>
    <w:p>
      <w:pPr>
        <w:pStyle w:val="Heading3"/>
        <w:numPr>
          <w:ilvl w:val="2"/>
          <w:numId w:val="17"/>
        </w:numPr>
        <w:ind w:hanging="1134" w:start="1134"/>
        <w:rPr>
          <w:rFonts w:ascii="Arial" w:hAnsi="Arial" w:cs="Arial"/>
          <w:szCs w:val="22"/>
        </w:rPr>
      </w:pPr>
      <w:r>
        <w:rPr/>
        <w:t>Ensure any exceptions encountered are woven back to the SOPs - duly signed off by GlobalPharma.</w:t>
      </w:r>
    </w:p>
    <w:p>
      <w:pPr>
        <w:pStyle w:val="Heading3"/>
        <w:numPr>
          <w:ilvl w:val="2"/>
          <w:numId w:val="17"/>
        </w:numPr>
        <w:ind w:hanging="1134" w:start="1134"/>
        <w:rPr/>
      </w:pPr>
      <w:r>
        <w:rPr/>
        <w:t>Review pilot metrics as per monitoring plan.</w:t>
      </w:r>
    </w:p>
    <w:p>
      <w:pPr>
        <w:pStyle w:val="Heading3"/>
        <w:numPr>
          <w:ilvl w:val="2"/>
          <w:numId w:val="17"/>
        </w:numPr>
        <w:ind w:hanging="1134" w:start="1134"/>
        <w:rPr>
          <w:rFonts w:ascii="Arial" w:hAnsi="Arial" w:cs="Arial"/>
          <w:szCs w:val="22"/>
        </w:rPr>
      </w:pPr>
      <w:r>
        <w:rPr/>
        <w:t>Update “Failure Modes &amp; Effects Analysis” (Service Provider specific six-sigma methodology to mitigate the risk of process failures) and SOPs.</w:t>
      </w:r>
    </w:p>
    <w:p>
      <w:pPr>
        <w:pStyle w:val="Heading3"/>
        <w:numPr>
          <w:ilvl w:val="2"/>
          <w:numId w:val="17"/>
        </w:numPr>
        <w:ind w:hanging="1134" w:start="1134"/>
        <w:rPr/>
      </w:pPr>
      <w:r>
        <w:rPr/>
        <w:t>Execute communications plan.</w:t>
      </w:r>
    </w:p>
    <w:p>
      <w:pPr>
        <w:pStyle w:val="Heading3"/>
        <w:numPr>
          <w:ilvl w:val="2"/>
          <w:numId w:val="17"/>
        </w:numPr>
        <w:ind w:hanging="1134" w:start="1134"/>
        <w:rPr/>
      </w:pPr>
      <w:r>
        <w:rPr/>
        <w:t>Report results of pilot performance on a regular basis, as per agreed communication plan.</w:t>
      </w:r>
    </w:p>
    <w:p>
      <w:pPr>
        <w:pStyle w:val="Heading3"/>
        <w:numPr>
          <w:ilvl w:val="2"/>
          <w:numId w:val="17"/>
        </w:numPr>
        <w:ind w:hanging="1134" w:start="1134"/>
        <w:rPr>
          <w:rFonts w:ascii="Arial" w:hAnsi="Arial" w:cs="Arial"/>
          <w:szCs w:val="22"/>
        </w:rPr>
      </w:pPr>
      <w:r>
        <w:rPr/>
        <w:t>Conduct daily update and review meetings between the Service Provider and GlobalPharma during the pilot – still allowing for ad hoc interactions throughout the day based on process exceptions, IT issues, etc.</w:t>
      </w:r>
    </w:p>
    <w:p>
      <w:pPr>
        <w:pStyle w:val="Heading3"/>
        <w:numPr>
          <w:ilvl w:val="2"/>
          <w:numId w:val="17"/>
        </w:numPr>
        <w:ind w:hanging="1134" w:start="1134"/>
        <w:rPr/>
      </w:pPr>
      <w:r>
        <w:rPr>
          <w:i/>
        </w:rPr>
        <w:t>Capture formal feedback from GlobalPharma immediately when the process is moving into production. Collate and analyze feedback and take corrective actions (if necessary).</w:t>
      </w:r>
      <w:r>
        <w:rPr/>
      </w:r>
    </w:p>
    <w:p>
      <w:pPr>
        <w:pStyle w:val="Heading3"/>
        <w:numPr>
          <w:ilvl w:val="2"/>
          <w:numId w:val="17"/>
        </w:numPr>
        <w:ind w:hanging="1134" w:start="1134"/>
        <w:rPr/>
      </w:pPr>
      <w:r>
        <w:rPr/>
        <w:t>Assign one Six-Sigma black belt to GlobalPharma post transition of wave 1, who will subsequently support the following transitions &amp; service delivery.</w:t>
      </w:r>
    </w:p>
    <w:p>
      <w:pPr>
        <w:pStyle w:val="Heading3"/>
        <w:numPr>
          <w:ilvl w:val="2"/>
          <w:numId w:val="17"/>
        </w:numPr>
        <w:spacing w:before="240" w:after="240"/>
        <w:ind w:hanging="1134" w:start="1134"/>
        <w:rPr/>
      </w:pPr>
      <w:r>
        <w:rPr/>
        <w:t>Obtain sign off from GlobalPharma for move to production based on the evaluation of the agreed pilot success criteria by stakeholders in GlobalPharma and the Service Provider. Tollgate 4 is passed only when both the Service Provider and GlobalPharma have signed off on Tollgate 4 deliverables described above.</w:t>
      </w:r>
    </w:p>
    <w:sectPr>
      <w:headerReference w:type="default" r:id="rId13"/>
      <w:footerReference w:type="default" r:id="rId14"/>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14</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34">
          <wp:simplePos x="0" y="0"/>
          <wp:positionH relativeFrom="column">
            <wp:posOffset>7886700</wp:posOffset>
          </wp:positionH>
          <wp:positionV relativeFrom="paragraph">
            <wp:posOffset>45720</wp:posOffset>
          </wp:positionV>
          <wp:extent cx="1028700" cy="385445"/>
          <wp:effectExtent l="0" t="0" r="0" b="0"/>
          <wp:wrapNone/>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ind w:hanging="1134" w:start="1134" w:end="0"/>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Wingdings" w:hAnsi="Wingdings" w:cs="Wingdings"/>
      <w:spacing w:val="0"/>
    </w:rPr>
  </w:style>
  <w:style w:type="character" w:styleId="WW8Num7z1">
    <w:name w:val="WW8Num7z1"/>
    <w:qFormat/>
    <w:rPr>
      <w:rFonts w:ascii="Courier New" w:hAnsi="Courier New" w:cs="Courier New"/>
      <w:spacing w:val="0"/>
    </w:rPr>
  </w:style>
  <w:style w:type="character" w:styleId="WW8Num7z3">
    <w:name w:val="WW8Num7z3"/>
    <w:qFormat/>
    <w:rPr>
      <w:rFonts w:ascii="Symbol" w:hAnsi="Symbol" w:cs="Symbol"/>
      <w:spacing w:val="0"/>
    </w:rPr>
  </w:style>
  <w:style w:type="character" w:styleId="WW8Num8z0">
    <w:name w:val="WW8Num8z0"/>
    <w:qFormat/>
    <w:rPr>
      <w:b w:val="false"/>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sz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w:b/>
      <w:i w:val="false"/>
      <w:color w:val="000000"/>
      <w:sz w:val="24"/>
    </w:rPr>
  </w:style>
  <w:style w:type="character" w:styleId="WW8Num16z1">
    <w:name w:val="WW8Num16z1"/>
    <w:qFormat/>
    <w:rPr>
      <w:rFonts w:ascii="Times New Roman Bold;Times New Roman" w:hAnsi="Times New Roman Bold;Times New Roman" w:cs="Times New Roman"/>
      <w:b/>
      <w:i w:val="false"/>
      <w:sz w:val="24"/>
    </w:rPr>
  </w:style>
  <w:style w:type="character" w:styleId="WW8Num16z2">
    <w:name w:val="WW8Num16z2"/>
    <w:qFormat/>
    <w:rPr>
      <w:rFonts w:ascii="Times New Roman" w:hAnsi="Times New Roman" w:cs="Times New Roman"/>
      <w:b w:val="false"/>
      <w:i w:val="false"/>
      <w:sz w:val="22"/>
      <w:lang w:val="en-US"/>
    </w:rPr>
  </w:style>
  <w:style w:type="character" w:styleId="WW8Num16z3">
    <w:name w:val="WW8Num16z3"/>
    <w:qFormat/>
    <w:rPr>
      <w:rFonts w:ascii="Times New Roman" w:hAnsi="Times New Roman" w:cs="Times New Roman"/>
      <w:b w:val="false"/>
      <w:i/>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1">
    <w:name w:val="WW8Num17z1"/>
    <w:qFormat/>
    <w:rPr>
      <w:rFonts w:ascii="Times New Roman Bold;Times New Roman" w:hAnsi="Times New Roman Bold;Times New Roman" w:cs="Times New Roman Bold;Times New Roman"/>
      <w:b/>
      <w:i w:val="false"/>
      <w:sz w:val="24"/>
      <w:lang w:val="en-US"/>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w:b/>
      <w:i w:val="false"/>
      <w:color w:val="000000"/>
      <w:sz w:val="24"/>
    </w:rPr>
  </w:style>
  <w:style w:type="character" w:styleId="WW8Num23z1">
    <w:name w:val="WW8Num23z1"/>
    <w:qFormat/>
    <w:rPr>
      <w:rFonts w:ascii="Times New Roman Bold;Times New Roman" w:hAnsi="Times New Roman Bold;Times New Roman" w:cs="Times New Roman"/>
      <w:b/>
      <w:i w:val="false"/>
      <w:sz w:val="24"/>
    </w:rPr>
  </w:style>
  <w:style w:type="character" w:styleId="WW8Num23z2">
    <w:name w:val="WW8Num23z2"/>
    <w:qFormat/>
    <w:rPr>
      <w:rFonts w:ascii="Times New Roman" w:hAnsi="Times New Roman" w:cs="Times New Roman"/>
      <w:b w:val="false"/>
      <w:i w:val="false"/>
      <w:sz w:val="22"/>
      <w:lang w:val="en-US"/>
    </w:rPr>
  </w:style>
  <w:style w:type="character" w:styleId="WW8Num23z3">
    <w:name w:val="WW8Num23z3"/>
    <w:qFormat/>
    <w:rPr>
      <w:rFonts w:ascii="Times New Roman" w:hAnsi="Times New Roman" w:cs="Times New Roman"/>
      <w:b w:val="false"/>
      <w:i/>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z w:val="18"/>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Times New Roman Bold;Times New Roman" w:hAnsi="Times New Roman Bold;Times New Roman" w:cs="Times New Roman Bold;Times New Roman"/>
      <w:b/>
      <w:i w:val="false"/>
      <w:color w:val="000000"/>
      <w:sz w:val="28"/>
      <w:szCs w:val="28"/>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style>
  <w:style w:type="character" w:styleId="WW8Num31z1">
    <w:name w:val="WW8Num31z1"/>
    <w:qFormat/>
    <w:rPr>
      <w:sz w:val="18"/>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Bold;Times New Roman" w:hAnsi="Times New Roman Bold;Times New Roman" w:cs="Times New Roman Bold;Times New Roman"/>
      <w:b/>
      <w:i w:val="false"/>
      <w:sz w:val="28"/>
      <w:szCs w:val="28"/>
    </w:rPr>
  </w:style>
  <w:style w:type="character" w:styleId="WW8Num34z2">
    <w:name w:val="WW8Num34z2"/>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color w:val="000000"/>
    </w:rPr>
  </w:style>
  <w:style w:type="character" w:styleId="WW8Num36z1">
    <w:name w:val="WW8Num36z1"/>
    <w:qFormat/>
    <w:rPr>
      <w:rFonts w:ascii="Courier New" w:hAnsi="Courier New" w:cs="Courier New"/>
    </w:rPr>
  </w:style>
  <w:style w:type="character" w:styleId="WW8Num36z3">
    <w:name w:val="WW8Num36z3"/>
    <w:qFormat/>
    <w:rPr>
      <w:rFonts w:ascii="Symbol" w:hAnsi="Symbol" w:cs="Symbol"/>
    </w:rPr>
  </w:style>
  <w:style w:type="character" w:styleId="WW8Num36z5">
    <w:name w:val="WW8Num36z5"/>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b w:val="false"/>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Text">
    <w:name w:val="Table Text"/>
    <w:basedOn w:val="Normal"/>
    <w:qFormat/>
    <w:pPr/>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1">
    <w:name w:val="Sprechblasentext1"/>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1">
    <w:name w:val="Kommentarthema1"/>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CharCharCharCharCharCharCharCharCharChar1">
    <w:name w:val=" Char Char Char Char Char Char Char Char Char Char1"/>
    <w:basedOn w:val="Normal"/>
    <w:qFormat/>
    <w:pPr>
      <w:spacing w:lineRule="exact" w:line="240" w:before="0" w:after="160"/>
      <w:jc w:val="both"/>
    </w:pPr>
    <w:rPr>
      <w:rFonts w:ascii="Arial" w:hAnsi="Arial" w:cs="Arial"/>
      <w:sz w:val="20"/>
      <w:szCs w:val="20"/>
    </w:rPr>
  </w:style>
  <w:style w:type="paragraph" w:styleId="Blueindent3">
    <w:name w:val="Blue indent 3"/>
    <w:basedOn w:val="Heading3"/>
    <w:qFormat/>
    <w:pPr>
      <w:numPr>
        <w:ilvl w:val="0"/>
        <w:numId w:val="0"/>
      </w:numPr>
      <w:tabs>
        <w:tab w:val="clear" w:pos="1134"/>
        <w:tab w:val="left" w:pos="851" w:leader="none"/>
      </w:tabs>
      <w:spacing w:before="240" w:after="0"/>
      <w:ind w:hanging="0" w:start="851" w:end="0"/>
    </w:pPr>
    <w:rPr>
      <w:b/>
      <w:color w:val="FF0000"/>
      <w:lang w:val="en-GB"/>
    </w:rPr>
  </w:style>
  <w:style w:type="paragraph" w:styleId="Sprechblasentext">
    <w:name w:val="Sprechblasen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package" Target="embeddings/oleObject1.xlsx"/><Relationship Id="rId4" Type="http://schemas.openxmlformats.org/officeDocument/2006/relationships/image" Target="media/image2.wmf"/><Relationship Id="rId5" Type="http://schemas.openxmlformats.org/officeDocument/2006/relationships/package" Target="embeddings/oleObject2.xlsx"/><Relationship Id="rId6" Type="http://schemas.openxmlformats.org/officeDocument/2006/relationships/image" Target="media/image3.wmf"/><Relationship Id="rId7" Type="http://schemas.openxmlformats.org/officeDocument/2006/relationships/package" Target="embeddings/oleObject3.xlsx"/><Relationship Id="rId8" Type="http://schemas.openxmlformats.org/officeDocument/2006/relationships/image" Target="media/image4.wmf"/><Relationship Id="rId9" Type="http://schemas.openxmlformats.org/officeDocument/2006/relationships/image" Target="media/image5.png"/><Relationship Id="rId10" Type="http://schemas.openxmlformats.org/officeDocument/2006/relationships/package" Target="embeddings/oleObject4.xlsx"/><Relationship Id="rId11" Type="http://schemas.openxmlformats.org/officeDocument/2006/relationships/image" Target="media/image6.wmf"/><Relationship Id="rId12" Type="http://schemas.openxmlformats.org/officeDocument/2006/relationships/image" Target="media/image7.wmf"/><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wmf"/><Relationship Id="rId2"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2007-01-29T18:58:00Z</dcterms:created>
  <dc:creator>Bob Szambelan</dc:creator>
  <dc:description/>
  <cp:keywords>General Accounting</cp:keywords>
  <dc:language>en-US</dc:language>
  <cp:lastModifiedBy>Wenger Platter</cp:lastModifiedBy>
  <cp:lastPrinted>2007-01-29T14:22:00Z</cp:lastPrinted>
  <dcterms:modified xsi:type="dcterms:W3CDTF">2007-01-30T12:31:00Z</dcterms:modified>
  <cp:revision>3</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