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3</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Service Levels</w:t>
      </w:r>
    </w:p>
    <w:p>
      <w:pPr>
        <w:pStyle w:val="Titel"/>
        <w:rPr>
          <w:rFonts w:ascii="Arial" w:hAnsi="Arial" w:cs="Arial"/>
        </w:rPr>
      </w:pPr>
      <w:r>
        <w:rPr>
          <w:rFonts w:cs="Arial" w:ascii="Arial" w:hAnsi="Arial"/>
        </w:rPr>
      </w:r>
    </w:p>
    <w:tbl>
      <w:tblPr>
        <w:tblW w:w="8787" w:type="dxa"/>
        <w:jc w:val="start"/>
        <w:tblInd w:w="828" w:type="dxa"/>
        <w:tblLayout w:type="fixed"/>
        <w:tblCellMar>
          <w:top w:w="0" w:type="dxa"/>
          <w:start w:w="108" w:type="dxa"/>
          <w:bottom w:w="0" w:type="dxa"/>
          <w:end w:w="108" w:type="dxa"/>
        </w:tblCellMar>
      </w:tblPr>
      <w:tblGrid>
        <w:gridCol w:w="8787"/>
      </w:tblGrid>
      <w:tr>
        <w:trPr/>
        <w:tc>
          <w:tcPr>
            <w:tcW w:w="8787"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rFonts w:cs="Arial" w:ascii="Arial" w:hAnsi="Arial"/>
                <w:sz w:val="24"/>
              </w:rPr>
              <w:t>This document contains confidential and proprietary information of GlobalPharma. It is furnished for the performance of The Agreements only. Except with the express prior written permission of GlobalPharma, this document and the information contained herein may not be published, disclosed, or used for any other purpose.</w:t>
            </w:r>
          </w:p>
          <w:p>
            <w:pPr>
              <w:pStyle w:val="Normal"/>
              <w:spacing w:before="120" w:after="120"/>
              <w:jc w:val="center"/>
              <w:rPr>
                <w:rFonts w:ascii="Arial" w:hAnsi="Arial" w:cs="Arial"/>
                <w:sz w:val="24"/>
                <w:lang w:val="en-GB"/>
              </w:rPr>
            </w:pPr>
            <w:r>
              <w:rPr>
                <w:rFonts w:cs="Arial" w:ascii="Arial" w:hAnsi="Arial"/>
                <w:sz w:val="24"/>
                <w:lang w:val="en-GB"/>
              </w:rPr>
            </w:r>
          </w:p>
        </w:tc>
      </w:tr>
    </w:tbl>
    <w:p>
      <w:pPr>
        <w:pStyle w:val="Titel"/>
        <w:rPr/>
      </w:pPr>
      <w:r>
        <w:br w:type="page"/>
      </w:r>
      <w:r>
        <w:rPr/>
        <w:t>Table of Contents</w:t>
      </w:r>
    </w:p>
    <w:sdt>
      <w:sdtPr>
        <w:docPartObj>
          <w:docPartGallery w:val="Table of Contents"/>
          <w:docPartUnique w:val="true"/>
        </w:docPartObj>
      </w:sdtPr>
      <w:sdtContent>
        <w:p>
          <w:pPr>
            <w:pStyle w:val="TOC1"/>
            <w:tabs>
              <w:tab w:val="clear" w:pos="720"/>
              <w:tab w:val="left" w:pos="660" w:leader="none"/>
              <w:tab w:val="right" w:pos="10623" w:leader="dot"/>
            </w:tabs>
            <w:rPr>
              <w:b w:val="false"/>
              <w:bCs w:val="false"/>
              <w:caps w:val="false"/>
              <w:smallCaps w:val="false"/>
              <w:sz w:val="24"/>
              <w:szCs w:val="24"/>
              <w:lang w:val="de-CH" w:eastAsia="en-US"/>
            </w:rPr>
          </w:pPr>
          <w:r>
            <w:fldChar w:fldCharType="begin"/>
          </w:r>
          <w:r>
            <w:rPr>
              <w:rStyle w:val="IndexLink"/>
              <w:lang w:val="en-GB" w:eastAsia="en-US"/>
            </w:rPr>
            <w:instrText xml:space="preserve"> TOC \h \z \t "Heading 1 Numbered;1;Heading 2 Numbered;2" </w:instrText>
          </w:r>
          <w:r>
            <w:rPr>
              <w:rStyle w:val="IndexLink"/>
              <w:lang w:val="en-GB" w:eastAsia="en-US"/>
            </w:rPr>
            <w:fldChar w:fldCharType="separate"/>
          </w:r>
          <w:hyperlink w:anchor="__RefHeading___Toc157774286">
            <w:r>
              <w:rPr>
                <w:rStyle w:val="IndexLink"/>
                <w:lang w:val="en-GB" w:eastAsia="en-US"/>
              </w:rPr>
              <w:t>1.0</w:t>
            </w:r>
            <w:r>
              <w:rPr>
                <w:rStyle w:val="IndexLink"/>
                <w:b w:val="false"/>
                <w:bCs w:val="false"/>
                <w:caps w:val="false"/>
                <w:smallCaps w:val="false"/>
                <w:sz w:val="24"/>
                <w:szCs w:val="24"/>
                <w:lang w:val="de-CH" w:eastAsia="en-US"/>
              </w:rPr>
              <w:tab/>
            </w:r>
            <w:r>
              <w:rPr>
                <w:rStyle w:val="IndexLink"/>
                <w:lang w:val="en-GB" w:eastAsia="en-US"/>
              </w:rPr>
              <w:t>General</w:t>
            </w:r>
            <w:r>
              <w:rPr>
                <w:rStyle w:val="IndexLink"/>
                <w:lang w:val="en-US" w:eastAsia="en-US"/>
              </w:rPr>
              <w:tab/>
              <w:t>3</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293">
            <w:r>
              <w:rPr>
                <w:rStyle w:val="IndexLink"/>
                <w:lang w:val="en-GB" w:eastAsia="en-US"/>
              </w:rPr>
              <w:t>2.0</w:t>
            </w:r>
            <w:r>
              <w:rPr>
                <w:rStyle w:val="IndexLink"/>
                <w:b w:val="false"/>
                <w:bCs w:val="false"/>
                <w:caps w:val="false"/>
                <w:smallCaps w:val="false"/>
                <w:sz w:val="24"/>
                <w:szCs w:val="24"/>
                <w:lang w:val="de-CH" w:eastAsia="en-US"/>
              </w:rPr>
              <w:tab/>
            </w:r>
            <w:r>
              <w:rPr>
                <w:rStyle w:val="IndexLink"/>
                <w:lang w:val="en-GB" w:eastAsia="en-US"/>
              </w:rPr>
              <w:t>Attachments</w:t>
            </w:r>
            <w:r>
              <w:rPr>
                <w:rStyle w:val="IndexLink"/>
                <w:lang w:val="en-US" w:eastAsia="en-US"/>
              </w:rPr>
              <w:tab/>
              <w:t>4</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295">
            <w:r>
              <w:rPr>
                <w:rStyle w:val="IndexLink"/>
                <w:lang w:val="en-GB" w:eastAsia="en-US"/>
              </w:rPr>
              <w:t>3.0</w:t>
            </w:r>
            <w:r>
              <w:rPr>
                <w:rStyle w:val="IndexLink"/>
                <w:b w:val="false"/>
                <w:bCs w:val="false"/>
                <w:caps w:val="false"/>
                <w:smallCaps w:val="false"/>
                <w:sz w:val="24"/>
                <w:szCs w:val="24"/>
                <w:lang w:val="de-CH" w:eastAsia="en-US"/>
              </w:rPr>
              <w:tab/>
            </w:r>
            <w:r>
              <w:rPr>
                <w:rStyle w:val="IndexLink"/>
                <w:lang w:val="en-GB" w:eastAsia="en-US"/>
              </w:rPr>
              <w:t>Key Measurement</w:t>
            </w:r>
            <w:r>
              <w:rPr>
                <w:rStyle w:val="IndexLink"/>
                <w:lang w:val="en-US" w:eastAsia="en-US"/>
              </w:rPr>
              <w:tab/>
              <w:t>4</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296">
            <w:r>
              <w:rPr>
                <w:rStyle w:val="IndexLink"/>
                <w:lang w:val="en-GB" w:eastAsia="en-US"/>
              </w:rPr>
              <w:t>4.0</w:t>
            </w:r>
            <w:r>
              <w:rPr>
                <w:rStyle w:val="IndexLink"/>
                <w:b w:val="false"/>
                <w:bCs w:val="false"/>
                <w:caps w:val="false"/>
                <w:smallCaps w:val="false"/>
                <w:sz w:val="24"/>
                <w:szCs w:val="24"/>
                <w:lang w:val="de-CH" w:eastAsia="en-US"/>
              </w:rPr>
              <w:tab/>
            </w:r>
            <w:r>
              <w:rPr>
                <w:rStyle w:val="IndexLink"/>
                <w:lang w:val="en-GB" w:eastAsia="en-US"/>
              </w:rPr>
              <w:t>Reporting</w:t>
            </w:r>
            <w:r>
              <w:rPr>
                <w:rStyle w:val="IndexLink"/>
                <w:lang w:val="en-US" w:eastAsia="en-US"/>
              </w:rPr>
              <w:tab/>
              <w:t>5</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297">
            <w:r>
              <w:rPr>
                <w:rStyle w:val="IndexLink"/>
                <w:lang w:val="en-GB" w:eastAsia="en-US"/>
              </w:rPr>
              <w:t>5.0</w:t>
            </w:r>
            <w:r>
              <w:rPr>
                <w:rStyle w:val="IndexLink"/>
                <w:b w:val="false"/>
                <w:bCs w:val="false"/>
                <w:caps w:val="false"/>
                <w:smallCaps w:val="false"/>
                <w:sz w:val="24"/>
                <w:szCs w:val="24"/>
                <w:lang w:val="de-CH" w:eastAsia="en-US"/>
              </w:rPr>
              <w:tab/>
            </w:r>
            <w:r>
              <w:rPr>
                <w:rStyle w:val="IndexLink"/>
                <w:lang w:val="en-GB" w:eastAsia="en-US"/>
              </w:rPr>
              <w:t>Service-level credits</w:t>
            </w:r>
            <w:r>
              <w:rPr>
                <w:rStyle w:val="IndexLink"/>
                <w:lang w:val="en-US" w:eastAsia="en-US"/>
              </w:rPr>
              <w:tab/>
              <w:t>5</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298">
            <w:r>
              <w:rPr>
                <w:rStyle w:val="IndexLink"/>
                <w:lang w:val="en-GB" w:eastAsia="en-US"/>
              </w:rPr>
              <w:t>6.0</w:t>
            </w:r>
            <w:r>
              <w:rPr>
                <w:rStyle w:val="IndexLink"/>
                <w:b w:val="false"/>
                <w:bCs w:val="false"/>
                <w:caps w:val="false"/>
                <w:smallCaps w:val="false"/>
                <w:sz w:val="24"/>
                <w:szCs w:val="24"/>
                <w:lang w:val="de-CH" w:eastAsia="en-US"/>
              </w:rPr>
              <w:tab/>
            </w:r>
            <w:r>
              <w:rPr>
                <w:rStyle w:val="IndexLink"/>
                <w:lang w:val="en-GB" w:eastAsia="en-US"/>
              </w:rPr>
              <w:t>Exceptions</w:t>
            </w:r>
            <w:r>
              <w:rPr>
                <w:rStyle w:val="IndexLink"/>
                <w:lang w:val="en-US" w:eastAsia="en-US"/>
              </w:rPr>
              <w:tab/>
              <w:t>6</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299">
            <w:r>
              <w:rPr>
                <w:rStyle w:val="IndexLink"/>
                <w:lang w:val="en-GB" w:eastAsia="en-US"/>
              </w:rPr>
              <w:t>7.0</w:t>
            </w:r>
            <w:r>
              <w:rPr>
                <w:rStyle w:val="IndexLink"/>
                <w:b w:val="false"/>
                <w:bCs w:val="false"/>
                <w:caps w:val="false"/>
                <w:smallCaps w:val="false"/>
                <w:sz w:val="24"/>
                <w:szCs w:val="24"/>
                <w:lang w:val="de-CH" w:eastAsia="en-US"/>
              </w:rPr>
              <w:tab/>
            </w:r>
            <w:r>
              <w:rPr>
                <w:rStyle w:val="IndexLink"/>
                <w:lang w:val="en-GB" w:eastAsia="en-US"/>
              </w:rPr>
              <w:t>Earnback</w:t>
            </w:r>
            <w:r>
              <w:rPr>
                <w:rStyle w:val="IndexLink"/>
                <w:lang w:val="en-US" w:eastAsia="en-US"/>
              </w:rPr>
              <w:tab/>
              <w:t>7</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300">
            <w:r>
              <w:rPr>
                <w:rStyle w:val="IndexLink"/>
                <w:lang w:val="en-GB" w:eastAsia="en-US"/>
              </w:rPr>
              <w:t>8.0</w:t>
            </w:r>
            <w:r>
              <w:rPr>
                <w:rStyle w:val="IndexLink"/>
                <w:b w:val="false"/>
                <w:bCs w:val="false"/>
                <w:caps w:val="false"/>
                <w:smallCaps w:val="false"/>
                <w:sz w:val="24"/>
                <w:szCs w:val="24"/>
                <w:lang w:val="de-CH" w:eastAsia="en-US"/>
              </w:rPr>
              <w:tab/>
            </w:r>
            <w:r>
              <w:rPr>
                <w:rStyle w:val="IndexLink"/>
                <w:lang w:val="en-GB" w:eastAsia="en-US"/>
              </w:rPr>
              <w:t>changes to service levels</w:t>
            </w:r>
            <w:r>
              <w:rPr>
                <w:rStyle w:val="IndexLink"/>
                <w:lang w:val="en-US" w:eastAsia="en-US"/>
              </w:rPr>
              <w:tab/>
              <w:t>7</w:t>
            </w:r>
          </w:hyperlink>
        </w:p>
        <w:p>
          <w:pPr>
            <w:pStyle w:val="TOC2"/>
            <w:tabs>
              <w:tab w:val="clear" w:pos="720"/>
              <w:tab w:val="left" w:pos="880" w:leader="none"/>
              <w:tab w:val="right" w:pos="10623" w:leader="dot"/>
            </w:tabs>
            <w:rPr>
              <w:caps w:val="false"/>
              <w:smallCaps w:val="false"/>
              <w:sz w:val="24"/>
              <w:szCs w:val="24"/>
              <w:lang w:val="de-CH" w:eastAsia="en-US"/>
            </w:rPr>
          </w:pPr>
          <w:hyperlink w:anchor="__RefHeading___Toc157774301">
            <w:r>
              <w:rPr>
                <w:rStyle w:val="IndexLink"/>
                <w:lang w:val="en-GB" w:eastAsia="en-US"/>
              </w:rPr>
              <w:t>8.1</w:t>
            </w:r>
            <w:r>
              <w:rPr>
                <w:rStyle w:val="IndexLink"/>
                <w:caps w:val="false"/>
                <w:smallCaps w:val="false"/>
                <w:sz w:val="24"/>
                <w:szCs w:val="24"/>
                <w:lang w:val="de-CH" w:eastAsia="en-US"/>
              </w:rPr>
              <w:tab/>
            </w:r>
            <w:r>
              <w:rPr>
                <w:rStyle w:val="IndexLink"/>
                <w:lang w:val="en-GB" w:eastAsia="en-US"/>
              </w:rPr>
              <w:t>Continuous Improvement</w:t>
            </w:r>
            <w:r>
              <w:rPr>
                <w:rStyle w:val="IndexLink"/>
                <w:lang w:val="en-US" w:eastAsia="en-US"/>
              </w:rPr>
              <w:tab/>
              <w:t>7</w:t>
            </w:r>
          </w:hyperlink>
        </w:p>
        <w:p>
          <w:pPr>
            <w:pStyle w:val="TOC2"/>
            <w:tabs>
              <w:tab w:val="clear" w:pos="720"/>
              <w:tab w:val="left" w:pos="880" w:leader="none"/>
              <w:tab w:val="right" w:pos="10623" w:leader="dot"/>
            </w:tabs>
            <w:rPr>
              <w:caps w:val="false"/>
              <w:smallCaps w:val="false"/>
              <w:sz w:val="24"/>
              <w:szCs w:val="24"/>
              <w:lang w:val="de-CH" w:eastAsia="en-US"/>
            </w:rPr>
          </w:pPr>
          <w:hyperlink w:anchor="__RefHeading___Toc157774302">
            <w:r>
              <w:rPr>
                <w:rStyle w:val="IndexLink"/>
                <w:lang w:val="en-GB" w:eastAsia="en-US"/>
              </w:rPr>
              <w:t>8.2</w:t>
            </w:r>
            <w:r>
              <w:rPr>
                <w:rStyle w:val="IndexLink"/>
                <w:caps w:val="false"/>
                <w:smallCaps w:val="false"/>
                <w:sz w:val="24"/>
                <w:szCs w:val="24"/>
                <w:lang w:val="de-CH" w:eastAsia="en-US"/>
              </w:rPr>
              <w:tab/>
            </w:r>
            <w:r>
              <w:rPr>
                <w:rStyle w:val="IndexLink"/>
                <w:lang w:val="en-GB" w:eastAsia="en-US"/>
              </w:rPr>
              <w:t>Additions, Deletions, Changes and Modifications</w:t>
            </w:r>
            <w:r>
              <w:rPr>
                <w:rStyle w:val="IndexLink"/>
                <w:lang w:val="en-US" w:eastAsia="en-US"/>
              </w:rPr>
              <w:tab/>
              <w:t>8</w:t>
            </w:r>
          </w:hyperlink>
        </w:p>
        <w:p>
          <w:pPr>
            <w:pStyle w:val="TOC2"/>
            <w:tabs>
              <w:tab w:val="clear" w:pos="720"/>
              <w:tab w:val="left" w:pos="880" w:leader="none"/>
              <w:tab w:val="right" w:pos="10623" w:leader="dot"/>
            </w:tabs>
            <w:rPr>
              <w:caps w:val="false"/>
              <w:smallCaps w:val="false"/>
              <w:sz w:val="24"/>
              <w:szCs w:val="24"/>
              <w:lang w:val="de-CH" w:eastAsia="en-US"/>
            </w:rPr>
          </w:pPr>
          <w:hyperlink w:anchor="__RefHeading___Toc157774303">
            <w:r>
              <w:rPr>
                <w:rStyle w:val="IndexLink"/>
                <w:lang w:val="en-GB" w:eastAsia="en-US"/>
              </w:rPr>
              <w:t>8.3</w:t>
            </w:r>
            <w:r>
              <w:rPr>
                <w:rStyle w:val="IndexLink"/>
                <w:caps w:val="false"/>
                <w:smallCaps w:val="false"/>
                <w:sz w:val="24"/>
                <w:szCs w:val="24"/>
                <w:lang w:val="de-CH" w:eastAsia="en-US"/>
              </w:rPr>
              <w:tab/>
            </w:r>
            <w:r>
              <w:rPr>
                <w:rStyle w:val="IndexLink"/>
                <w:lang w:val="en-GB" w:eastAsia="en-US"/>
              </w:rPr>
              <w:t>Performance Standards for Additional Service Levels</w:t>
            </w:r>
            <w:r>
              <w:rPr>
                <w:rStyle w:val="IndexLink"/>
                <w:lang w:val="en-US" w:eastAsia="en-US"/>
              </w:rPr>
              <w:tab/>
              <w:t>9</w:t>
            </w:r>
          </w:hyperlink>
        </w:p>
        <w:p>
          <w:pPr>
            <w:pStyle w:val="TOC1"/>
            <w:tabs>
              <w:tab w:val="clear" w:pos="720"/>
              <w:tab w:val="left" w:pos="660" w:leader="none"/>
              <w:tab w:val="right" w:pos="10623" w:leader="dot"/>
            </w:tabs>
            <w:rPr>
              <w:b w:val="false"/>
              <w:bCs w:val="false"/>
              <w:caps w:val="false"/>
              <w:smallCaps w:val="false"/>
              <w:sz w:val="24"/>
              <w:szCs w:val="24"/>
              <w:lang w:val="de-CH" w:eastAsia="en-US"/>
            </w:rPr>
          </w:pPr>
          <w:hyperlink w:anchor="__RefHeading___Toc157774354">
            <w:r>
              <w:rPr>
                <w:rStyle w:val="IndexLink"/>
                <w:lang w:val="en-GB" w:eastAsia="en-US"/>
              </w:rPr>
              <w:t>9.0</w:t>
            </w:r>
            <w:r>
              <w:rPr>
                <w:rStyle w:val="IndexLink"/>
                <w:b w:val="false"/>
                <w:bCs w:val="false"/>
                <w:caps w:val="false"/>
                <w:smallCaps w:val="false"/>
                <w:sz w:val="24"/>
                <w:szCs w:val="24"/>
                <w:lang w:val="de-CH" w:eastAsia="en-US"/>
              </w:rPr>
              <w:tab/>
            </w:r>
            <w:r>
              <w:rPr>
                <w:rStyle w:val="IndexLink"/>
                <w:lang w:val="en-GB" w:eastAsia="en-US"/>
              </w:rPr>
              <w:t>critical deliverables</w:t>
            </w:r>
            <w:r>
              <w:rPr>
                <w:rStyle w:val="IndexLink"/>
                <w:lang w:val="en-US" w:eastAsia="en-US"/>
              </w:rPr>
              <w:tab/>
              <w:t>10</w:t>
            </w:r>
          </w:hyperlink>
        </w:p>
        <w:p>
          <w:pPr>
            <w:pStyle w:val="TOC1"/>
            <w:tabs>
              <w:tab w:val="clear" w:pos="720"/>
              <w:tab w:val="left" w:pos="660" w:leader="none"/>
              <w:tab w:val="right" w:pos="10623" w:leader="dot"/>
            </w:tabs>
            <w:rPr>
              <w:sz w:val="24"/>
              <w:szCs w:val="24"/>
              <w:lang w:val="de-CH" w:eastAsia="en-US"/>
            </w:rPr>
          </w:pPr>
          <w:hyperlink w:anchor="__RefHeading___Toc157774355">
            <w:r>
              <w:rPr>
                <w:rStyle w:val="IndexLink"/>
                <w:b w:val="false"/>
                <w:bCs w:val="false"/>
                <w:caps w:val="false"/>
                <w:smallCaps w:val="false"/>
                <w:lang w:val="en-GB" w:eastAsia="en-US"/>
              </w:rPr>
              <w:t>10.0</w:t>
            </w:r>
            <w:r>
              <w:rPr>
                <w:rStyle w:val="IndexLink"/>
                <w:b w:val="false"/>
                <w:bCs w:val="false"/>
                <w:caps w:val="false"/>
                <w:smallCaps w:val="false"/>
                <w:sz w:val="24"/>
                <w:szCs w:val="24"/>
                <w:lang w:val="de-CH" w:eastAsia="en-US"/>
              </w:rPr>
              <w:tab/>
            </w:r>
            <w:r>
              <w:rPr>
                <w:rStyle w:val="IndexLink"/>
                <w:b w:val="false"/>
                <w:bCs w:val="false"/>
                <w:caps w:val="false"/>
                <w:smallCaps w:val="false"/>
                <w:lang w:val="en-GB" w:eastAsia="en-US"/>
              </w:rPr>
              <w:t>definitions</w:t>
            </w:r>
            <w:r>
              <w:rPr>
                <w:rStyle w:val="IndexLink"/>
                <w:b w:val="false"/>
                <w:bCs w:val="false"/>
                <w:caps w:val="false"/>
                <w:smallCaps w:val="false"/>
                <w:lang w:val="en-US" w:eastAsia="en-US"/>
              </w:rPr>
              <w:tab/>
              <w:t>10</w:t>
            </w:r>
          </w:hyperlink>
          <w:r>
            <w:rPr>
              <w:rStyle w:val="IndexLink"/>
              <w:smallCaps w:val="false"/>
              <w:caps w:val="false"/>
              <w:b w:val="false"/>
              <w:bCs w:val="false"/>
              <w:lang w:val="en-US" w:eastAsia="en-US"/>
            </w:rPr>
            <w:fldChar w:fldCharType="end"/>
          </w:r>
        </w:p>
      </w:sdtContent>
    </w:sdt>
    <w:p>
      <w:pPr>
        <w:pStyle w:val="Normal"/>
        <w:numPr>
          <w:ilvl w:val="0"/>
          <w:numId w:val="0"/>
        </w:numPr>
        <w:rPr>
          <w:b/>
          <w:bCs/>
          <w:caps/>
          <w:sz w:val="24"/>
          <w:szCs w:val="24"/>
          <w:lang w:val="en-GB" w:eastAsia="en-US"/>
        </w:rPr>
      </w:pPr>
      <w:r>
        <w:rPr>
          <w:b/>
          <w:bCs/>
          <w:caps/>
          <w:sz w:val="24"/>
          <w:szCs w:val="24"/>
          <w:lang w:val="en-GB" w:eastAsia="en-US"/>
        </w:rPr>
      </w:r>
      <w:r>
        <w:br w:type="page"/>
      </w:r>
    </w:p>
    <w:p>
      <w:pPr>
        <w:pStyle w:val="Normal"/>
        <w:rPr>
          <w:lang w:val="en-GB"/>
        </w:rPr>
      </w:pPr>
      <w:r>
        <w:rPr>
          <w:lang w:val="en-GB"/>
        </w:rPr>
      </w:r>
    </w:p>
    <w:p>
      <w:pPr>
        <w:pStyle w:val="Heading1Numbered"/>
        <w:numPr>
          <w:ilvl w:val="0"/>
          <w:numId w:val="12"/>
        </w:numPr>
        <w:ind w:hanging="0" w:start="0"/>
        <w:rPr>
          <w:lang w:val="en-GB"/>
        </w:rPr>
      </w:pPr>
      <w:bookmarkStart w:id="0" w:name="__RefHeading___Toc157774286"/>
      <w:bookmarkEnd w:id="0"/>
      <w:r>
        <w:rPr>
          <w:lang w:val="en-GB"/>
        </w:rPr>
        <w:t>General</w:t>
      </w:r>
    </w:p>
    <w:p>
      <w:pPr>
        <w:pStyle w:val="BodyText"/>
        <w:rPr>
          <w:lang w:val="en-GB"/>
        </w:rPr>
      </w:pPr>
      <w:bookmarkStart w:id="1" w:name="_Ref53818914"/>
      <w:r>
        <w:rPr>
          <w:lang w:val="en-GB"/>
        </w:rPr>
        <w:t>As of the Commencement Date (or as otherwise specified in this Exhibit and the Attachments to this Exhibit), the Service Provider will perform the Services to which Service Levels apply so that the Service-Level Performance will, in each month of the Term, meet, or exceed, the Service Levels.</w:t>
      </w:r>
      <w:bookmarkEnd w:id="1"/>
    </w:p>
    <w:p>
      <w:pPr>
        <w:pStyle w:val="Normal"/>
        <w:spacing w:before="0" w:after="0"/>
        <w:ind w:start="720" w:end="0"/>
        <w:rPr/>
      </w:pPr>
      <w:r>
        <w:rPr>
          <w:lang w:val="en-GB"/>
        </w:rPr>
        <w:t>The Service Provider will complete Attachment 3-B for all Critical Service Levels and Key measures agreed in Attachment 3-A in the time period before Commencement date and obtain sign off by GlobalPharma. The guideline for both the Service Provider  and GlobalPharma is to create harmonised metrics to the extent possible given the different processes in the countries.</w:t>
      </w:r>
      <w:r>
        <w:rPr>
          <w:b/>
          <w:lang w:val="en-GB"/>
        </w:rPr>
      </w:r>
      <w:r>
        <w:rPr>
          <w:lang w:val="en-GB"/>
        </w:rPr>
      </w:r>
      <w:r>
        <w:rPr>
          <w:b/>
          <w:lang w:val="en-GB"/>
        </w:rPr>
      </w:r>
      <w:r>
        <w:rPr>
          <w:lang w:val="en-GB"/>
        </w:rPr>
      </w:r>
    </w:p>
    <w:p>
      <w:pPr>
        <w:pStyle w:val="Normal"/>
        <w:spacing w:before="0" w:after="0"/>
        <w:ind w:start="720" w:end="0"/>
        <w:rPr>
          <w:lang w:val="en-GB"/>
        </w:rPr>
      </w:pPr>
      <w:r>
        <w:rPr>
          <w:lang w:val="en-GB"/>
        </w:rPr>
      </w:r>
    </w:p>
    <w:p>
      <w:pPr>
        <w:pStyle w:val="Normal"/>
        <w:spacing w:before="0" w:after="0"/>
        <w:ind w:start="720" w:end="0"/>
        <w:rPr/>
      </w:pPr>
      <w:r>
        <w:rPr>
          <w:lang w:val="en-GB"/>
        </w:rPr>
        <w:t xml:space="preserve">The Service Provider will provide the first Service Level report 1 month after each process Go-Live date, in accordance with this Service Level Attachment, which will indicate the Service Provider’s performance with respect to the Service Levels (Critical Service Levels, Critical Deliverables, and Key Measurements) for which the Service Provider is responsible as described in </w:t>
      </w:r>
      <w:r>
        <w:rPr>
          <w:b/>
          <w:lang w:val="en-GB"/>
        </w:rPr>
        <w:t>Attachment 3-A</w:t>
      </w:r>
      <w:r>
        <w:rPr>
          <w:lang w:val="en-GB"/>
        </w:rPr>
        <w:t>.</w:t>
      </w:r>
    </w:p>
    <w:p>
      <w:pPr>
        <w:pStyle w:val="BodyText"/>
        <w:rPr>
          <w:lang w:val="en-GB"/>
        </w:rPr>
      </w:pPr>
      <w:r>
        <w:rPr>
          <w:lang w:val="en-GB"/>
        </w:rPr>
      </w:r>
    </w:p>
    <w:p>
      <w:pPr>
        <w:pStyle w:val="TableText"/>
        <w:rPr>
          <w:rFonts w:ascii="Arial" w:hAnsi="Arial" w:cs="Arial"/>
          <w:b/>
          <w:i/>
          <w:i/>
          <w:lang w:val="en-GB"/>
        </w:rPr>
      </w:pPr>
      <w:r>
        <w:rPr>
          <w:rFonts w:cs="Arial" w:ascii="Arial" w:hAnsi="Arial"/>
          <w:b/>
          <w:i/>
          <w:lang w:val="en-GB"/>
        </w:rPr>
        <w:t>Service Credits</w:t>
      </w:r>
    </w:p>
    <w:p>
      <w:pPr>
        <w:pStyle w:val="BodyText"/>
        <w:rPr>
          <w:lang w:val="en-GB"/>
        </w:rPr>
      </w:pPr>
      <w:r>
        <w:rPr>
          <w:lang w:val="en-GB"/>
        </w:rPr>
        <w:t xml:space="preserve">Service Provider proposes a methodology wherein there is a 6 month grace period during which Service Level Credits shall not apply for breach of Expected Service Levels to allow for a smooth transition of the process. However, subject to the points below on availability of baseline data for 6 months, Service Provider is agreeable for Service Credits to be payable from the Commencement Date (or Commencement Date + x months as indicated in the Exhibit) for a breach of Minimum Service Levels which would be have a significant negative business impact. </w:t>
      </w:r>
    </w:p>
    <w:p>
      <w:pPr>
        <w:pStyle w:val="TableText"/>
        <w:jc w:val="both"/>
        <w:rPr>
          <w:rFonts w:ascii="Arial" w:hAnsi="Arial" w:cs="Arial"/>
          <w:b/>
          <w:i/>
          <w:i/>
          <w:lang w:val="en-GB"/>
        </w:rPr>
      </w:pPr>
      <w:r>
        <w:rPr>
          <w:rFonts w:cs="Arial" w:ascii="Arial" w:hAnsi="Arial"/>
          <w:b/>
          <w:i/>
          <w:lang w:val="en-GB"/>
        </w:rPr>
        <w:t>Establishment of Service Levels</w:t>
      </w:r>
    </w:p>
    <w:p>
      <w:pPr>
        <w:pStyle w:val="BodyText"/>
        <w:rPr>
          <w:lang w:val="en-GB"/>
        </w:rPr>
      </w:pPr>
      <w:r>
        <w:rPr>
          <w:lang w:val="en-GB"/>
        </w:rPr>
        <w:t xml:space="preserve">In so far as setting of SL’s is concerned, Service Provider proposes a methodology which arrives at the SL’s by using 6 months of baseline data for each of the SL’s. If such baseline data is not available with GlobalPharma, then Service Provider shall perform these Services for 6 months after the Commencement Date (or the balance month’s data required in case GlobalPharma has data for a few months, but less than 6 months) and measure the Service Levels achieved in each of the categories. The Expected Service Level target shall be reset to be the best four average monthly performances for that metric in the six month period. The second lowest measurement during this six month period shall be set as the Minimum Service Level. </w:t>
      </w:r>
    </w:p>
    <w:p>
      <w:pPr>
        <w:pStyle w:val="BodyText"/>
        <w:rPr>
          <w:lang w:val="en-GB"/>
        </w:rPr>
      </w:pPr>
      <w:r>
        <w:rPr>
          <w:lang w:val="en-GB"/>
        </w:rPr>
        <w:t>In case baseline data for 6 months prior to Commencement Date exists with GlobalPharma, then the same methodology as above shall be adopted based on the GlobalPharma data to reset the Expected Service Level and Minimum Service Levels.</w:t>
      </w:r>
    </w:p>
    <w:p>
      <w:pPr>
        <w:pStyle w:val="TableText"/>
        <w:jc w:val="both"/>
        <w:rPr>
          <w:rFonts w:ascii="Arial" w:hAnsi="Arial" w:cs="Arial"/>
          <w:b/>
          <w:i/>
          <w:i/>
          <w:lang w:val="en-GB"/>
        </w:rPr>
      </w:pPr>
      <w:r>
        <w:rPr>
          <w:rFonts w:cs="Arial" w:ascii="Arial" w:hAnsi="Arial"/>
          <w:b/>
          <w:i/>
          <w:lang w:val="en-GB"/>
        </w:rPr>
        <w:t>GlobalPharma Dependencies and Action Items</w:t>
      </w:r>
    </w:p>
    <w:p>
      <w:pPr>
        <w:pStyle w:val="BodyText"/>
        <w:rPr>
          <w:lang w:val="en-GB"/>
        </w:rPr>
      </w:pPr>
      <w:r>
        <w:rPr>
          <w:lang w:val="en-GB"/>
        </w:rPr>
        <w:t>The achievement of each Service Level will require certain action items from GlobalPharma and also depend on certain GlobalPharma dependencies e.g. certain IT configuration. The description of each Service Level shall also contain a description of the GlobalPharma dependencies and action items required for Service Provider to achieve the Service Levels.</w:t>
        <w:tab/>
      </w:r>
    </w:p>
    <w:p>
      <w:pPr>
        <w:pStyle w:val="BodyText"/>
        <w:rPr>
          <w:lang w:val="en-GB"/>
        </w:rPr>
      </w:pPr>
      <w:r>
        <w:rPr>
          <w:lang w:val="en-GB"/>
        </w:rPr>
        <w:t>The achievement of the Service Levels by the Service Provider may require the coordinated, collaborative effort of the Service Provider with other Third-Party service providers. The Service Provider shall provide a single point of contact for the prompt resolution of all Service-Level Defaults and all failures to provide high quality Services to GlobalPharma, regardless of whether the reason for such Service-Level Defaults, or failure to provide high quality Services to GlobalPharma, was caused by the Service Provider.</w:t>
      </w:r>
    </w:p>
    <w:p>
      <w:pPr>
        <w:pStyle w:val="Heading1Numbered"/>
        <w:numPr>
          <w:ilvl w:val="0"/>
          <w:numId w:val="12"/>
        </w:numPr>
        <w:ind w:hanging="0" w:start="0"/>
        <w:rPr>
          <w:lang w:val="en-GB"/>
        </w:rPr>
      </w:pPr>
      <w:bookmarkStart w:id="2" w:name="__RefHeading___Toc157774293"/>
      <w:bookmarkEnd w:id="2"/>
      <w:r>
        <w:rPr>
          <w:lang w:val="en-GB"/>
        </w:rPr>
        <w:t>Attachments</w:t>
      </w:r>
    </w:p>
    <w:p>
      <w:pPr>
        <w:pStyle w:val="BodyText"/>
        <w:rPr>
          <w:lang w:val="en-GB"/>
        </w:rPr>
      </w:pPr>
      <w:r>
        <w:rPr>
          <w:lang w:val="en-GB"/>
        </w:rPr>
        <w:t>The following Attachments are provided with this Exhibit and the Service Provider agrees with their content:</w:t>
      </w:r>
    </w:p>
    <w:p>
      <w:pPr>
        <w:pStyle w:val="BodyText"/>
        <w:rPr>
          <w:lang w:val="en-GB"/>
        </w:rPr>
      </w:pPr>
      <w:r>
        <w:rPr>
          <w:lang w:val="en-GB"/>
        </w:rPr>
        <w:t xml:space="preserve">Attachment 3-A: Service Levels Matrix.  This Attachment sets forth the quantitative measurements associated with Critical Service Levels, Key Measurements, and Critical Deliverables. </w:t>
      </w:r>
    </w:p>
    <w:p>
      <w:pPr>
        <w:pStyle w:val="BodyText"/>
        <w:rPr>
          <w:lang w:val="en-GB"/>
        </w:rPr>
      </w:pPr>
      <w:r>
        <w:rPr>
          <w:lang w:val="en-GB"/>
        </w:rPr>
        <w:t>Attachment 3-B: Critical Service Levels and Key Measurements.  This Attachment sets forth the descriptions and definitions of Critical Service Levels and Key Measurements.</w:t>
      </w:r>
    </w:p>
    <w:p>
      <w:pPr>
        <w:pStyle w:val="BodyText"/>
        <w:rPr>
          <w:lang w:val="en-GB"/>
        </w:rPr>
      </w:pPr>
      <w:r>
        <w:rPr>
          <w:lang w:val="en-GB"/>
        </w:rPr>
        <w:t>Attachment 3-C: Critical Deliverables. This Attachment sets forth the descriptions and definitions of Critical Deliverables.</w:t>
      </w:r>
    </w:p>
    <w:p>
      <w:pPr>
        <w:pStyle w:val="BodyText"/>
        <w:rPr>
          <w:lang w:val="en-GB"/>
        </w:rPr>
      </w:pPr>
      <w:r>
        <w:rPr>
          <w:lang w:val="en-GB"/>
        </w:rPr>
        <w:t xml:space="preserve">Attachment 3-D: Service-Levels Outcome Examples.  This Attachment provides example scenarios regarding Earnback and continuous improvement. </w:t>
      </w:r>
    </w:p>
    <w:p>
      <w:pPr>
        <w:pStyle w:val="BodyText"/>
        <w:rPr/>
      </w:pPr>
      <w:r>
        <w:rPr>
          <w:lang w:val="en-GB"/>
        </w:rPr>
        <w:t>Attachment 3-F: Severity Levels. This Attachment provides a description of the various Severity Levels associated with each Tower, Performance Category, or unique Service.</w:t>
      </w:r>
    </w:p>
    <w:p>
      <w:pPr>
        <w:pStyle w:val="Heading1Numbered"/>
        <w:numPr>
          <w:ilvl w:val="0"/>
          <w:numId w:val="12"/>
        </w:numPr>
        <w:ind w:hanging="0" w:start="0"/>
        <w:rPr>
          <w:lang w:val="en-GB"/>
        </w:rPr>
      </w:pPr>
      <w:bookmarkStart w:id="3" w:name="__RefHeading___Toc157774295"/>
      <w:bookmarkEnd w:id="3"/>
      <w:r>
        <w:rPr>
          <w:lang w:val="en-GB"/>
        </w:rPr>
        <w:t>Key Measurement</w:t>
      </w:r>
    </w:p>
    <w:p>
      <w:pPr>
        <w:pStyle w:val="BodyText"/>
        <w:rPr/>
      </w:pPr>
      <w:bookmarkStart w:id="4" w:name="_Ref28406341"/>
      <w:r>
        <w:rPr>
          <w:lang w:val="en-GB"/>
        </w:rPr>
        <w:t xml:space="preserve">Service-Level Performance shall commence being measured by the Service Provider </w:t>
      </w:r>
      <w:bookmarkStart w:id="5" w:name="_Ref30500985"/>
      <w:r>
        <w:rPr>
          <w:lang w:val="en-GB"/>
        </w:rPr>
        <w:t xml:space="preserve">on </w:t>
      </w:r>
      <w:bookmarkEnd w:id="5"/>
      <w:r>
        <w:rPr>
          <w:lang w:val="en-GB"/>
        </w:rPr>
        <w:t xml:space="preserve">the Commencement Date.  Service-Level Credits shall apply with effect from the Commencement Date </w:t>
      </w:r>
      <w:bookmarkEnd w:id="4"/>
      <w:r>
        <w:rPr>
          <w:lang w:val="en-GB"/>
        </w:rPr>
        <w:t xml:space="preserve">or as otherwise specified in </w:t>
      </w:r>
      <w:r>
        <w:rPr>
          <w:b/>
          <w:lang w:val="en-GB"/>
        </w:rPr>
        <w:t>Attachment 3-A</w:t>
      </w:r>
      <w:r>
        <w:rPr>
          <w:lang w:val="en-GB"/>
        </w:rPr>
        <w:t xml:space="preserve"> (Service Levels Matrix) under the column “Eff + mos**”.  The numbers used in the column “Eff +mos**” are in the format X where “X” represents the number of months after the Commencement Date when Service-Level Credits will apply.</w:t>
      </w:r>
    </w:p>
    <w:p>
      <w:pPr>
        <w:pStyle w:val="BodyText"/>
        <w:rPr/>
      </w:pPr>
      <w:r>
        <w:rPr>
          <w:lang w:val="en-GB"/>
        </w:rPr>
        <w:t xml:space="preserve">Service-Level Performance will be measured on a monthly basis unless otherwise specified in </w:t>
      </w:r>
      <w:r>
        <w:rPr>
          <w:b/>
          <w:lang w:val="en-GB"/>
        </w:rPr>
        <w:t>Attachment 3-A</w:t>
      </w:r>
      <w:r>
        <w:rPr>
          <w:lang w:val="en-GB"/>
        </w:rPr>
        <w:t xml:space="preserve"> (Service Levels Matrix).</w:t>
      </w:r>
    </w:p>
    <w:p>
      <w:pPr>
        <w:pStyle w:val="BodyText"/>
        <w:rPr>
          <w:lang w:val="en-GB"/>
        </w:rPr>
      </w:pPr>
      <w:r>
        <w:rPr>
          <w:lang w:val="en-GB"/>
        </w:rPr>
        <w:t>The measuring tools and methodologies set forth in Attachment 3-E (Measuring Tools and Methodologies) shall be used by the Service Provider to measure the Service Levels from 3 months after the Commencement Date.</w:t>
      </w:r>
    </w:p>
    <w:p>
      <w:pPr>
        <w:pStyle w:val="BodyText"/>
        <w:rPr>
          <w:lang w:val="en-GB"/>
        </w:rPr>
      </w:pPr>
      <w:r>
        <w:rPr>
          <w:lang w:val="en-GB"/>
        </w:rPr>
        <w:t>Tools for new Service Levels and changes to tools for existing Service Levels will be implemented in accordance with the Change Control Procedure. GlobalPharma shall be financially responsible for increases in Service Provider costs, resulting from GlobalPharma’s addition of new Service Levels. The amount shall be determined via the Change Control Procedure.</w:t>
      </w:r>
    </w:p>
    <w:p>
      <w:pPr>
        <w:pStyle w:val="BodyText"/>
        <w:rPr>
          <w:lang w:val="en-GB"/>
        </w:rPr>
      </w:pPr>
      <w:r>
        <w:rPr>
          <w:lang w:val="en-GB"/>
        </w:rPr>
        <w:t>If a tool changes, the Parties may, by written agreement, adjust the Service-Level measurements as necessary to account for any increased or decreased sensitivity in the new measuring tool. However, it is not anticipated that changes in the monitoring tools will drive changes in Service Levels; rather, the need to collect and accurately reflect the performance data should drive the development or change in monitoring tools.</w:t>
      </w:r>
    </w:p>
    <w:p>
      <w:pPr>
        <w:pStyle w:val="BodyText"/>
        <w:rPr>
          <w:lang w:val="en-GB"/>
        </w:rPr>
      </w:pPr>
      <w:r>
        <w:rPr>
          <w:lang w:val="en-GB"/>
        </w:rPr>
        <w:t>If there are any Critical Service Levels for which the measuring tools and methodologies have not been agreed upon by the Effective Date (including new Critical Service Levels) and the Service Provider fails to propose a measuring tool for such Critical Service Level that is acceptable to GlobalPharma prior to the date when Service-Level Credits apply to such Critical Service Level, such failure shall be deemed a Minimum Service-Level Default until the Service Provider proposes and implements an acceptable measuring tool. Acceptance not to be unreasonable denied by GlobalPharma.</w:t>
      </w:r>
    </w:p>
    <w:p>
      <w:pPr>
        <w:pStyle w:val="BodyText"/>
        <w:rPr>
          <w:lang w:val="en-GB"/>
        </w:rPr>
      </w:pPr>
      <w:r>
        <w:rPr>
          <w:lang w:val="en-GB"/>
        </w:rPr>
        <w:t>If the Service Provider fails to measure Service-Level Performance for a Critical Service Level so that it is not possible to confirm whether the Critical Service Level has been achieved then, unless such failure to measure was excused in writing by GlobalPharma, the Service Level Performance for the Service Level shall be deemed to be 1 percent less than the Minimum Service Level value for that Critical Service Level and that value will be used in all Earnback calculations.</w:t>
      </w:r>
    </w:p>
    <w:p>
      <w:pPr>
        <w:pStyle w:val="BodyText"/>
        <w:rPr>
          <w:lang w:val="en-GB"/>
        </w:rPr>
      </w:pPr>
      <w:r>
        <w:rPr>
          <w:lang w:val="en-GB"/>
        </w:rPr>
      </w:r>
    </w:p>
    <w:p>
      <w:pPr>
        <w:pStyle w:val="Heading1Numbered"/>
        <w:numPr>
          <w:ilvl w:val="0"/>
          <w:numId w:val="12"/>
        </w:numPr>
        <w:ind w:hanging="0" w:start="0"/>
        <w:rPr>
          <w:lang w:val="en-GB"/>
        </w:rPr>
      </w:pPr>
      <w:bookmarkStart w:id="6" w:name="__RefHeading___Toc157774296"/>
      <w:bookmarkEnd w:id="6"/>
      <w:r>
        <w:rPr>
          <w:lang w:val="en-GB"/>
        </w:rPr>
        <w:t>Reporting</w:t>
      </w:r>
    </w:p>
    <w:p>
      <w:pPr>
        <w:pStyle w:val="BodyText"/>
        <w:rPr>
          <w:lang w:val="en-GB"/>
        </w:rPr>
      </w:pPr>
      <w:r>
        <w:rPr>
          <w:lang w:val="en-GB"/>
        </w:rPr>
        <w:t>The Service Provider shall provide to GlobalPharma, as part of the Service Provider’s monthly performance reports, a set of soft-copy reports to verify the Service Provider's performance and compliance with the Service Levels and, until all Critical Deliverables are received and approved by GlobalPharma, the Critical Deliverables.</w:t>
      </w:r>
    </w:p>
    <w:p>
      <w:pPr>
        <w:pStyle w:val="BodyText"/>
        <w:rPr>
          <w:lang w:val="en-GB"/>
        </w:rPr>
      </w:pPr>
      <w:r>
        <w:rPr>
          <w:lang w:val="en-GB"/>
        </w:rPr>
        <w:t>The Service Provider shall provide detailed supporting information for each report to GlobalPharma in machine-readable form suitable for use on a personal computer.  The data and detailed supporting information shall be GlobalPharma’s Confidential Information, and GlobalPharma may access such information online and in real-time, where technically feasible, at any time during the Term.</w:t>
      </w:r>
    </w:p>
    <w:p>
      <w:pPr>
        <w:pStyle w:val="Heading1Numbered"/>
        <w:numPr>
          <w:ilvl w:val="0"/>
          <w:numId w:val="12"/>
        </w:numPr>
        <w:ind w:hanging="0" w:start="0"/>
        <w:rPr>
          <w:lang w:val="en-GB"/>
        </w:rPr>
      </w:pPr>
      <w:bookmarkStart w:id="7" w:name="__RefHeading___Toc157774297"/>
      <w:bookmarkEnd w:id="7"/>
      <w:r>
        <w:rPr>
          <w:lang w:val="en-GB"/>
        </w:rPr>
        <w:t>Service-level credits</w:t>
      </w:r>
    </w:p>
    <w:p>
      <w:pPr>
        <w:pStyle w:val="BodyText"/>
        <w:rPr>
          <w:lang w:val="en-GB"/>
        </w:rPr>
      </w:pPr>
      <w:r>
        <w:rPr>
          <w:lang w:val="en-GB"/>
        </w:rPr>
        <w:t>In the event of a Service-Level Default, the Service Provider shall provide GlobalPharma credits as defined below:</w:t>
      </w:r>
    </w:p>
    <w:p>
      <w:pPr>
        <w:pStyle w:val="TableLevel1Numbered"/>
        <w:numPr>
          <w:ilvl w:val="0"/>
          <w:numId w:val="8"/>
        </w:numPr>
        <w:ind w:hanging="0" w:start="0"/>
        <w:rPr>
          <w:lang w:val="en-GB"/>
        </w:rPr>
      </w:pPr>
      <w:r>
        <w:rPr>
          <w:lang w:val="en-GB"/>
        </w:rPr>
        <w:t>Subject to Item 5 and Sections 6 and 7, a Service-Level Credit shall be payable if the Service Provider’s level of performance for a Critical Service Level either:</w:t>
      </w:r>
    </w:p>
    <w:p>
      <w:pPr>
        <w:pStyle w:val="TableLevel2Numbered"/>
        <w:numPr>
          <w:ilvl w:val="1"/>
          <w:numId w:val="8"/>
        </w:numPr>
        <w:tabs>
          <w:tab w:val="clear" w:pos="720"/>
          <w:tab w:val="left" w:pos="1440" w:leader="none"/>
        </w:tabs>
        <w:ind w:hanging="504" w:start="1260" w:end="0"/>
        <w:rPr>
          <w:lang w:val="en-GB"/>
        </w:rPr>
      </w:pPr>
      <w:bookmarkStart w:id="8" w:name="_Ref99769826"/>
      <w:r>
        <w:rPr>
          <w:lang w:val="en-GB"/>
        </w:rPr>
        <w:t>Fails to meet the applicable Expected Service Level (but does not fail to meet the applicable Minimum Service Level) for a month and such failure is the fourth (or more) such failure to meet such Expected Service Level for a month within a rolling 12-month period (an “Expected Service-Level Default”); or</w:t>
      </w:r>
      <w:bookmarkEnd w:id="8"/>
    </w:p>
    <w:p>
      <w:pPr>
        <w:pStyle w:val="TableLevel2Numbered"/>
        <w:numPr>
          <w:ilvl w:val="1"/>
          <w:numId w:val="8"/>
        </w:numPr>
        <w:tabs>
          <w:tab w:val="clear" w:pos="720"/>
          <w:tab w:val="left" w:pos="1440" w:leader="none"/>
        </w:tabs>
        <w:ind w:hanging="504" w:start="1260" w:end="0"/>
        <w:rPr>
          <w:lang w:val="en-GB"/>
        </w:rPr>
      </w:pPr>
      <w:bookmarkStart w:id="9" w:name="_Ref99770410"/>
      <w:r>
        <w:rPr>
          <w:lang w:val="en-GB"/>
        </w:rPr>
        <w:t>Fails to meet the applicable Minimum Service Level in respect of any month (a “Minimum Service-Level Default”).</w:t>
      </w:r>
      <w:bookmarkEnd w:id="9"/>
    </w:p>
    <w:p>
      <w:pPr>
        <w:pStyle w:val="TableLevel1Numbered"/>
        <w:numPr>
          <w:ilvl w:val="0"/>
          <w:numId w:val="8"/>
        </w:numPr>
        <w:ind w:hanging="0" w:start="0"/>
        <w:rPr>
          <w:lang w:val="en-GB"/>
        </w:rPr>
      </w:pPr>
      <w:r>
        <w:rPr>
          <w:lang w:val="en-GB"/>
        </w:rPr>
        <w:t>Service-Level Credits shall not apply to failures to meet Key Measurements.  However, if the Service Provider fails to meet the applicable Minimum Service Level, the Service Provider shall provide GlobalPharma with a written plan for improving the Service Provider’s performance to satisfy the Key Measurement within thirty (30) calendar days of the failure to meet Minimum Service Level.  The plan shall be subject to GlobalPharma’s approval, not to be unreasonably withheld.  The Service Provider shall promptly implement such plan once it has been approved by GlobalPharma.</w:t>
      </w:r>
    </w:p>
    <w:p>
      <w:pPr>
        <w:pStyle w:val="TableLevel1Numbered"/>
        <w:numPr>
          <w:ilvl w:val="0"/>
          <w:numId w:val="8"/>
        </w:numPr>
        <w:ind w:hanging="0" w:start="0"/>
        <w:rPr>
          <w:lang w:val="en-GB"/>
        </w:rPr>
      </w:pPr>
      <w:r>
        <w:rPr>
          <w:b/>
          <w:lang w:val="en-GB"/>
        </w:rPr>
        <w:t>Attachment 3-A (Service Levels Matrix) to this Exhibit sets forth the information required to calculate the Service-Level Credit in the event of a Service-Level Default. For each Service-Level Default, the Service Provider shall pay to GlobalPharma, subject to Item 5 below, a Service-Level Credit that will be computed in accordance with the following formula:</w:t>
      </w:r>
      <w:r>
        <w:rPr>
          <w:lang w:val="en-GB"/>
        </w:rPr>
      </w:r>
    </w:p>
    <w:p>
      <w:pPr>
        <w:pStyle w:val="Normal"/>
        <w:ind w:start="1440" w:end="0"/>
        <w:rPr>
          <w:b/>
          <w:lang w:val="en-GB"/>
        </w:rPr>
      </w:pPr>
      <w:r>
        <w:rPr>
          <w:b/>
          <w:lang w:val="en-GB"/>
        </w:rPr>
        <w:t>Service-Level Credit = A   x   B   x   C</w:t>
      </w:r>
    </w:p>
    <w:p>
      <w:pPr>
        <w:pStyle w:val="Normal"/>
        <w:ind w:start="1440" w:end="0"/>
        <w:rPr>
          <w:b/>
          <w:bCs/>
          <w:lang w:val="en-GB"/>
        </w:rPr>
      </w:pPr>
      <w:r>
        <w:rPr>
          <w:b/>
          <w:bCs/>
          <w:lang w:val="en-GB"/>
        </w:rPr>
        <w:t>Where:</w:t>
      </w:r>
    </w:p>
    <w:p>
      <w:pPr>
        <w:pStyle w:val="ReverseIndent"/>
        <w:tabs>
          <w:tab w:val="clear" w:pos="720"/>
          <w:tab w:val="left" w:pos="685" w:leader="none"/>
        </w:tabs>
        <w:ind w:hanging="0" w:start="2160" w:end="0"/>
        <w:rPr/>
      </w:pPr>
      <w:r>
        <w:rPr>
          <w:b/>
          <w:lang w:val="en-GB"/>
        </w:rPr>
        <w:t>A</w:t>
      </w:r>
      <w:r>
        <w:rPr>
          <w:lang w:val="en-GB"/>
        </w:rPr>
        <w:t xml:space="preserve"> = The Allocation of the Pool Percentage specified for the Performance Category in which the Service-Level Default occurred as shown in </w:t>
      </w:r>
      <w:r>
        <w:rPr>
          <w:b/>
          <w:lang w:val="en-GB"/>
        </w:rPr>
        <w:t>Attachment 3-A</w:t>
      </w:r>
      <w:r>
        <w:rPr>
          <w:lang w:val="en-GB"/>
        </w:rPr>
        <w:t xml:space="preserve"> to this Exhibit.</w:t>
      </w:r>
    </w:p>
    <w:p>
      <w:pPr>
        <w:pStyle w:val="ReverseIndent"/>
        <w:ind w:hanging="0" w:start="2160" w:end="0"/>
        <w:rPr/>
      </w:pPr>
      <w:r>
        <w:rPr>
          <w:b/>
          <w:lang w:val="en-GB"/>
        </w:rPr>
        <w:t>B</w:t>
      </w:r>
      <w:r>
        <w:rPr>
          <w:lang w:val="en-GB"/>
        </w:rPr>
        <w:t xml:space="preserve"> = The Service-Level Credit Allocation Percentage for which the Service-Level Default occurred as shown in </w:t>
      </w:r>
      <w:r>
        <w:rPr>
          <w:b/>
          <w:lang w:val="en-GB"/>
        </w:rPr>
        <w:t>Attachment 3-A</w:t>
      </w:r>
      <w:r>
        <w:rPr>
          <w:lang w:val="en-GB"/>
        </w:rPr>
        <w:t xml:space="preserve"> to this Exhibit.</w:t>
      </w:r>
    </w:p>
    <w:p>
      <w:pPr>
        <w:pStyle w:val="TableText"/>
        <w:ind w:firstLine="685" w:start="1440" w:end="0"/>
        <w:jc w:val="both"/>
        <w:rPr/>
      </w:pPr>
      <w:r>
        <w:rPr>
          <w:b/>
          <w:lang w:val="en-GB"/>
        </w:rPr>
        <w:t>C</w:t>
      </w:r>
      <w:r>
        <w:rPr>
          <w:lang w:val="en-GB"/>
        </w:rPr>
        <w:t xml:space="preserve"> = The At-Risk Amount. </w:t>
      </w:r>
    </w:p>
    <w:p>
      <w:pPr>
        <w:pStyle w:val="BodyText"/>
        <w:ind w:start="1440" w:end="0"/>
        <w:rPr/>
      </w:pPr>
      <w:r>
        <w:rPr>
          <w:lang w:val="en-GB"/>
        </w:rPr>
        <w:t>For example, assume that the Service Provider fails to meet the Minimum Service Level for a Critical Service Level, the Service Provider’s monthly invoice amount for the month for that country in which the Service-Level Default occurred was $100,000 and that the At-Risk Amount was 12% of the monthly invoice amount.</w:t>
      </w:r>
    </w:p>
    <w:p>
      <w:pPr>
        <w:pStyle w:val="BodyText"/>
        <w:ind w:start="1440" w:end="0"/>
        <w:rPr>
          <w:lang w:val="en-GB"/>
        </w:rPr>
      </w:pPr>
      <w:r>
        <w:rPr>
          <w:lang w:val="en-GB"/>
        </w:rPr>
        <w:t>Additionally, assume that the Allocation of Pool Percentage for the Performance Category of such Critical Service Level is 50% and that its Service-Level Credit Allocation Percentage is 40%.  The Service-Level Credit due to GlobalPharma for such Service-Level Default would be computed as follows:</w:t>
      </w:r>
    </w:p>
    <w:p>
      <w:pPr>
        <w:pStyle w:val="TableText"/>
        <w:ind w:firstLine="685" w:start="1440" w:end="0"/>
        <w:jc w:val="both"/>
        <w:rPr/>
      </w:pPr>
      <w:r>
        <w:rPr>
          <w:b/>
          <w:lang w:val="en-GB"/>
        </w:rPr>
        <w:t>A</w:t>
      </w:r>
      <w:r>
        <w:rPr>
          <w:lang w:val="en-GB"/>
        </w:rPr>
        <w:t xml:space="preserve">  =  50% (the Allocation of Pool Percentage) </w:t>
      </w:r>
    </w:p>
    <w:p>
      <w:pPr>
        <w:pStyle w:val="BodyText"/>
        <w:ind w:start="1440" w:end="0"/>
        <w:rPr>
          <w:lang w:val="en-GB"/>
        </w:rPr>
      </w:pPr>
      <w:r>
        <w:rPr>
          <w:lang w:val="en-GB"/>
        </w:rPr>
        <w:t>Multiplied by</w:t>
      </w:r>
    </w:p>
    <w:p>
      <w:pPr>
        <w:pStyle w:val="TableText"/>
        <w:ind w:firstLine="685" w:start="1440" w:end="0"/>
        <w:jc w:val="both"/>
        <w:rPr/>
      </w:pPr>
      <w:r>
        <w:rPr>
          <w:b/>
          <w:lang w:val="en-GB"/>
        </w:rPr>
        <w:t>B</w:t>
      </w:r>
      <w:r>
        <w:rPr>
          <w:lang w:val="en-GB"/>
        </w:rPr>
        <w:t xml:space="preserve">  =  40% (the Service-Level Credit Allocation</w:t>
      </w:r>
    </w:p>
    <w:p>
      <w:pPr>
        <w:pStyle w:val="BodyText"/>
        <w:ind w:start="1440" w:end="0"/>
        <w:rPr>
          <w:lang w:val="en-GB"/>
        </w:rPr>
      </w:pPr>
      <w:r>
        <w:rPr>
          <w:lang w:val="en-GB"/>
        </w:rPr>
        <w:t>Multiplied by</w:t>
      </w:r>
    </w:p>
    <w:p>
      <w:pPr>
        <w:pStyle w:val="TableText"/>
        <w:ind w:start="2160" w:end="0"/>
        <w:jc w:val="both"/>
        <w:rPr/>
      </w:pPr>
      <w:r>
        <w:rPr>
          <w:b/>
          <w:lang w:val="en-GB"/>
        </w:rPr>
        <w:t>C</w:t>
      </w:r>
      <w:r>
        <w:rPr>
          <w:lang w:val="en-GB"/>
        </w:rPr>
        <w:t xml:space="preserve"> =  $12,000 (twelve percent (12%) of $100,000, Service Provider’s Monthly Invoice Amount for the month during which the Service-Level Default occurred). </w:t>
      </w:r>
    </w:p>
    <w:p>
      <w:pPr>
        <w:pStyle w:val="ReverseIndent"/>
        <w:ind w:start="1440" w:end="0"/>
        <w:rPr>
          <w:lang w:val="en-GB"/>
        </w:rPr>
      </w:pPr>
      <w:r>
        <w:rPr>
          <w:lang w:val="en-GB"/>
        </w:rPr>
      </w:r>
    </w:p>
    <w:p>
      <w:pPr>
        <w:pStyle w:val="TableText"/>
        <w:ind w:firstLine="720" w:start="1440" w:end="0"/>
        <w:rPr>
          <w:lang w:val="en-GB"/>
        </w:rPr>
      </w:pPr>
      <w:r>
        <w:rPr>
          <w:lang w:val="en-GB"/>
        </w:rPr>
        <w:t>=  $2,4000 (the amount of the Service-Level Credit)</w:t>
        <w:tab/>
      </w:r>
    </w:p>
    <w:p>
      <w:pPr>
        <w:pStyle w:val="TableText"/>
        <w:tabs>
          <w:tab w:val="clear" w:pos="720"/>
          <w:tab w:val="left" w:pos="4305" w:leader="none"/>
          <w:tab w:val="left" w:pos="9655" w:leader="none"/>
        </w:tabs>
        <w:ind w:start="-245" w:end="0"/>
        <w:rPr>
          <w:rFonts w:ascii="Arial" w:hAnsi="Arial" w:cs="Arial"/>
          <w:lang w:val="en-GB"/>
        </w:rPr>
      </w:pPr>
      <w:r>
        <w:rPr>
          <w:rFonts w:cs="Arial" w:ascii="Arial" w:hAnsi="Arial"/>
          <w:lang w:val="en-GB"/>
        </w:rPr>
        <w:tab/>
      </w:r>
    </w:p>
    <w:p>
      <w:pPr>
        <w:pStyle w:val="TableLevel1Numbered"/>
        <w:numPr>
          <w:ilvl w:val="0"/>
          <w:numId w:val="8"/>
        </w:numPr>
        <w:ind w:hanging="0" w:start="0"/>
        <w:rPr>
          <w:lang w:val="en-GB"/>
        </w:rPr>
      </w:pPr>
      <w:r>
        <w:rPr>
          <w:lang w:val="en-GB"/>
        </w:rPr>
        <w:t xml:space="preserve">Subject to Item 5, if more than one Service-Level Default has occurred in a single month, the sum of the corresponding Service-Level Credits shall be credited to GlobalPharma. </w:t>
      </w:r>
    </w:p>
    <w:p>
      <w:pPr>
        <w:pStyle w:val="TableLevel1Numbered"/>
        <w:numPr>
          <w:ilvl w:val="0"/>
          <w:numId w:val="8"/>
        </w:numPr>
        <w:ind w:hanging="0" w:start="0"/>
        <w:rPr>
          <w:lang w:val="en-GB"/>
        </w:rPr>
      </w:pPr>
      <w:bookmarkStart w:id="10" w:name="_Ref99701495"/>
      <w:r>
        <w:rPr>
          <w:lang w:val="en-GB"/>
        </w:rPr>
        <w:t>In no event shall the amount of Service-Level Credits credited to GlobalPharma with respect to all Service-Level Defaults occurring in a single month exceed, in total, 12% of the Monthly Charges for that month (the “At-Risk Amount”) for that country.</w:t>
        <w:tab/>
      </w:r>
      <w:r>
        <w:rPr>
          <w:b/>
          <w:lang w:val="en-GB"/>
        </w:rPr>
      </w:r>
      <w:r>
        <w:rPr>
          <w:lang w:val="en-GB"/>
        </w:rPr>
      </w:r>
      <w:bookmarkEnd w:id="10"/>
      <w:r>
        <w:rPr>
          <w:lang w:val="en-GB"/>
        </w:rPr>
      </w:r>
    </w:p>
    <w:p>
      <w:pPr>
        <w:pStyle w:val="TableLevel2Numbered"/>
        <w:numPr>
          <w:ilvl w:val="0"/>
          <w:numId w:val="0"/>
        </w:numPr>
        <w:ind w:hanging="0" w:start="1080" w:end="0"/>
        <w:rPr>
          <w:lang w:val="en-GB"/>
        </w:rPr>
      </w:pPr>
      <w:r>
        <w:rPr>
          <w:lang w:val="en-GB"/>
        </w:rPr>
        <w:t>No one Critical Service Level should be allocated an unreasonably higher percentage than other Critical Service Levels. This is to avoid the imbalanced allocation of the allocation pool unless mutually agreed by both Parties.</w:t>
      </w:r>
    </w:p>
    <w:p>
      <w:pPr>
        <w:pStyle w:val="TableLevel1Numbered"/>
        <w:numPr>
          <w:ilvl w:val="0"/>
          <w:numId w:val="8"/>
        </w:numPr>
        <w:ind w:hanging="0" w:start="0"/>
        <w:rPr>
          <w:lang w:val="en-GB"/>
        </w:rPr>
      </w:pPr>
      <w:r>
        <w:rPr>
          <w:lang w:val="en-GB"/>
        </w:rPr>
        <w:t>The total amount of Service-Level Credits that the Service Provider shall be obliged to pay to GlobalPharma, with respect to Service-Level Defaults occurring each month (subject to Earnback), shall be reflected on the memo invoice that contains charges for the month during which the Service-Level Default(s) giving rise to such credit(s) occurred. Although Service-Level Credits shall be shown on each monthly invoice, the credits shall be payable to GlobalPharma on a contract year basis.</w:t>
      </w:r>
    </w:p>
    <w:p>
      <w:pPr>
        <w:pStyle w:val="TableLevel1Numbered"/>
        <w:numPr>
          <w:ilvl w:val="0"/>
          <w:numId w:val="8"/>
        </w:numPr>
        <w:ind w:hanging="0" w:start="0"/>
        <w:rPr>
          <w:lang w:val="en-GB"/>
        </w:rPr>
      </w:pPr>
      <w:r>
        <w:rPr>
          <w:lang w:val="en-GB"/>
        </w:rPr>
        <w:t>If a single incident results in the failure of the Service Provider to meet more than one Minimum Service Level, GlobalPharma shall have the right to select any one of such multiple Minimum Service-Level Defaults for which it shall be entitled to receive a Service-Level Credit.  GlobalPharma shall not be entitled to a Service-Level Credit for the other Minimum Service-Level Defaults.</w:t>
      </w:r>
    </w:p>
    <w:p>
      <w:pPr>
        <w:pStyle w:val="TableLevel1Numbered"/>
        <w:numPr>
          <w:ilvl w:val="0"/>
          <w:numId w:val="8"/>
        </w:numPr>
        <w:ind w:hanging="0" w:start="0"/>
        <w:rPr>
          <w:lang w:val="en-GB"/>
        </w:rPr>
      </w:pPr>
      <w:r>
        <w:rPr>
          <w:lang w:val="en-GB"/>
        </w:rPr>
        <w:t>The Service Provider acknowledges and agrees that the Service-Level Credits shall not be deemed or construed to be liquidated damages or a sole and exclusive remedy or in derogation of any other rights and remedies GlobalPharma has hereunder or under the Agreement.</w:t>
      </w:r>
    </w:p>
    <w:p>
      <w:pPr>
        <w:pStyle w:val="Heading1Numbered"/>
        <w:numPr>
          <w:ilvl w:val="0"/>
          <w:numId w:val="12"/>
        </w:numPr>
        <w:ind w:hanging="0" w:start="0"/>
        <w:rPr>
          <w:lang w:val="en-GB"/>
        </w:rPr>
      </w:pPr>
      <w:bookmarkStart w:id="11" w:name="__RefHeading___Toc157774298"/>
      <w:bookmarkEnd w:id="11"/>
      <w:r>
        <w:rPr>
          <w:lang w:val="en-GB"/>
        </w:rPr>
        <w:t>Exceptions</w:t>
      </w:r>
    </w:p>
    <w:p>
      <w:pPr>
        <w:pStyle w:val="TableLevel1Numbered"/>
        <w:numPr>
          <w:ilvl w:val="0"/>
          <w:numId w:val="8"/>
        </w:numPr>
        <w:ind w:hanging="0" w:start="0"/>
        <w:rPr>
          <w:lang w:val="en-GB"/>
        </w:rPr>
      </w:pPr>
      <w:r>
        <w:rPr>
          <w:lang w:val="en-GB"/>
        </w:rPr>
        <w:t>If any events or periods that are measured as part of a Service Level are not successfully achieved in accordance with the relevant performance standard specified in the Service Level and the Service Provider demonstrates that such failure is directly caused by any of the following, then such events or periods shall be disregarded for the purpose of calculating the relevant Service Level (and shall be excluded from both the numerator and the denominator for the purposes of calculating whether the Service Level has been achieved):</w:t>
      </w:r>
    </w:p>
    <w:p>
      <w:pPr>
        <w:pStyle w:val="TableLevel2Numbered"/>
        <w:numPr>
          <w:ilvl w:val="1"/>
          <w:numId w:val="8"/>
        </w:numPr>
        <w:tabs>
          <w:tab w:val="clear" w:pos="720"/>
          <w:tab w:val="left" w:pos="1260" w:leader="none"/>
        </w:tabs>
        <w:ind w:hanging="540" w:start="1260" w:end="0"/>
        <w:rPr>
          <w:lang w:val="en-GB"/>
        </w:rPr>
      </w:pPr>
      <w:r>
        <w:rPr>
          <w:lang w:val="en-GB"/>
        </w:rPr>
        <w:t>GlobalPharma’s (or a GlobalPharma Third-Party Vendor’s) breaches of this Agreement.</w:t>
      </w:r>
    </w:p>
    <w:p>
      <w:pPr>
        <w:pStyle w:val="TableLevel2Numbered"/>
        <w:numPr>
          <w:ilvl w:val="1"/>
          <w:numId w:val="8"/>
        </w:numPr>
        <w:tabs>
          <w:tab w:val="clear" w:pos="720"/>
          <w:tab w:val="left" w:pos="1260" w:leader="none"/>
        </w:tabs>
        <w:ind w:hanging="540" w:start="1260" w:end="0"/>
        <w:rPr>
          <w:lang w:val="en-GB"/>
        </w:rPr>
      </w:pPr>
      <w:r>
        <w:rPr>
          <w:lang w:val="en-GB"/>
        </w:rPr>
        <w:t>Infringements of Third-Party proprietary rights by GlobalPharma or a GlobalPharma Third-Party Vendor.</w:t>
        <w:tab/>
        <w:tab/>
      </w:r>
    </w:p>
    <w:p>
      <w:pPr>
        <w:pStyle w:val="TableLevel2Numbered"/>
        <w:numPr>
          <w:ilvl w:val="1"/>
          <w:numId w:val="8"/>
        </w:numPr>
        <w:tabs>
          <w:tab w:val="clear" w:pos="720"/>
          <w:tab w:val="left" w:pos="1260" w:leader="none"/>
        </w:tabs>
        <w:ind w:hanging="540" w:start="1260" w:end="0"/>
        <w:rPr>
          <w:lang w:val="en-GB"/>
        </w:rPr>
      </w:pPr>
      <w:r>
        <w:rPr>
          <w:lang w:val="en-GB"/>
        </w:rPr>
        <w:t>Wilful misconduct or violations of law by GlobalPharma or a GlobalPharma Third-Party Vendor.</w:t>
      </w:r>
    </w:p>
    <w:p>
      <w:pPr>
        <w:pStyle w:val="TableLevel2Numbered"/>
        <w:numPr>
          <w:ilvl w:val="1"/>
          <w:numId w:val="8"/>
        </w:numPr>
        <w:tabs>
          <w:tab w:val="clear" w:pos="720"/>
          <w:tab w:val="left" w:pos="1260" w:leader="none"/>
        </w:tabs>
        <w:ind w:hanging="540" w:start="1260" w:end="0"/>
        <w:rPr>
          <w:lang w:val="en-GB"/>
        </w:rPr>
      </w:pPr>
      <w:r>
        <w:rPr>
          <w:lang w:val="en-GB"/>
        </w:rPr>
        <w:t>Service or resource reductions requested or approved by GlobalPharma and agreed to by the Parties through the Change Control procedures; provided that the Service Provider has previously notified GlobalPharma in writing as part of such Change Control procedures that the implementation of such request would result in such failure to meet the Service Level.</w:t>
      </w:r>
    </w:p>
    <w:p>
      <w:pPr>
        <w:pStyle w:val="TableLevel2Numbered"/>
        <w:numPr>
          <w:ilvl w:val="1"/>
          <w:numId w:val="8"/>
        </w:numPr>
        <w:tabs>
          <w:tab w:val="clear" w:pos="720"/>
          <w:tab w:val="left" w:pos="1260" w:leader="none"/>
        </w:tabs>
        <w:ind w:hanging="540" w:start="1260" w:end="0"/>
        <w:rPr>
          <w:lang w:val="en-GB"/>
        </w:rPr>
      </w:pPr>
      <w:r>
        <w:rPr>
          <w:lang w:val="en-GB"/>
        </w:rPr>
        <w:t>Failure to conduct repair on equipment that has been identified and agreed in writing by GlobalPharma to be unserviceable equipment. Such agreement shall have been made identifying the equipment resource unit as unserviceable equipment prior to any failure incident qualifying as an exception.</w:t>
      </w:r>
    </w:p>
    <w:p>
      <w:pPr>
        <w:pStyle w:val="TableLevel2Numbered"/>
        <w:numPr>
          <w:ilvl w:val="1"/>
          <w:numId w:val="8"/>
        </w:numPr>
        <w:tabs>
          <w:tab w:val="clear" w:pos="720"/>
          <w:tab w:val="left" w:pos="1260" w:leader="none"/>
        </w:tabs>
        <w:ind w:hanging="540" w:start="1260" w:end="0"/>
        <w:rPr>
          <w:lang w:val="en-GB"/>
        </w:rPr>
      </w:pPr>
      <w:r>
        <w:rPr>
          <w:lang w:val="en-GB"/>
        </w:rPr>
        <w:t>Services performed during the execution of the Business Continuity Plan, the execution of which is in support of a GlobalPharma declared disaster (but failure to execute a Business Continuity Plan may constitute a breach of the Agreement).</w:t>
      </w:r>
    </w:p>
    <w:p>
      <w:pPr>
        <w:pStyle w:val="TableLevel2Numbered"/>
        <w:numPr>
          <w:ilvl w:val="1"/>
          <w:numId w:val="8"/>
        </w:numPr>
        <w:tabs>
          <w:tab w:val="clear" w:pos="720"/>
          <w:tab w:val="left" w:pos="1260" w:leader="none"/>
        </w:tabs>
        <w:ind w:hanging="540" w:start="1260" w:end="0"/>
        <w:rPr>
          <w:lang w:val="en-GB"/>
        </w:rPr>
      </w:pPr>
      <w:r>
        <w:rPr>
          <w:lang w:val="en-GB"/>
        </w:rPr>
        <w:t>Services performed during exit period, as mutually agreed by both Parties</w:t>
      </w:r>
    </w:p>
    <w:p>
      <w:pPr>
        <w:pStyle w:val="TableLevel1Numbered"/>
        <w:numPr>
          <w:ilvl w:val="0"/>
          <w:numId w:val="8"/>
        </w:numPr>
        <w:ind w:hanging="0" w:start="0"/>
        <w:rPr>
          <w:lang w:val="en-GB"/>
        </w:rPr>
      </w:pPr>
      <w:r>
        <w:rPr>
          <w:lang w:val="en-GB"/>
        </w:rPr>
        <w:t>For purposes of calculating actual uptime and availability, the scheduled uptime and downtime shall not include any period of downtime that is the result of scheduled time required to perform system maintenance (for example, preventive maintenance, system upgrades, etc.), provided that such time has been mutually agreed between the Parties and is scheduled so as to minimize the impact to GlobalPharma’s business. The Service Provider shall maintain availability during such periods to the extent reasonably practicable.</w:t>
      </w:r>
    </w:p>
    <w:p>
      <w:pPr>
        <w:pStyle w:val="Heading1Numbered"/>
        <w:numPr>
          <w:ilvl w:val="0"/>
          <w:numId w:val="12"/>
        </w:numPr>
        <w:ind w:hanging="0" w:start="0"/>
        <w:rPr>
          <w:lang w:val="en-GB"/>
        </w:rPr>
      </w:pPr>
      <w:bookmarkStart w:id="12" w:name="__RefHeading___Toc157774299"/>
      <w:bookmarkEnd w:id="12"/>
      <w:r>
        <w:rPr>
          <w:lang w:val="en-GB"/>
        </w:rPr>
        <w:t>Earnback</w:t>
      </w:r>
    </w:p>
    <w:p>
      <w:pPr>
        <w:pStyle w:val="BodyText"/>
        <w:rPr>
          <w:lang w:val="en-GB"/>
        </w:rPr>
      </w:pPr>
      <w:r>
        <w:rPr>
          <w:lang w:val="en-GB"/>
        </w:rPr>
        <w:t>The Service Provider shall have Earnback opportunities with respect to Service-Level Credits as follows:</w:t>
      </w:r>
    </w:p>
    <w:p>
      <w:pPr>
        <w:pStyle w:val="TableLevel1Numbered"/>
        <w:numPr>
          <w:ilvl w:val="0"/>
          <w:numId w:val="22"/>
        </w:numPr>
        <w:ind w:hanging="0" w:start="0"/>
        <w:rPr>
          <w:lang w:val="en-GB"/>
        </w:rPr>
      </w:pPr>
      <w:r>
        <w:rPr>
          <w:lang w:val="en-GB"/>
        </w:rPr>
        <w:t>Within fifteen (15) business days after each Contract Year, the Service Provider shall provide a report to GlobalPharma that will include, with respect to each Critical Service Level for which there was a Service-Level Default during the preceding contract year, the following:</w:t>
      </w:r>
    </w:p>
    <w:p>
      <w:pPr>
        <w:pStyle w:val="TableLevel2Numbered"/>
        <w:numPr>
          <w:ilvl w:val="1"/>
          <w:numId w:val="8"/>
        </w:numPr>
        <w:tabs>
          <w:tab w:val="clear" w:pos="720"/>
          <w:tab w:val="left" w:pos="1260" w:leader="none"/>
        </w:tabs>
        <w:ind w:hanging="540" w:start="1260" w:end="0"/>
        <w:rPr>
          <w:lang w:val="en-GB"/>
        </w:rPr>
      </w:pPr>
      <w:r>
        <w:rPr>
          <w:lang w:val="en-GB"/>
        </w:rPr>
        <w:t xml:space="preserve">Statistics on the Service Provider’s average monthly performance during the preceding contract year; </w:t>
      </w:r>
    </w:p>
    <w:p>
      <w:pPr>
        <w:pStyle w:val="TableLevel2Numbered"/>
        <w:numPr>
          <w:ilvl w:val="1"/>
          <w:numId w:val="8"/>
        </w:numPr>
        <w:tabs>
          <w:tab w:val="clear" w:pos="720"/>
          <w:tab w:val="left" w:pos="1260" w:leader="none"/>
        </w:tabs>
        <w:ind w:hanging="540" w:start="1260" w:end="0"/>
        <w:rPr>
          <w:lang w:val="en-GB"/>
        </w:rPr>
      </w:pPr>
      <w:r>
        <w:rPr>
          <w:lang w:val="en-GB"/>
        </w:rPr>
        <w:t>The yearly performance average; and</w:t>
      </w:r>
    </w:p>
    <w:p>
      <w:pPr>
        <w:pStyle w:val="TableLevel2Numbered"/>
        <w:numPr>
          <w:ilvl w:val="1"/>
          <w:numId w:val="8"/>
        </w:numPr>
        <w:tabs>
          <w:tab w:val="clear" w:pos="720"/>
          <w:tab w:val="left" w:pos="1260" w:leader="none"/>
        </w:tabs>
        <w:ind w:hanging="540" w:start="1260" w:end="0"/>
        <w:rPr>
          <w:lang w:val="en-GB"/>
        </w:rPr>
      </w:pPr>
      <w:r>
        <w:rPr>
          <w:lang w:val="en-GB"/>
        </w:rPr>
        <w:t>The total amount of Service-Level Credits imposed for Service-Level Defaults.</w:t>
      </w:r>
    </w:p>
    <w:p>
      <w:pPr>
        <w:pStyle w:val="TableText"/>
        <w:tabs>
          <w:tab w:val="clear" w:pos="720"/>
          <w:tab w:val="left" w:pos="4305" w:leader="none"/>
          <w:tab w:val="left" w:pos="9655" w:leader="none"/>
        </w:tabs>
        <w:rPr>
          <w:rFonts w:ascii="Arial" w:hAnsi="Arial" w:cs="Arial"/>
          <w:lang w:val="en-GB"/>
        </w:rPr>
      </w:pPr>
      <w:r>
        <w:rPr>
          <w:rFonts w:cs="Arial" w:ascii="Arial" w:hAnsi="Arial"/>
          <w:lang w:val="en-GB"/>
        </w:rPr>
      </w:r>
    </w:p>
    <w:p>
      <w:pPr>
        <w:pStyle w:val="TableLevel1Numbered"/>
        <w:numPr>
          <w:ilvl w:val="0"/>
          <w:numId w:val="8"/>
        </w:numPr>
        <w:ind w:hanging="0" w:start="0"/>
        <w:rPr>
          <w:lang w:val="en-GB"/>
        </w:rPr>
      </w:pPr>
      <w:r>
        <w:rPr>
          <w:lang w:val="en-GB"/>
        </w:rPr>
        <w:t>If, during the preceding contract year, the Service Provider achieved a yearly performance average in a Critical Service Level, that was greater than, or equal to, the Expected Service Level in effect for such Critical Service Level during the preceding contract year, then the Service Provider shall be relieved from paying any Service-Level Credits arising from Expected Service Level Defaults assessed during the preceding contract year for such Critical Service Level.</w:t>
      </w:r>
    </w:p>
    <w:p>
      <w:pPr>
        <w:pStyle w:val="TableLevel1Numbered"/>
        <w:numPr>
          <w:ilvl w:val="0"/>
          <w:numId w:val="8"/>
        </w:numPr>
        <w:ind w:hanging="0" w:start="0"/>
        <w:rPr>
          <w:lang w:val="en-GB"/>
        </w:rPr>
      </w:pPr>
      <w:r>
        <w:rPr>
          <w:lang w:val="en-GB"/>
        </w:rPr>
        <w:t>For each contract year, any Service-Level Credits that are not relieved via the Earnback methodology (described in this Section 7) shall be considered Unrelieved Service-Level Credits. The monetary amounts associated with Unrelieved Service-Level Credits shall be credited to GlobalPharma on the monthly invoice reflecting charges for the first month of the contract year immediately following the contract year in which such Unrelieved Service-Level Credits occurred or if there shall be no further invoices, then the Service Provider shall pay the amount of the Unrelieved Service-Level Credits to GlobalPharma within 30 calendar days after the end of the last month of the Term.</w:t>
      </w:r>
    </w:p>
    <w:p>
      <w:pPr>
        <w:pStyle w:val="TableLevel1Numbered"/>
        <w:numPr>
          <w:ilvl w:val="0"/>
          <w:numId w:val="8"/>
        </w:numPr>
        <w:ind w:hanging="0" w:start="0"/>
        <w:rPr>
          <w:lang w:val="en-GB"/>
        </w:rPr>
      </w:pPr>
      <w:r>
        <w:rPr>
          <w:lang w:val="en-GB"/>
        </w:rPr>
        <w:t>If the final contract year is less than twelve (12) months long, the foregoing process shall be undertaken with respect to such shorter contract year.</w:t>
      </w:r>
    </w:p>
    <w:p>
      <w:pPr>
        <w:pStyle w:val="Heading1Numbered"/>
        <w:numPr>
          <w:ilvl w:val="0"/>
          <w:numId w:val="12"/>
        </w:numPr>
        <w:ind w:hanging="0" w:start="0"/>
        <w:jc w:val="both"/>
        <w:rPr>
          <w:lang w:val="en-GB"/>
        </w:rPr>
      </w:pPr>
      <w:bookmarkStart w:id="13" w:name="__RefHeading___Toc157774300"/>
      <w:bookmarkEnd w:id="13"/>
      <w:r>
        <w:rPr>
          <w:lang w:val="en-GB"/>
        </w:rPr>
        <w:t>changes to service levels</w:t>
      </w:r>
    </w:p>
    <w:p>
      <w:pPr>
        <w:pStyle w:val="Heading2Numbered"/>
        <w:numPr>
          <w:ilvl w:val="1"/>
          <w:numId w:val="12"/>
        </w:numPr>
        <w:ind w:hanging="0" w:start="0"/>
        <w:rPr>
          <w:lang w:val="en-GB"/>
        </w:rPr>
      </w:pPr>
      <w:bookmarkStart w:id="14" w:name="__RefHeading___Toc157774301"/>
      <w:r>
        <w:rPr>
          <w:lang w:val="en-GB"/>
        </w:rPr>
        <w:t>Continuous Improvement</w:t>
      </w:r>
      <w:bookmarkEnd w:id="14"/>
      <w:r>
        <w:rPr>
          <w:lang w:val="en-GB"/>
        </w:rPr>
        <w:tab/>
        <w:tab/>
      </w:r>
    </w:p>
    <w:p>
      <w:pPr>
        <w:pStyle w:val="BodyText"/>
        <w:rPr>
          <w:lang w:val="en-GB"/>
        </w:rPr>
      </w:pPr>
      <w:r>
        <w:rPr>
          <w:lang w:val="en-GB"/>
        </w:rPr>
        <w:t>The Parties agree that the Service Levels will be subject to continuous improvement and accordingly the Service Levels shall be modified with effect from the end of each contract year in accordance with the following:</w:t>
        <w:tab/>
      </w:r>
    </w:p>
    <w:p>
      <w:pPr>
        <w:pStyle w:val="BodyText"/>
        <w:rPr/>
      </w:pPr>
      <w:r>
        <w:rPr>
          <w:lang w:val="en-GB"/>
        </w:rPr>
        <w:t xml:space="preserve">Annually, continuous improvement will be applied at 3% for Low Critical Service Levels, 6% for Medium Critical Service Levels and 8% for High Critical Service Levels for both expected and minimum Service Levels and as shown in </w:t>
      </w:r>
      <w:r>
        <w:rPr>
          <w:b/>
          <w:lang w:val="en-GB"/>
        </w:rPr>
        <w:t>Attachment 3-A</w:t>
      </w:r>
      <w:r>
        <w:rPr>
          <w:lang w:val="en-GB"/>
        </w:rPr>
        <w:t xml:space="preserve"> Service Levels</w:t>
      </w:r>
    </w:p>
    <w:p>
      <w:pPr>
        <w:pStyle w:val="TableLevel2Numbered"/>
        <w:numPr>
          <w:ilvl w:val="0"/>
          <w:numId w:val="0"/>
        </w:numPr>
        <w:ind w:hanging="0" w:start="756" w:end="0"/>
        <w:rPr/>
      </w:pPr>
      <w:r>
        <w:rPr>
          <w:lang w:val="en-GB"/>
        </w:rPr>
        <w:t>The addition or substitution of new Critical Service Levels and Key Measurements by GlobalPharma in accordance with this section 8.1 shall be in order to achieve a fair, accurate, and consistent measurement of the Service Provider’s performance of the Services. For example, such additions or substitutions may occur in conjunction with changes to the environment and the introduction of new processes or Software or means of Service delivery; provided, however, that where such Processes or Software or such means of Service delivery is a replacement or upgrade of existing technology, there shall be a presumption of equivalent or improved performance. In addition, no one Critical Service Level should be allocated an unreasonably higher percentage than other Critical Service Levels. This is to avoid the imbalanced allocation of the allocation pool unless mutually agreed by both parties.</w:t>
      </w:r>
      <w:r>
        <w:rPr>
          <w:color w:val="000000"/>
          <w:lang w:val="en-GB"/>
        </w:rPr>
      </w:r>
    </w:p>
    <w:p>
      <w:pPr>
        <w:pStyle w:val="TableLevel1Numbered"/>
        <w:numPr>
          <w:ilvl w:val="0"/>
          <w:numId w:val="0"/>
        </w:numPr>
        <w:ind w:hanging="0" w:start="540" w:end="0"/>
        <w:rPr>
          <w:color w:val="000000"/>
          <w:lang w:val="en-GB"/>
        </w:rPr>
      </w:pPr>
      <w:r>
        <w:rPr>
          <w:color w:val="000000"/>
          <w:lang w:val="en-GB"/>
        </w:rPr>
      </w:r>
    </w:p>
    <w:p>
      <w:pPr>
        <w:pStyle w:val="TableLevel1Numbered"/>
        <w:numPr>
          <w:ilvl w:val="0"/>
          <w:numId w:val="23"/>
        </w:numPr>
        <w:ind w:hanging="0" w:start="0"/>
        <w:rPr>
          <w:lang w:val="en-GB"/>
        </w:rPr>
      </w:pPr>
      <w:r>
        <w:rPr>
          <w:lang w:val="en-GB"/>
        </w:rPr>
        <w:t>All new Service Levels shall:</w:t>
      </w:r>
    </w:p>
    <w:p>
      <w:pPr>
        <w:pStyle w:val="TableLevel2Numbered"/>
        <w:numPr>
          <w:ilvl w:val="1"/>
          <w:numId w:val="8"/>
        </w:numPr>
        <w:tabs>
          <w:tab w:val="clear" w:pos="720"/>
          <w:tab w:val="left" w:pos="1440" w:leader="none"/>
        </w:tabs>
        <w:ind w:hanging="720" w:start="1440" w:end="0"/>
        <w:rPr>
          <w:lang w:val="en-GB"/>
        </w:rPr>
      </w:pPr>
      <w:r>
        <w:rPr>
          <w:lang w:val="en-GB"/>
        </w:rPr>
        <w:t>Be quantifiable, measurable and objective; and</w:t>
      </w:r>
    </w:p>
    <w:p>
      <w:pPr>
        <w:pStyle w:val="TableLevel2Numbered"/>
        <w:numPr>
          <w:ilvl w:val="1"/>
          <w:numId w:val="8"/>
        </w:numPr>
        <w:tabs>
          <w:tab w:val="clear" w:pos="720"/>
          <w:tab w:val="left" w:pos="1440" w:leader="none"/>
        </w:tabs>
        <w:ind w:hanging="720" w:start="1440" w:end="0"/>
        <w:rPr>
          <w:lang w:val="en-GB"/>
        </w:rPr>
      </w:pPr>
      <w:r>
        <w:rPr>
          <w:lang w:val="en-GB"/>
        </w:rPr>
        <w:t>Measure the outcome of a process for which the Service Provider’s responsibilities are clearly defined; and</w:t>
      </w:r>
    </w:p>
    <w:p>
      <w:pPr>
        <w:pStyle w:val="TableLevel2Numbered"/>
        <w:numPr>
          <w:ilvl w:val="1"/>
          <w:numId w:val="8"/>
        </w:numPr>
        <w:tabs>
          <w:tab w:val="clear" w:pos="720"/>
          <w:tab w:val="left" w:pos="1440" w:leader="none"/>
        </w:tabs>
        <w:ind w:hanging="720" w:start="1440" w:end="0"/>
        <w:rPr>
          <w:lang w:val="en-GB"/>
        </w:rPr>
      </w:pPr>
      <w:r>
        <w:rPr>
          <w:lang w:val="en-GB"/>
        </w:rPr>
        <w:t>Have an Expected Service Level and a Minimum Service Level</w:t>
      </w:r>
    </w:p>
    <w:p>
      <w:pPr>
        <w:pStyle w:val="TableLevel1Numbered"/>
        <w:numPr>
          <w:ilvl w:val="0"/>
          <w:numId w:val="8"/>
        </w:numPr>
        <w:ind w:hanging="0" w:start="0"/>
        <w:jc w:val="both"/>
        <w:rPr>
          <w:lang w:val="en-GB"/>
        </w:rPr>
      </w:pPr>
      <w:r>
        <w:rPr>
          <w:lang w:val="en-GB"/>
        </w:rPr>
        <w:t xml:space="preserve">GlobalPharma may send only one notice pursuant to this section 8.1 (which notice may contain multiple changes) each calendar quarter. </w:t>
      </w:r>
    </w:p>
    <w:p>
      <w:pPr>
        <w:pStyle w:val="TableLevel1Numbered"/>
        <w:numPr>
          <w:ilvl w:val="0"/>
          <w:numId w:val="8"/>
        </w:numPr>
        <w:ind w:hanging="0" w:start="0"/>
        <w:rPr>
          <w:lang w:val="en-GB"/>
        </w:rPr>
      </w:pPr>
      <w:r>
        <w:rPr>
          <w:lang w:val="en-GB"/>
        </w:rPr>
        <w:t xml:space="preserve">Following any change: </w:t>
      </w:r>
    </w:p>
    <w:p>
      <w:pPr>
        <w:pStyle w:val="TableLevel2Numbered"/>
        <w:numPr>
          <w:ilvl w:val="1"/>
          <w:numId w:val="8"/>
        </w:numPr>
        <w:tabs>
          <w:tab w:val="clear" w:pos="720"/>
          <w:tab w:val="left" w:pos="1440" w:leader="none"/>
        </w:tabs>
        <w:ind w:hanging="720" w:start="1440" w:end="0"/>
        <w:rPr>
          <w:lang w:val="en-GB"/>
        </w:rPr>
      </w:pPr>
      <w:r>
        <w:rPr>
          <w:lang w:val="en-GB"/>
        </w:rPr>
        <w:t>The sum of the Allocations of Pool Percentage for all the Performance Categories shall continue to equal the Pool Percentage Available for Allocation.</w:t>
      </w:r>
    </w:p>
    <w:p>
      <w:pPr>
        <w:pStyle w:val="TableLevel2Numbered"/>
        <w:numPr>
          <w:ilvl w:val="1"/>
          <w:numId w:val="8"/>
        </w:numPr>
        <w:tabs>
          <w:tab w:val="clear" w:pos="720"/>
          <w:tab w:val="left" w:pos="1440" w:leader="none"/>
        </w:tabs>
        <w:ind w:hanging="720" w:start="1440" w:end="0"/>
        <w:rPr>
          <w:lang w:val="en-GB"/>
        </w:rPr>
      </w:pPr>
      <w:r>
        <w:rPr>
          <w:lang w:val="en-GB"/>
        </w:rPr>
        <w:t>The sum of the Service-Level Credit Allocation Percentages for all Critical Service Levels within each Performance Category shall equal 100%; and</w:t>
      </w:r>
    </w:p>
    <w:p>
      <w:pPr>
        <w:pStyle w:val="TableLevel2Numbered"/>
        <w:numPr>
          <w:ilvl w:val="1"/>
          <w:numId w:val="8"/>
        </w:numPr>
        <w:tabs>
          <w:tab w:val="clear" w:pos="720"/>
          <w:tab w:val="left" w:pos="1440" w:leader="none"/>
        </w:tabs>
        <w:ind w:hanging="720" w:start="1440" w:end="0"/>
        <w:rPr>
          <w:lang w:val="en-GB"/>
        </w:rPr>
      </w:pPr>
      <w:r>
        <w:rPr>
          <w:lang w:val="en-GB"/>
        </w:rPr>
        <w:t>If a Service-Level Credit Allocation Percentage has not been allocated against a Critical Service Level, then the Service-Level Credit Allocation Percentage for such Critical Service Level shall be zero.</w:t>
      </w:r>
    </w:p>
    <w:p>
      <w:pPr>
        <w:pStyle w:val="Heading2Numbered"/>
        <w:numPr>
          <w:ilvl w:val="1"/>
          <w:numId w:val="12"/>
        </w:numPr>
        <w:ind w:hanging="0" w:start="0"/>
        <w:rPr>
          <w:lang w:val="en-GB"/>
        </w:rPr>
      </w:pPr>
      <w:bookmarkStart w:id="15" w:name="__RefHeading___Toc157774302"/>
      <w:r>
        <w:rPr>
          <w:lang w:val="en-GB"/>
        </w:rPr>
        <w:t>Additions, Deletions, Changes and Modifications</w:t>
      </w:r>
      <w:bookmarkEnd w:id="15"/>
      <w:r>
        <w:rPr>
          <w:lang w:val="en-GB"/>
        </w:rPr>
        <w:t xml:space="preserve"> </w:t>
      </w:r>
    </w:p>
    <w:p>
      <w:pPr>
        <w:pStyle w:val="TableLevel1Numbered"/>
        <w:numPr>
          <w:ilvl w:val="0"/>
          <w:numId w:val="24"/>
        </w:numPr>
        <w:ind w:hanging="0" w:start="0"/>
        <w:rPr>
          <w:lang w:val="en-GB"/>
        </w:rPr>
      </w:pPr>
      <w:r>
        <w:rPr>
          <w:lang w:val="en-GB"/>
        </w:rPr>
        <w:t>GlobalPharma may, by sending written notice to the Service Provider at least 90 calendar days prior to the effective date of the change:</w:t>
        <w:tab/>
      </w:r>
    </w:p>
    <w:p>
      <w:pPr>
        <w:pStyle w:val="TableLevel2Numbered"/>
        <w:numPr>
          <w:ilvl w:val="1"/>
          <w:numId w:val="8"/>
        </w:numPr>
        <w:tabs>
          <w:tab w:val="clear" w:pos="720"/>
          <w:tab w:val="left" w:pos="1440" w:leader="none"/>
        </w:tabs>
        <w:ind w:hanging="720" w:start="1440" w:end="0"/>
        <w:rPr>
          <w:lang w:val="en-GB"/>
        </w:rPr>
      </w:pPr>
      <w:r>
        <w:rPr>
          <w:lang w:val="en-GB"/>
        </w:rPr>
        <w:t>Add (based on Section 8.3 – Performance Standards for Additional Service Levels) or delete Service Levels.</w:t>
      </w:r>
    </w:p>
    <w:p>
      <w:pPr>
        <w:pStyle w:val="TableLevel2Numbered"/>
        <w:numPr>
          <w:ilvl w:val="1"/>
          <w:numId w:val="8"/>
        </w:numPr>
        <w:tabs>
          <w:tab w:val="clear" w:pos="720"/>
          <w:tab w:val="left" w:pos="1440" w:leader="none"/>
        </w:tabs>
        <w:ind w:hanging="720" w:start="1440" w:end="0"/>
        <w:rPr>
          <w:lang w:val="en-GB"/>
        </w:rPr>
      </w:pPr>
      <w:r>
        <w:rPr>
          <w:lang w:val="en-GB"/>
        </w:rPr>
        <w:t xml:space="preserve">Change Service Levels from Critical Service Levels to Key Measurements or from Key Measurements to Critical Service Levels based upon </w:t>
      </w:r>
      <w:r>
        <w:rPr>
          <w:b/>
          <w:lang w:val="en-GB"/>
        </w:rPr>
        <w:t>Exhibit 3-A</w:t>
      </w:r>
      <w:r>
        <w:rPr>
          <w:lang w:val="en-GB"/>
        </w:rPr>
        <w:t>, Key Measures CSL Yes or No column.</w:t>
      </w:r>
    </w:p>
    <w:p>
      <w:pPr>
        <w:pStyle w:val="TableLevel2Numbered"/>
        <w:numPr>
          <w:ilvl w:val="1"/>
          <w:numId w:val="8"/>
        </w:numPr>
        <w:tabs>
          <w:tab w:val="clear" w:pos="720"/>
          <w:tab w:val="left" w:pos="1440" w:leader="none"/>
        </w:tabs>
        <w:ind w:hanging="720" w:start="1440" w:end="0"/>
        <w:rPr>
          <w:lang w:val="en-GB"/>
        </w:rPr>
      </w:pPr>
      <w:r>
        <w:rPr>
          <w:lang w:val="en-GB"/>
        </w:rPr>
        <w:t>Modify the Service-Level Credit Allocation Percentages for any Critical Service Levels.</w:t>
      </w:r>
    </w:p>
    <w:p>
      <w:pPr>
        <w:pStyle w:val="TableLevel2Numbered"/>
        <w:numPr>
          <w:ilvl w:val="0"/>
          <w:numId w:val="0"/>
        </w:numPr>
        <w:ind w:hanging="0" w:start="756" w:end="0"/>
        <w:rPr/>
      </w:pPr>
      <w:r>
        <w:rPr>
          <w:lang w:val="en-GB"/>
        </w:rPr>
        <w:t>The addition or substitution of new Critical Service Levels and Key Measurements by GlobalPharma in accordance with this section 8.2 above shall be in order to achieve a fair, accurate, and consistent measurement of the Service Provider’s performance of the Services. For example, such additions or substitutions may occur in conjunction with changes to the environment and the introduction of new processes or Software or means of Service delivery; provided, however, that where such processes or software or such means of Service delivery is a replacement or upgrade of existing technology, there shall be a presumption of equivalent or improved performance. In addition, no one Critical Service Level should be allocated an unreasonably higher percentage than other Critical Service Levels. This is to avoid the imbalanced allocation of the allocation pool unless mutually agreed by both parties.</w:t>
      </w:r>
      <w:r>
        <w:rPr>
          <w:color w:val="000000"/>
          <w:lang w:val="en-GB"/>
        </w:rPr>
      </w:r>
    </w:p>
    <w:p>
      <w:pPr>
        <w:pStyle w:val="TableLevel1Numbered"/>
        <w:numPr>
          <w:ilvl w:val="0"/>
          <w:numId w:val="0"/>
        </w:numPr>
        <w:ind w:hanging="0" w:start="540" w:end="0"/>
        <w:rPr>
          <w:color w:val="000000"/>
          <w:lang w:val="en-GB"/>
        </w:rPr>
      </w:pPr>
      <w:r>
        <w:rPr>
          <w:color w:val="000000"/>
          <w:lang w:val="en-GB"/>
        </w:rPr>
      </w:r>
    </w:p>
    <w:p>
      <w:pPr>
        <w:pStyle w:val="TableLevel1Numbered"/>
        <w:numPr>
          <w:ilvl w:val="0"/>
          <w:numId w:val="8"/>
        </w:numPr>
        <w:ind w:hanging="0" w:start="0"/>
        <w:rPr>
          <w:lang w:val="en-GB"/>
        </w:rPr>
      </w:pPr>
      <w:r>
        <w:rPr>
          <w:lang w:val="en-GB"/>
        </w:rPr>
        <w:t>All new Service Levels shall:</w:t>
      </w:r>
    </w:p>
    <w:p>
      <w:pPr>
        <w:pStyle w:val="TableLevel2Numbered"/>
        <w:numPr>
          <w:ilvl w:val="1"/>
          <w:numId w:val="8"/>
        </w:numPr>
        <w:tabs>
          <w:tab w:val="clear" w:pos="720"/>
          <w:tab w:val="left" w:pos="1440" w:leader="none"/>
        </w:tabs>
        <w:ind w:hanging="720" w:start="1440" w:end="0"/>
        <w:rPr>
          <w:lang w:val="en-GB"/>
        </w:rPr>
      </w:pPr>
      <w:r>
        <w:rPr>
          <w:lang w:val="en-GB"/>
        </w:rPr>
        <w:t>Be quantifiable, measurable and objective; and</w:t>
      </w:r>
    </w:p>
    <w:p>
      <w:pPr>
        <w:pStyle w:val="TableLevel2Numbered"/>
        <w:numPr>
          <w:ilvl w:val="1"/>
          <w:numId w:val="8"/>
        </w:numPr>
        <w:tabs>
          <w:tab w:val="clear" w:pos="720"/>
          <w:tab w:val="left" w:pos="1440" w:leader="none"/>
        </w:tabs>
        <w:ind w:hanging="720" w:start="1440" w:end="0"/>
        <w:rPr>
          <w:lang w:val="en-GB"/>
        </w:rPr>
      </w:pPr>
      <w:r>
        <w:rPr>
          <w:lang w:val="en-GB"/>
        </w:rPr>
        <w:t>Measure the outcome of a process for which  the Service Provider’s responsibilities are clearly defined; and</w:t>
      </w:r>
    </w:p>
    <w:p>
      <w:pPr>
        <w:pStyle w:val="TableLevel2Numbered"/>
        <w:numPr>
          <w:ilvl w:val="1"/>
          <w:numId w:val="8"/>
        </w:numPr>
        <w:tabs>
          <w:tab w:val="clear" w:pos="720"/>
          <w:tab w:val="left" w:pos="1440" w:leader="none"/>
        </w:tabs>
        <w:ind w:hanging="720" w:start="1440" w:end="0"/>
        <w:rPr>
          <w:lang w:val="en-GB"/>
        </w:rPr>
      </w:pPr>
      <w:r>
        <w:rPr>
          <w:lang w:val="en-GB"/>
        </w:rPr>
        <w:t>Have an Expected Service Level and a Minimum Service Level</w:t>
      </w:r>
    </w:p>
    <w:p>
      <w:pPr>
        <w:pStyle w:val="TableLevel1Numbered"/>
        <w:numPr>
          <w:ilvl w:val="0"/>
          <w:numId w:val="8"/>
        </w:numPr>
        <w:ind w:hanging="0" w:start="0"/>
        <w:rPr>
          <w:lang w:val="en-GB"/>
        </w:rPr>
      </w:pPr>
      <w:r>
        <w:rPr>
          <w:lang w:val="en-GB"/>
        </w:rPr>
        <w:t xml:space="preserve">GlobalPharma may send only one notice pursuant to Item 1 (which notice may contain multiple changes) each calendar quarter. </w:t>
      </w:r>
    </w:p>
    <w:p>
      <w:pPr>
        <w:pStyle w:val="TableLevel1Numbered"/>
        <w:numPr>
          <w:ilvl w:val="0"/>
          <w:numId w:val="8"/>
        </w:numPr>
        <w:ind w:hanging="0" w:start="0"/>
        <w:rPr>
          <w:lang w:val="en-GB"/>
        </w:rPr>
      </w:pPr>
      <w:r>
        <w:rPr>
          <w:lang w:val="en-GB"/>
        </w:rPr>
        <w:t xml:space="preserve">Following any change: </w:t>
      </w:r>
    </w:p>
    <w:p>
      <w:pPr>
        <w:pStyle w:val="TableLevel2Numbered"/>
        <w:numPr>
          <w:ilvl w:val="1"/>
          <w:numId w:val="8"/>
        </w:numPr>
        <w:tabs>
          <w:tab w:val="clear" w:pos="720"/>
          <w:tab w:val="left" w:pos="1440" w:leader="none"/>
        </w:tabs>
        <w:ind w:hanging="720" w:start="1440" w:end="0"/>
        <w:rPr>
          <w:lang w:val="en-GB"/>
        </w:rPr>
      </w:pPr>
      <w:r>
        <w:rPr>
          <w:lang w:val="en-GB"/>
        </w:rPr>
        <w:t>The sum of the Allocations of Pool Percentage for all the Performance Categories shall continue to equal the Pool Percentage Available for Allocation.</w:t>
      </w:r>
    </w:p>
    <w:p>
      <w:pPr>
        <w:pStyle w:val="TableLevel2Numbered"/>
        <w:numPr>
          <w:ilvl w:val="1"/>
          <w:numId w:val="8"/>
        </w:numPr>
        <w:tabs>
          <w:tab w:val="clear" w:pos="720"/>
          <w:tab w:val="left" w:pos="1440" w:leader="none"/>
        </w:tabs>
        <w:ind w:hanging="720" w:start="1440" w:end="0"/>
        <w:rPr>
          <w:lang w:val="en-GB"/>
        </w:rPr>
      </w:pPr>
      <w:r>
        <w:rPr>
          <w:lang w:val="en-GB"/>
        </w:rPr>
        <w:t>The sum of the Service-Level Credit Allocation Percentages for all Critical Service Levels within each Performance Category shall equal 100%; and</w:t>
      </w:r>
    </w:p>
    <w:p>
      <w:pPr>
        <w:pStyle w:val="TableLevel2Numbered"/>
        <w:numPr>
          <w:ilvl w:val="1"/>
          <w:numId w:val="8"/>
        </w:numPr>
        <w:tabs>
          <w:tab w:val="clear" w:pos="720"/>
          <w:tab w:val="left" w:pos="1440" w:leader="none"/>
        </w:tabs>
        <w:ind w:hanging="720" w:start="1440" w:end="0"/>
        <w:rPr>
          <w:lang w:val="en-GB"/>
        </w:rPr>
      </w:pPr>
      <w:r>
        <w:rPr>
          <w:lang w:val="en-GB"/>
        </w:rPr>
        <w:t>If a Service-Level Credit Allocation Percentage has not been allocated against a Critical Service Level, then the Service-Level Credit Allocation Percentage for such Critical Service Level shall be zero.</w:t>
      </w:r>
    </w:p>
    <w:p>
      <w:pPr>
        <w:pStyle w:val="Heading2Numbered"/>
        <w:numPr>
          <w:ilvl w:val="1"/>
          <w:numId w:val="12"/>
        </w:numPr>
        <w:ind w:hanging="0" w:start="0"/>
        <w:rPr>
          <w:lang w:val="en-GB"/>
        </w:rPr>
      </w:pPr>
      <w:bookmarkStart w:id="16" w:name="__RefHeading___Toc157774303"/>
      <w:r>
        <w:rPr>
          <w:lang w:val="en-GB"/>
        </w:rPr>
        <w:t>Performance Standards for Additional Service Levels</w:t>
      </w:r>
      <w:bookmarkEnd w:id="16"/>
      <w:r>
        <w:rPr>
          <w:lang w:val="en-GB"/>
        </w:rPr>
        <w:t xml:space="preserve"> </w:t>
      </w:r>
    </w:p>
    <w:p>
      <w:pPr>
        <w:pStyle w:val="BodyLevel1Numbered"/>
        <w:numPr>
          <w:ilvl w:val="0"/>
          <w:numId w:val="10"/>
        </w:numPr>
        <w:ind w:hanging="0" w:start="0"/>
        <w:rPr>
          <w:lang w:val="en-GB"/>
        </w:rPr>
      </w:pPr>
      <w:r>
        <w:rPr>
          <w:lang w:val="en-GB"/>
        </w:rPr>
        <w:t>If GlobalPharma adds a Service Level in accordance with Section 8.2 (Additions, Deletions, Changes and Modifications), the Expected Service Levels and Minimum Service Level commitments for such Service Level shall be agreed by the Parties. Should the Parties not agree, they shall be computed as follows:</w:t>
        <w:tab/>
        <w:tab/>
      </w:r>
    </w:p>
    <w:p>
      <w:pPr>
        <w:pStyle w:val="BodyLevel2Numbered"/>
        <w:numPr>
          <w:ilvl w:val="1"/>
          <w:numId w:val="10"/>
        </w:numPr>
        <w:ind w:hanging="0" w:start="0"/>
        <w:rPr>
          <w:lang w:val="en-GB"/>
        </w:rPr>
      </w:pPr>
      <w:r>
        <w:rPr>
          <w:lang w:val="en-GB"/>
        </w:rPr>
        <w:t xml:space="preserve">If at least six (6) consecutive months of the Service Provider-provided service </w:t>
      </w:r>
      <w:r>
        <w:rPr>
          <w:b/>
          <w:lang w:val="en-GB"/>
        </w:rPr>
        <w:t>measurements exist</w:t>
      </w:r>
      <w:r>
        <w:rPr>
          <w:lang w:val="en-GB"/>
        </w:rPr>
        <w:t xml:space="preserve"> for a particular Service that is being performed by the Service Provider, then:</w:t>
      </w:r>
    </w:p>
    <w:p>
      <w:pPr>
        <w:pStyle w:val="BodyLevel3Numbered"/>
        <w:numPr>
          <w:ilvl w:val="2"/>
          <w:numId w:val="10"/>
        </w:numPr>
        <w:ind w:hanging="0" w:start="0"/>
        <w:rPr>
          <w:lang w:val="en-GB"/>
        </w:rPr>
      </w:pPr>
      <w:r>
        <w:rPr>
          <w:lang w:val="en-GB"/>
        </w:rPr>
        <w:t>The Expected Service Level shall be defined as the mean of such service measurements for the six-month measurement period; and</w:t>
      </w:r>
    </w:p>
    <w:p>
      <w:pPr>
        <w:pStyle w:val="BodyLevel3Numbered"/>
        <w:numPr>
          <w:ilvl w:val="2"/>
          <w:numId w:val="10"/>
        </w:numPr>
        <w:ind w:hanging="0" w:start="0"/>
        <w:rPr>
          <w:lang w:val="en-GB"/>
        </w:rPr>
      </w:pPr>
      <w:r>
        <w:rPr>
          <w:lang w:val="en-GB"/>
        </w:rPr>
        <w:t>The Minimum Service Level shall be defined as the lowest service measurement achieved during the six-month measurement period; or</w:t>
      </w:r>
    </w:p>
    <w:p>
      <w:pPr>
        <w:pStyle w:val="BodyLevel3Numbered"/>
        <w:numPr>
          <w:ilvl w:val="2"/>
          <w:numId w:val="10"/>
        </w:numPr>
        <w:ind w:hanging="0" w:start="0"/>
        <w:rPr>
          <w:lang w:val="en-GB"/>
        </w:rPr>
      </w:pPr>
      <w:r>
        <w:rPr>
          <w:lang w:val="en-GB"/>
        </w:rPr>
        <w:t>If the six months’ of measurements described in sub-section 1.1.1 above do not exist within the existing GlobalPharma and Service Provider applications, then the Parties shall agree within 45 days from this determination how to proceed; or</w:t>
        <w:tab/>
      </w:r>
    </w:p>
    <w:p>
      <w:pPr>
        <w:pStyle w:val="BodyLevel2Numbered"/>
        <w:numPr>
          <w:ilvl w:val="1"/>
          <w:numId w:val="10"/>
        </w:numPr>
        <w:ind w:hanging="0" w:start="0"/>
        <w:rPr>
          <w:lang w:val="en-GB"/>
        </w:rPr>
      </w:pPr>
      <w:r>
        <w:rPr>
          <w:lang w:val="en-GB"/>
        </w:rPr>
        <w:t xml:space="preserve">If the </w:t>
      </w:r>
      <w:r>
        <w:rPr>
          <w:b/>
          <w:lang w:val="en-GB"/>
        </w:rPr>
        <w:t>measurements do not exist</w:t>
      </w:r>
      <w:r>
        <w:rPr>
          <w:lang w:val="en-GB"/>
        </w:rPr>
        <w:t xml:space="preserve"> and the Parties fail to agree in accordance with subsection 1. above, then:</w:t>
      </w:r>
    </w:p>
    <w:p>
      <w:pPr>
        <w:pStyle w:val="BodyLevel3Numbered"/>
        <w:numPr>
          <w:ilvl w:val="2"/>
          <w:numId w:val="10"/>
        </w:numPr>
        <w:ind w:hanging="0" w:start="0"/>
        <w:rPr>
          <w:rFonts w:ascii="Arial" w:hAnsi="Arial" w:cs="Arial"/>
          <w:lang w:val="en-GB"/>
        </w:rPr>
      </w:pPr>
      <w:r>
        <w:rPr>
          <w:lang w:val="en-GB"/>
        </w:rPr>
        <w:t>The Service Provider shall provide and implementation a proposal with costs and timing issued via the Change Control Procedure;</w:t>
      </w:r>
    </w:p>
    <w:p>
      <w:pPr>
        <w:pStyle w:val="BodyLevel4Numbered"/>
        <w:numPr>
          <w:ilvl w:val="3"/>
          <w:numId w:val="10"/>
        </w:numPr>
        <w:ind w:hanging="0" w:start="0"/>
        <w:rPr>
          <w:lang w:val="en-GB"/>
        </w:rPr>
      </w:pPr>
      <w:r>
        <w:rPr>
          <w:lang w:val="en-GB"/>
        </w:rPr>
        <w:t>After six or more actual service-level attainments have been measured (or should have been measured in accordance with the established measurement criteria as defined within this Exhibit), GlobalPharma may at any time in writing require that the Expected Service Level and Minimum Service Level commitments are established in accordance with sub-section 1.1 above;</w:t>
      </w:r>
    </w:p>
    <w:p>
      <w:pPr>
        <w:pStyle w:val="BodyLevel4Numbered"/>
        <w:numPr>
          <w:ilvl w:val="3"/>
          <w:numId w:val="10"/>
        </w:numPr>
        <w:ind w:hanging="0" w:start="0"/>
        <w:rPr>
          <w:lang w:val="en-GB"/>
        </w:rPr>
      </w:pPr>
      <w:r>
        <w:rPr>
          <w:lang w:val="en-GB"/>
        </w:rPr>
        <w:t>If the Service Provider fails to provide one or more of the measurements during the Six-Month Measurement Period to be provided in accordance with the established measurement criteria as defined within this Exhibit, then the missing measurements shall be constructed as follows:</w:t>
      </w:r>
    </w:p>
    <w:p>
      <w:pPr>
        <w:pStyle w:val="BodyLevel4Numbered"/>
        <w:numPr>
          <w:ilvl w:val="3"/>
          <w:numId w:val="20"/>
        </w:numPr>
        <w:tabs>
          <w:tab w:val="clear" w:pos="720"/>
          <w:tab w:val="left" w:pos="3780" w:leader="none"/>
        </w:tabs>
        <w:ind w:hanging="540" w:start="3780" w:end="0"/>
        <w:rPr>
          <w:lang w:val="en-GB"/>
        </w:rPr>
      </w:pPr>
      <w:r>
        <w:rPr>
          <w:lang w:val="en-GB"/>
        </w:rPr>
        <w:t>If one measurement is missing, the missing measurement shall be constructed by using the highest of the six(6) actual measurements; or</w:t>
        <w:tab/>
      </w:r>
    </w:p>
    <w:p>
      <w:pPr>
        <w:pStyle w:val="BodyLevel4Numbered"/>
        <w:numPr>
          <w:ilvl w:val="3"/>
          <w:numId w:val="20"/>
        </w:numPr>
        <w:tabs>
          <w:tab w:val="clear" w:pos="720"/>
          <w:tab w:val="left" w:pos="3780" w:leader="none"/>
        </w:tabs>
        <w:ind w:hanging="540" w:start="3780" w:end="0"/>
        <w:rPr>
          <w:rFonts w:ascii="Arial" w:hAnsi="Arial" w:cs="Arial"/>
          <w:lang w:val="en-GB"/>
        </w:rPr>
      </w:pPr>
      <w:r>
        <w:rPr>
          <w:lang w:val="en-GB"/>
        </w:rPr>
        <w:t>If two (2) or more measurements are missing, the first missing measurement shall be constructed by using the highest of the actual measurements and adding to that measurement 20% of the difference between that measurement and 100% and each of the remaining missing measurements shall be constructed by using the highest of the actual measurements and adding to that measurement 35% of the difference between that measurement and 100%.  For example, if there were seven (7) measurements for a particular Service, and the highest of the seven (7) measurements were 95%, then the measurements for the missing two (2) months would be deemed to be 96.00% (representing 95.00% plus (20% of 5%)) and 96.75% (representing 95.00% plus 35% of 5%)), respectively.</w:t>
      </w:r>
    </w:p>
    <w:p>
      <w:pPr>
        <w:pStyle w:val="BodyLevel2Numbered"/>
        <w:numPr>
          <w:ilvl w:val="1"/>
          <w:numId w:val="10"/>
        </w:numPr>
        <w:ind w:hanging="0" w:start="0"/>
        <w:rPr>
          <w:lang w:val="en-GB"/>
        </w:rPr>
      </w:pPr>
      <w:r>
        <w:rPr>
          <w:lang w:val="en-GB"/>
        </w:rPr>
        <w:t>If the Service Provider has provided 24 monthly measurements in accordance with terms of this Exhibit above and GlobalPharma has not used Item 1 to establish Expected Service Level and Minimum Service Level commitments, then the continued provision of measurements shall be subject to the Parties’ agreement in writing.</w:t>
      </w:r>
    </w:p>
    <w:p>
      <w:pPr>
        <w:pStyle w:val="BodyLevel1Numbered"/>
        <w:numPr>
          <w:ilvl w:val="0"/>
          <w:numId w:val="10"/>
        </w:numPr>
        <w:ind w:hanging="0" w:start="0"/>
        <w:rPr>
          <w:lang w:val="en-GB"/>
        </w:rPr>
      </w:pPr>
      <w:r>
        <w:rPr>
          <w:lang w:val="en-GB"/>
        </w:rPr>
        <w:t xml:space="preserve">Certain calculations specified in this Exhibit assume that perfect performance of each Service Level is 100 percent. If 0 (zero) percent represents perfect performance for a Service Level, then such calculations shall be modified as appropriate for that Service Level. </w:t>
      </w:r>
    </w:p>
    <w:p>
      <w:pPr>
        <w:pStyle w:val="Heading1Numbered"/>
        <w:numPr>
          <w:ilvl w:val="0"/>
          <w:numId w:val="12"/>
        </w:numPr>
        <w:ind w:hanging="0" w:start="0"/>
        <w:jc w:val="both"/>
        <w:rPr>
          <w:lang w:val="en-GB"/>
        </w:rPr>
      </w:pPr>
      <w:bookmarkStart w:id="17" w:name="__RefHeading___Toc157774354"/>
      <w:bookmarkEnd w:id="17"/>
      <w:r>
        <w:rPr>
          <w:lang w:val="en-GB"/>
        </w:rPr>
        <w:t>critical deliverables</w:t>
      </w:r>
    </w:p>
    <w:p>
      <w:pPr>
        <w:pStyle w:val="TableLevel1Numbered"/>
        <w:numPr>
          <w:ilvl w:val="0"/>
          <w:numId w:val="25"/>
        </w:numPr>
        <w:ind w:hanging="0" w:start="0"/>
        <w:rPr>
          <w:lang w:val="en-GB"/>
        </w:rPr>
      </w:pPr>
      <w:r>
        <w:rPr>
          <w:lang w:val="en-GB"/>
        </w:rPr>
        <w:t>Certain of the Service Provider’s obligations under the Agreement are one-time or periodic obligations to deliver Critical Deliverables. Attachment 3-A (Service Levels Matrix) to this Exhibit sets forth the Deliverable Credits that shall be payable by the Service Provider to GlobalPharma in the event the Service Provider fails to deliver any of the Critical Deliverables within the time period relative to the Effective Date, specified in Attachment 3-A (Service Levels Matrix) to this Exhibit.  In this regard:</w:t>
        <w:tab/>
        <w:tab/>
      </w:r>
      <w:r>
        <w:rPr>
          <w:b/>
          <w:lang w:val="en-GB"/>
        </w:rPr>
      </w:r>
      <w:r>
        <w:rPr>
          <w:lang w:val="en-GB"/>
        </w:rPr>
      </w:r>
      <w:r>
        <w:rPr>
          <w:b/>
          <w:lang w:val="en-GB"/>
        </w:rPr>
      </w:r>
      <w:r>
        <w:rPr>
          <w:lang w:val="en-GB"/>
        </w:rPr>
      </w:r>
    </w:p>
    <w:p>
      <w:pPr>
        <w:pStyle w:val="TableLevel2Numbered"/>
        <w:numPr>
          <w:ilvl w:val="1"/>
          <w:numId w:val="8"/>
        </w:numPr>
        <w:tabs>
          <w:tab w:val="clear" w:pos="720"/>
          <w:tab w:val="left" w:pos="1440" w:leader="none"/>
        </w:tabs>
        <w:ind w:hanging="720" w:start="1440" w:end="0"/>
        <w:rPr>
          <w:lang w:val="en-GB"/>
        </w:rPr>
      </w:pPr>
      <w:r>
        <w:rPr>
          <w:lang w:val="en-GB"/>
        </w:rPr>
        <w:t xml:space="preserve">The Service Provider recognizes that its failure to deliver a Critical Deliverable may have a material adverse impact on GlobalPharma and that the damage from such failure is not susceptible of precise determination and the Parties agree that Deliverable Credits, as reasonable pre-estimates of the GlobalPharma’s loss, are liquidated damages and not penalties; </w:t>
      </w:r>
    </w:p>
    <w:p>
      <w:pPr>
        <w:pStyle w:val="TableLevel2Numbered"/>
        <w:numPr>
          <w:ilvl w:val="1"/>
          <w:numId w:val="8"/>
        </w:numPr>
        <w:tabs>
          <w:tab w:val="clear" w:pos="720"/>
          <w:tab w:val="left" w:pos="1440" w:leader="none"/>
        </w:tabs>
        <w:ind w:hanging="720" w:start="1440" w:end="0"/>
        <w:rPr>
          <w:lang w:val="en-GB"/>
        </w:rPr>
      </w:pPr>
      <w:r>
        <w:rPr>
          <w:lang w:val="en-GB"/>
        </w:rPr>
        <w:t>Deliverables obligations shall not be included in the calculation related to the At-Risk Amount previously described in Section 5, item 3; and</w:t>
      </w:r>
    </w:p>
    <w:p>
      <w:pPr>
        <w:pStyle w:val="TableLevel2Numbered"/>
        <w:numPr>
          <w:ilvl w:val="1"/>
          <w:numId w:val="8"/>
        </w:numPr>
        <w:tabs>
          <w:tab w:val="clear" w:pos="720"/>
          <w:tab w:val="left" w:pos="1440" w:leader="none"/>
        </w:tabs>
        <w:ind w:hanging="720" w:start="1440" w:end="0"/>
        <w:rPr>
          <w:lang w:val="en-GB"/>
        </w:rPr>
      </w:pPr>
      <w:r>
        <w:rPr>
          <w:lang w:val="en-GB"/>
        </w:rPr>
        <w:t xml:space="preserve">Critical Deliverables are not Service Levels. </w:t>
      </w:r>
    </w:p>
    <w:p>
      <w:pPr>
        <w:pStyle w:val="TableLevel1Numbered"/>
        <w:numPr>
          <w:ilvl w:val="0"/>
          <w:numId w:val="8"/>
        </w:numPr>
        <w:ind w:hanging="0" w:start="0"/>
        <w:rPr>
          <w:lang w:val="en-GB"/>
        </w:rPr>
      </w:pPr>
      <w:r>
        <w:rPr>
          <w:lang w:val="en-GB"/>
        </w:rPr>
        <w:t xml:space="preserve">The total amount of Deliverable Credits that the Service Provider will be obligated to pay to GlobalPharma shall be reflected on the memo invoice that contains charges for each month during which the Deliverable Credits occurred (For example, the amount of Deliverable Credits payable for failure to deliver any Critical Deliverable(s) in August shall be set forth in the invoice for August charges issued in September). </w:t>
      </w:r>
    </w:p>
    <w:p>
      <w:pPr>
        <w:pStyle w:val="TableLevel1Numbered"/>
        <w:numPr>
          <w:ilvl w:val="0"/>
          <w:numId w:val="8"/>
        </w:numPr>
        <w:ind w:hanging="0" w:start="0"/>
        <w:rPr>
          <w:rFonts w:ascii="Arial" w:hAnsi="Arial" w:cs="Arial"/>
          <w:lang w:val="en-GB"/>
        </w:rPr>
      </w:pPr>
      <w:r>
        <w:rPr>
          <w:lang w:val="en-GB"/>
        </w:rPr>
        <w:t>Unlike Service-Level Credits, Deliverable Credits shall be shown in each monthly invoice as an actual credit to the charges and will not be subject to Earnback.</w:t>
      </w:r>
    </w:p>
    <w:p>
      <w:pPr>
        <w:pStyle w:val="Heading1Numbered"/>
        <w:numPr>
          <w:ilvl w:val="0"/>
          <w:numId w:val="12"/>
        </w:numPr>
        <w:ind w:hanging="0" w:start="0"/>
        <w:rPr>
          <w:lang w:val="en-GB"/>
        </w:rPr>
      </w:pPr>
      <w:bookmarkStart w:id="18" w:name="__RefHeading___Toc157774355"/>
      <w:bookmarkEnd w:id="18"/>
      <w:r>
        <w:rPr>
          <w:lang w:val="en-GB"/>
        </w:rPr>
        <w:t>definitions</w:t>
      </w:r>
    </w:p>
    <w:p>
      <w:pPr>
        <w:pStyle w:val="TableText"/>
        <w:tabs>
          <w:tab w:val="clear" w:pos="720"/>
          <w:tab w:val="left" w:pos="4305" w:leader="none"/>
          <w:tab w:val="left" w:pos="9655" w:leader="none"/>
        </w:tabs>
        <w:rPr/>
      </w:pPr>
      <w:r>
        <w:rPr>
          <w:b/>
          <w:bCs/>
          <w:lang w:val="en-GB"/>
        </w:rPr>
        <w:t>“</w:t>
      </w:r>
      <w:r>
        <w:rPr>
          <w:b/>
          <w:bCs/>
          <w:lang w:val="en-GB"/>
        </w:rPr>
        <w:t>Allocation of Pool Percentage”</w:t>
      </w:r>
      <w:r>
        <w:rPr>
          <w:lang w:val="en-GB"/>
        </w:rPr>
        <w:t xml:space="preserve"> means the portion of the pool percentage available for allocation that is specified for a Performance Category in </w:t>
      </w:r>
      <w:r>
        <w:rPr>
          <w:b/>
          <w:lang w:val="en-GB"/>
        </w:rPr>
        <w:t>Attachment 3-A</w:t>
      </w:r>
      <w:r>
        <w:rPr>
          <w:lang w:val="en-GB"/>
        </w:rPr>
        <w:t xml:space="preserve"> (Service Levels Matrix), as the same may be changed in accordance with Section 8 of Exhibit 3 (Service Levels).</w:t>
      </w:r>
      <w:r>
        <w:rPr>
          <w:b/>
          <w:bCs/>
          <w:lang w:val="en-GB"/>
        </w:rPr>
        <w:tab/>
      </w:r>
      <w:r>
        <w:rPr>
          <w:lang w:val="en-GB"/>
        </w:rPr>
        <w:tab/>
      </w:r>
    </w:p>
    <w:p>
      <w:pPr>
        <w:pStyle w:val="TableText"/>
        <w:tabs>
          <w:tab w:val="clear" w:pos="720"/>
          <w:tab w:val="left" w:pos="4305" w:leader="none"/>
          <w:tab w:val="left" w:pos="9655" w:leader="none"/>
        </w:tabs>
        <w:rPr/>
      </w:pPr>
      <w:r>
        <w:rPr>
          <w:b/>
          <w:bCs/>
          <w:lang w:val="en-GB"/>
        </w:rPr>
        <w:t>“</w:t>
      </w:r>
      <w:r>
        <w:rPr>
          <w:b/>
          <w:bCs/>
          <w:lang w:val="en-GB"/>
        </w:rPr>
        <w:t xml:space="preserve">Critical Service Level” </w:t>
      </w:r>
      <w:r>
        <w:rPr>
          <w:lang w:val="en-GB"/>
        </w:rPr>
        <w:t xml:space="preserve">means those Service Levels specified in </w:t>
      </w:r>
      <w:r>
        <w:rPr>
          <w:b/>
          <w:lang w:val="en-GB"/>
        </w:rPr>
        <w:t>Attachment 3-A</w:t>
      </w:r>
      <w:r>
        <w:rPr>
          <w:lang w:val="en-GB"/>
        </w:rPr>
        <w:t xml:space="preserve"> (Service Levels Matrix) as “Critical Service Levels” (as such classification may be changed in accordance with Section 8 of Exhibit 3 (Service Levels)).</w:t>
      </w:r>
      <w:r>
        <w:rPr>
          <w:b/>
          <w:bCs/>
          <w:color w:val="000000"/>
          <w:lang w:val="en-GB"/>
        </w:rPr>
        <w:tab/>
      </w:r>
      <w:r>
        <w:rPr>
          <w:lang w:val="en-GB"/>
        </w:rPr>
        <w:tab/>
      </w:r>
    </w:p>
    <w:p>
      <w:pPr>
        <w:pStyle w:val="TableText"/>
        <w:tabs>
          <w:tab w:val="clear" w:pos="720"/>
          <w:tab w:val="left" w:pos="4305" w:leader="none"/>
          <w:tab w:val="left" w:pos="9655" w:leader="none"/>
        </w:tabs>
        <w:rPr/>
      </w:pPr>
      <w:r>
        <w:rPr>
          <w:b/>
          <w:bCs/>
          <w:lang w:val="en-GB"/>
        </w:rPr>
        <w:t>“Deliverable Credits” means the monetary amounts that the Service Provider will pay to GlobalPharma (or apply against Monthly Charges) in the event of a failure to achieve a Critical Deliverable as specified in Attachment 3-A (Service Levels Matrix).</w:t>
        <w:tab/>
        <w:tab/>
      </w:r>
      <w:r>
        <w:rPr>
          <w:b/>
          <w:bCs/>
          <w:lang w:val="en-GB"/>
        </w:rPr>
      </w:r>
      <w:r>
        <w:rPr>
          <w:lang w:val="en-GB"/>
        </w:rPr>
      </w:r>
      <w:r>
        <w:rPr>
          <w:b/>
          <w:lang w:val="en-GB"/>
        </w:rPr>
      </w:r>
      <w:r>
        <w:rPr>
          <w:lang w:val="en-GB"/>
        </w:rPr>
      </w:r>
      <w:r>
        <w:rPr>
          <w:b/>
          <w:bCs/>
          <w:lang w:val="en-GB"/>
        </w:rPr>
      </w:r>
    </w:p>
    <w:p>
      <w:pPr>
        <w:pStyle w:val="TableText"/>
        <w:tabs>
          <w:tab w:val="clear" w:pos="720"/>
          <w:tab w:val="left" w:pos="4305" w:leader="none"/>
          <w:tab w:val="left" w:pos="9655" w:leader="none"/>
        </w:tabs>
        <w:rPr/>
      </w:pPr>
      <w:r>
        <w:rPr>
          <w:b/>
          <w:bCs/>
          <w:lang w:val="en-GB"/>
        </w:rPr>
        <w:t>“</w:t>
      </w:r>
      <w:r>
        <w:rPr>
          <w:b/>
          <w:bCs/>
          <w:lang w:val="en-GB"/>
        </w:rPr>
        <w:t xml:space="preserve">Earnback” </w:t>
      </w:r>
      <w:r>
        <w:rPr>
          <w:lang w:val="en-GB"/>
        </w:rPr>
        <w:t xml:space="preserve">means the methodology used to determine the potential elimination of a Service Credit as described in Section 7 of this </w:t>
      </w:r>
      <w:r>
        <w:rPr>
          <w:b/>
          <w:lang w:val="en-GB"/>
        </w:rPr>
        <w:t>Exhibit 3</w:t>
      </w:r>
      <w:r>
        <w:rPr>
          <w:lang w:val="en-GB"/>
        </w:rPr>
        <w:t xml:space="preserve"> (Service Levels).</w:t>
        <w:tab/>
        <w:tab/>
      </w:r>
    </w:p>
    <w:p>
      <w:pPr>
        <w:pStyle w:val="TableText"/>
        <w:tabs>
          <w:tab w:val="clear" w:pos="720"/>
          <w:tab w:val="left" w:pos="4305" w:leader="none"/>
          <w:tab w:val="left" w:pos="9655" w:leader="none"/>
        </w:tabs>
        <w:rPr/>
      </w:pPr>
      <w:r>
        <w:rPr>
          <w:b/>
          <w:bCs/>
          <w:lang w:val="en-GB"/>
        </w:rPr>
        <w:t>“</w:t>
      </w:r>
      <w:r>
        <w:rPr>
          <w:b/>
          <w:bCs/>
          <w:lang w:val="en-GB"/>
        </w:rPr>
        <w:t xml:space="preserve">Expected Service Level” </w:t>
      </w:r>
      <w:r>
        <w:rPr>
          <w:lang w:val="en-GB"/>
        </w:rPr>
        <w:t xml:space="preserve">means the desired level of performance for a Service Level, as initially set forth in Attachment 3-A (Service Levels Matrix) for the Service Levels at the Effective Date, and as the same may be changed in accordance with Section 8 of this </w:t>
      </w:r>
      <w:r>
        <w:rPr>
          <w:b/>
          <w:lang w:val="en-GB"/>
        </w:rPr>
        <w:t>Exhibit 3</w:t>
      </w:r>
      <w:r>
        <w:rPr>
          <w:lang w:val="en-GB"/>
        </w:rPr>
        <w:t xml:space="preserve"> (Service Levels).</w:t>
        <w:tab/>
        <w:tab/>
      </w:r>
    </w:p>
    <w:p>
      <w:pPr>
        <w:pStyle w:val="TableText"/>
        <w:tabs>
          <w:tab w:val="clear" w:pos="720"/>
          <w:tab w:val="left" w:pos="4305" w:leader="none"/>
          <w:tab w:val="left" w:pos="9655" w:leader="none"/>
        </w:tabs>
        <w:rPr/>
      </w:pPr>
      <w:r>
        <w:rPr>
          <w:b/>
          <w:bCs/>
          <w:lang w:val="en-GB"/>
        </w:rPr>
        <w:t>“</w:t>
      </w:r>
      <w:r>
        <w:rPr>
          <w:b/>
          <w:bCs/>
          <w:lang w:val="en-GB"/>
        </w:rPr>
        <w:t xml:space="preserve">Key Measurements” </w:t>
      </w:r>
      <w:r>
        <w:rPr>
          <w:lang w:val="en-GB"/>
        </w:rPr>
        <w:t>means those Service Levels that are not Critical Service Levels at the relevant time.</w:t>
      </w:r>
      <w:r>
        <w:rPr>
          <w:b/>
          <w:bCs/>
          <w:lang w:val="en-GB"/>
        </w:rPr>
        <w:tab/>
        <w:tab/>
      </w:r>
    </w:p>
    <w:p>
      <w:pPr>
        <w:pStyle w:val="TableText"/>
        <w:tabs>
          <w:tab w:val="clear" w:pos="720"/>
          <w:tab w:val="left" w:pos="4305" w:leader="none"/>
          <w:tab w:val="left" w:pos="9655" w:leader="none"/>
        </w:tabs>
        <w:rPr/>
      </w:pPr>
      <w:r>
        <w:rPr>
          <w:b/>
          <w:bCs/>
          <w:lang w:val="en-GB"/>
        </w:rPr>
        <w:t>“</w:t>
      </w:r>
      <w:r>
        <w:rPr>
          <w:b/>
          <w:bCs/>
          <w:lang w:val="en-GB"/>
        </w:rPr>
        <w:t xml:space="preserve">Minimum Service Level” </w:t>
      </w:r>
      <w:r>
        <w:rPr>
          <w:lang w:val="en-GB"/>
        </w:rPr>
        <w:t xml:space="preserve">means the minimum level of performance for a Service Level, as initially set forth in </w:t>
      </w:r>
      <w:r>
        <w:rPr>
          <w:b/>
          <w:lang w:val="en-GB"/>
        </w:rPr>
        <w:t>Attachment 3-A</w:t>
      </w:r>
      <w:r>
        <w:rPr>
          <w:lang w:val="en-GB"/>
        </w:rPr>
        <w:t xml:space="preserve"> (Service Levels Matrix) for the Service Levels at the Effective Date, and as the same may be changed in accordance with Section 8 of this </w:t>
      </w:r>
      <w:r>
        <w:rPr>
          <w:b/>
          <w:lang w:val="en-GB"/>
        </w:rPr>
        <w:t>Exhibit 3</w:t>
      </w:r>
      <w:r>
        <w:rPr>
          <w:lang w:val="en-GB"/>
        </w:rPr>
        <w:t xml:space="preserve"> (Service Levels).</w:t>
        <w:tab/>
        <w:tab/>
      </w:r>
    </w:p>
    <w:p>
      <w:pPr>
        <w:pStyle w:val="TableText"/>
        <w:tabs>
          <w:tab w:val="clear" w:pos="720"/>
          <w:tab w:val="left" w:pos="4305" w:leader="none"/>
          <w:tab w:val="left" w:pos="9655" w:leader="none"/>
        </w:tabs>
        <w:rPr/>
      </w:pPr>
      <w:r>
        <w:rPr>
          <w:b/>
          <w:bCs/>
          <w:lang w:val="en-GB"/>
        </w:rPr>
        <w:t>“</w:t>
      </w:r>
      <w:r>
        <w:rPr>
          <w:b/>
          <w:bCs/>
          <w:lang w:val="en-GB"/>
        </w:rPr>
        <w:t xml:space="preserve">Nine-Month Measurement Period” </w:t>
      </w:r>
      <w:r>
        <w:rPr>
          <w:lang w:val="en-GB"/>
        </w:rPr>
        <w:t xml:space="preserve">means the nine consecutive Months of measurements immediately preceding the Month in which DB provided written notice to the Service Provider to establish a Service Level in accordance with Section 8 of this </w:t>
      </w:r>
      <w:r>
        <w:rPr>
          <w:b/>
          <w:lang w:val="en-GB"/>
        </w:rPr>
        <w:t>Exhibit 3</w:t>
      </w:r>
      <w:r>
        <w:rPr>
          <w:lang w:val="en-GB"/>
        </w:rPr>
        <w:t xml:space="preserve"> (Service Levels).</w:t>
      </w:r>
    </w:p>
    <w:p>
      <w:pPr>
        <w:pStyle w:val="TableText"/>
        <w:tabs>
          <w:tab w:val="clear" w:pos="720"/>
          <w:tab w:val="left" w:pos="4305" w:leader="none"/>
          <w:tab w:val="left" w:pos="9655" w:leader="none"/>
        </w:tabs>
        <w:rPr/>
      </w:pPr>
      <w:r>
        <w:rPr>
          <w:b/>
          <w:bCs/>
          <w:lang w:val="en-GB"/>
        </w:rPr>
        <w:t>“Six-Month Measurement Period” means the six consecutive Months of measurements immediately preceding the Month in which GlobalPharma provided written notice to the Service Provider to establish a Service Level in accordance with Section 8 of this Exhibit 3 (Service Levels).</w:t>
      </w:r>
      <w:r>
        <w:rPr>
          <w:b/>
          <w:bCs/>
          <w:lang w:val="en-GB"/>
        </w:rPr>
      </w:r>
      <w:r>
        <w:rPr>
          <w:lang w:val="en-GB"/>
        </w:rPr>
      </w:r>
      <w:r>
        <w:rPr>
          <w:b/>
          <w:lang w:val="en-GB"/>
        </w:rPr>
      </w:r>
      <w:r>
        <w:rPr>
          <w:lang w:val="en-GB"/>
        </w:rPr>
      </w:r>
    </w:p>
    <w:p>
      <w:pPr>
        <w:pStyle w:val="TableText"/>
        <w:tabs>
          <w:tab w:val="clear" w:pos="720"/>
          <w:tab w:val="left" w:pos="4305" w:leader="none"/>
          <w:tab w:val="left" w:pos="9655" w:leader="none"/>
        </w:tabs>
        <w:rPr/>
      </w:pPr>
      <w:r>
        <w:rPr>
          <w:b/>
          <w:bCs/>
          <w:lang w:val="en-GB"/>
        </w:rPr>
        <w:t>“</w:t>
      </w:r>
      <w:r>
        <w:rPr>
          <w:b/>
          <w:bCs/>
          <w:lang w:val="en-GB"/>
        </w:rPr>
        <w:t xml:space="preserve">Performance Category” </w:t>
      </w:r>
      <w:r>
        <w:rPr>
          <w:lang w:val="en-GB"/>
        </w:rPr>
        <w:t xml:space="preserve">means a grouping of Critical Service Levels as set forth in </w:t>
      </w:r>
      <w:r>
        <w:rPr>
          <w:b/>
          <w:lang w:val="en-GB"/>
        </w:rPr>
        <w:t>Attachment 3-A</w:t>
      </w:r>
      <w:r>
        <w:rPr>
          <w:lang w:val="en-GB"/>
        </w:rPr>
        <w:t xml:space="preserve"> (Service Levels Matrix), as such groupings may be changed in accordance with Section 8 of this </w:t>
      </w:r>
      <w:r>
        <w:rPr>
          <w:b/>
          <w:lang w:val="en-GB"/>
        </w:rPr>
        <w:t>Exhibit 3</w:t>
      </w:r>
      <w:r>
        <w:rPr>
          <w:lang w:val="en-GB"/>
        </w:rPr>
        <w:t xml:space="preserve"> (Service Levels).</w:t>
        <w:tab/>
        <w:tab/>
      </w:r>
    </w:p>
    <w:p>
      <w:pPr>
        <w:pStyle w:val="TableText"/>
        <w:tabs>
          <w:tab w:val="clear" w:pos="720"/>
          <w:tab w:val="left" w:pos="4305" w:leader="none"/>
          <w:tab w:val="left" w:pos="9655" w:leader="none"/>
        </w:tabs>
        <w:rPr>
          <w:b/>
          <w:lang w:val="en-GB"/>
        </w:rPr>
      </w:pPr>
      <w:r>
        <w:rPr>
          <w:lang w:val="en-GB"/>
        </w:rPr>
        <w:t xml:space="preserve"> “</w:t>
      </w:r>
      <w:r>
        <w:rPr>
          <w:b/>
          <w:lang w:val="en-GB"/>
        </w:rPr>
        <w:t>Pool Percentage Available for Allocation</w:t>
      </w:r>
      <w:r>
        <w:rPr>
          <w:lang w:val="en-GB"/>
        </w:rPr>
        <w:t>” means the sum of the allocations of pool percentage for all the Performance Categories which shall equal 350 percent.</w:t>
      </w:r>
    </w:p>
    <w:p>
      <w:pPr>
        <w:pStyle w:val="TableText"/>
        <w:tabs>
          <w:tab w:val="clear" w:pos="720"/>
          <w:tab w:val="left" w:pos="4305" w:leader="none"/>
          <w:tab w:val="left" w:pos="9655" w:leader="none"/>
        </w:tabs>
        <w:rPr/>
      </w:pPr>
      <w:r>
        <w:rPr>
          <w:b/>
          <w:bCs/>
          <w:lang w:val="en-GB"/>
        </w:rPr>
        <w:t>“</w:t>
      </w:r>
      <w:r>
        <w:rPr>
          <w:b/>
          <w:bCs/>
          <w:lang w:val="en-GB"/>
        </w:rPr>
        <w:t xml:space="preserve">Service Levels” </w:t>
      </w:r>
      <w:r>
        <w:rPr>
          <w:lang w:val="en-GB"/>
        </w:rPr>
        <w:t xml:space="preserve">means the service levels specified in </w:t>
      </w:r>
      <w:r>
        <w:rPr>
          <w:b/>
          <w:lang w:val="en-GB"/>
        </w:rPr>
        <w:t>Attachment 3-B</w:t>
      </w:r>
      <w:r>
        <w:rPr>
          <w:lang w:val="en-GB"/>
        </w:rPr>
        <w:t xml:space="preserve"> (Service Levels) as the same may be changed in accordance with Section 8 of this </w:t>
      </w:r>
      <w:r>
        <w:rPr>
          <w:b/>
          <w:lang w:val="en-GB"/>
        </w:rPr>
        <w:t>Exhibit 3</w:t>
      </w:r>
      <w:r>
        <w:rPr>
          <w:lang w:val="en-GB"/>
        </w:rPr>
        <w:t xml:space="preserve"> (Service Levels).</w:t>
      </w:r>
    </w:p>
    <w:p>
      <w:pPr>
        <w:pStyle w:val="TableText"/>
        <w:tabs>
          <w:tab w:val="clear" w:pos="720"/>
          <w:tab w:val="left" w:pos="4305" w:leader="none"/>
          <w:tab w:val="left" w:pos="9655" w:leader="none"/>
        </w:tabs>
        <w:rPr/>
      </w:pPr>
      <w:r>
        <w:rPr>
          <w:b/>
          <w:bCs/>
          <w:color w:val="000000"/>
          <w:lang w:val="en-GB"/>
        </w:rPr>
        <w:t>“</w:t>
      </w:r>
      <w:r>
        <w:rPr>
          <w:b/>
          <w:bCs/>
          <w:color w:val="000000"/>
          <w:lang w:val="en-GB"/>
        </w:rPr>
        <w:t xml:space="preserve">Service-Level Credit Allocation Percentage” </w:t>
      </w:r>
      <w:r>
        <w:rPr>
          <w:lang w:val="en-GB"/>
        </w:rPr>
        <w:t xml:space="preserve">means the percentage of the allocation of pool percentage allocated to a Critical Service Level within a Performance Category as set forth in </w:t>
      </w:r>
      <w:r>
        <w:rPr>
          <w:b/>
          <w:lang w:val="en-GB"/>
        </w:rPr>
        <w:t>Attachment 3-A</w:t>
      </w:r>
      <w:r>
        <w:rPr>
          <w:lang w:val="en-GB"/>
        </w:rPr>
        <w:t xml:space="preserve"> (Service Levels Matrix), as the same may be changed in accordance with Section 8 of this </w:t>
      </w:r>
      <w:r>
        <w:rPr>
          <w:b/>
          <w:lang w:val="en-GB"/>
        </w:rPr>
        <w:t>Exhibit 3</w:t>
      </w:r>
      <w:r>
        <w:rPr>
          <w:lang w:val="en-GB"/>
        </w:rPr>
        <w:t xml:space="preserve"> (Service Levels).</w:t>
      </w:r>
      <w:r>
        <w:rPr>
          <w:b/>
          <w:bCs/>
          <w:lang w:val="en-GB"/>
        </w:rPr>
        <w:tab/>
        <w:tab/>
      </w:r>
    </w:p>
    <w:p>
      <w:pPr>
        <w:pStyle w:val="TableText"/>
        <w:rPr/>
      </w:pPr>
      <w:r>
        <w:rPr>
          <w:b/>
          <w:bCs/>
          <w:color w:val="000000"/>
          <w:lang w:val="en-GB"/>
        </w:rPr>
        <w:t>“</w:t>
      </w:r>
      <w:r>
        <w:rPr>
          <w:b/>
          <w:bCs/>
          <w:color w:val="000000"/>
          <w:lang w:val="en-GB"/>
        </w:rPr>
        <w:t xml:space="preserve">Service-Level Default” </w:t>
      </w:r>
      <w:r>
        <w:rPr>
          <w:lang w:val="en-GB"/>
        </w:rPr>
        <w:t>means in respect of each Critical Service Level:</w:t>
      </w:r>
    </w:p>
    <w:p>
      <w:pPr>
        <w:pStyle w:val="ReverseIndent"/>
        <w:ind w:start="1008" w:end="0"/>
        <w:rPr>
          <w:lang w:val="en-GB"/>
        </w:rPr>
      </w:pPr>
      <w:r>
        <w:rPr>
          <w:lang w:val="en-GB"/>
        </w:rPr>
        <w:t>(i)</w:t>
        <w:tab/>
        <w:t>Any failure to meet a Minimum Service Level; or</w:t>
      </w:r>
    </w:p>
    <w:p>
      <w:pPr>
        <w:pStyle w:val="ReverseIndent"/>
        <w:ind w:start="1008" w:end="0"/>
        <w:rPr>
          <w:lang w:val="en-GB"/>
        </w:rPr>
      </w:pPr>
      <w:r>
        <w:rPr>
          <w:lang w:val="en-GB"/>
        </w:rPr>
        <w:t>(ii)</w:t>
        <w:tab/>
        <w:t>A failure to meet an Expected Service Level, while each time meeting the Minimum Service level, on four (4) or more occasions in the twelve (12) month period comprising the current month and the preceding eleven (11) months; or</w:t>
      </w:r>
    </w:p>
    <w:p>
      <w:pPr>
        <w:pStyle w:val="ReverseIndent"/>
        <w:tabs>
          <w:tab w:val="clear" w:pos="720"/>
          <w:tab w:val="left" w:pos="4305" w:leader="none"/>
          <w:tab w:val="left" w:pos="9655" w:leader="none"/>
        </w:tabs>
        <w:ind w:start="1008" w:end="0"/>
        <w:rPr/>
      </w:pPr>
      <w:r>
        <w:rPr>
          <w:lang w:val="en-GB"/>
        </w:rPr>
        <w:t>(iii)</w:t>
        <w:tab/>
        <w:t>If measurement data for the Critical Service Level is not provided to GlobalPharma by Service Provider for the relevant month in accordance with Section 4.0 (Reporting) of this Exhibit 3.</w:t>
        <w:tab/>
        <w:tab/>
      </w:r>
      <w:r>
        <w:rPr>
          <w:b/>
          <w:lang w:val="en-GB"/>
        </w:rPr>
      </w:r>
      <w:r>
        <w:rPr>
          <w:lang w:val="en-GB"/>
        </w:rPr>
      </w:r>
    </w:p>
    <w:p>
      <w:pPr>
        <w:pStyle w:val="TableText"/>
        <w:tabs>
          <w:tab w:val="clear" w:pos="720"/>
          <w:tab w:val="left" w:pos="4305" w:leader="none"/>
          <w:tab w:val="left" w:pos="9655" w:leader="none"/>
        </w:tabs>
        <w:rPr/>
      </w:pPr>
      <w:r>
        <w:rPr>
          <w:b/>
          <w:bCs/>
          <w:lang w:val="en-GB"/>
        </w:rPr>
        <w:t>“</w:t>
      </w:r>
      <w:r>
        <w:rPr>
          <w:b/>
          <w:bCs/>
          <w:lang w:val="en-GB"/>
        </w:rPr>
        <w:t xml:space="preserve">Service-Level Performance” </w:t>
      </w:r>
      <w:r>
        <w:rPr>
          <w:lang w:val="en-GB"/>
        </w:rPr>
        <w:t>means, in respect of each Service Level, the Service Provider’s actual performance of the Services against such Service Level in the relevant period.</w:t>
      </w:r>
      <w:r>
        <w:rPr>
          <w:b/>
          <w:bCs/>
          <w:color w:val="000000"/>
          <w:lang w:val="en-GB"/>
        </w:rPr>
        <w:tab/>
        <w:tab/>
      </w:r>
    </w:p>
    <w:p>
      <w:pPr>
        <w:pStyle w:val="TableText"/>
        <w:tabs>
          <w:tab w:val="clear" w:pos="720"/>
          <w:tab w:val="left" w:pos="4305" w:leader="none"/>
          <w:tab w:val="left" w:pos="9655" w:leader="none"/>
        </w:tabs>
        <w:rPr/>
      </w:pPr>
      <w:r>
        <w:rPr>
          <w:b/>
          <w:bCs/>
          <w:color w:val="000000"/>
          <w:lang w:val="en-GB"/>
        </w:rPr>
        <w:t>“</w:t>
      </w:r>
      <w:r>
        <w:rPr>
          <w:b/>
          <w:bCs/>
          <w:color w:val="000000"/>
          <w:lang w:val="en-GB"/>
        </w:rPr>
        <w:t xml:space="preserve">Unrelieved Service Credits” </w:t>
      </w:r>
      <w:r>
        <w:rPr>
          <w:lang w:val="en-GB"/>
        </w:rPr>
        <w:t>means those Service Credits that are not eliminated via Earnback.</w:t>
        <w:tab/>
        <w:tab/>
      </w:r>
    </w:p>
    <w:p>
      <w:pPr>
        <w:pStyle w:val="TableText"/>
        <w:tabs>
          <w:tab w:val="clear" w:pos="720"/>
          <w:tab w:val="left" w:pos="4305" w:leader="none"/>
          <w:tab w:val="left" w:pos="9655" w:leader="none"/>
        </w:tabs>
        <w:rPr/>
      </w:pPr>
      <w:r>
        <w:rPr>
          <w:b/>
          <w:bCs/>
          <w:color w:val="000000"/>
          <w:lang w:val="en-GB"/>
        </w:rPr>
        <w:t>“</w:t>
      </w:r>
      <w:r>
        <w:rPr>
          <w:b/>
          <w:bCs/>
          <w:color w:val="000000"/>
          <w:lang w:val="en-GB"/>
        </w:rPr>
        <w:t xml:space="preserve">Yearly Performance Average” </w:t>
      </w:r>
      <w:r>
        <w:rPr>
          <w:lang w:val="en-GB"/>
        </w:rPr>
        <w:t>means, with respect to each Critical Service Level for which there was a Service-Level Default during the preceding contract year, the mean of the Service Provider’s monthly performances in the Critical Service Level during the preceding contract year.</w:t>
      </w:r>
      <w:r>
        <w:rPr>
          <w:rFonts w:cs="Arial" w:ascii="Arial" w:hAnsi="Arial"/>
          <w:lang w:val="en-GB"/>
        </w:rPr>
        <w:tab/>
        <w:tab/>
      </w:r>
    </w:p>
    <w:p>
      <w:pPr>
        <w:pStyle w:val="Normal"/>
        <w:spacing w:before="120" w:after="120"/>
        <w:rPr>
          <w:rFonts w:ascii="Arial" w:hAnsi="Arial" w:cs="Arial"/>
          <w:lang w:val="en-GB"/>
        </w:rPr>
      </w:pPr>
      <w:r>
        <w:rPr>
          <w:rFonts w:cs="Arial" w:ascii="Arial" w:hAnsi="Arial"/>
          <w:lang w:val="en-GB"/>
        </w:rPr>
      </w:r>
    </w:p>
    <w:sectPr>
      <w:headerReference w:type="default" r:id="rId2"/>
      <w:footerReference w:type="default" r:id="rId3"/>
      <w:type w:val="nextPage"/>
      <w:pgSz w:w="11906" w:h="16838"/>
      <w:pgMar w:left="737" w:right="539" w:gutter="0" w:header="181" w:top="1438"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r>
  </w:p>
  <w:p>
    <w:pPr>
      <w:pStyle w:val="Footer"/>
      <w:jc w:val="center"/>
      <w:rPr>
        <w:rFonts w:ascii="Arial" w:hAnsi="Arial" w:cs="Arial"/>
        <w:sz w:val="20"/>
        <w:szCs w:val="22"/>
      </w:rPr>
    </w:pPr>
    <w:r>
      <w:rPr>
        <w:rFonts w:cs="Arial" w:ascii="Arial" w:hAnsi="Arial"/>
        <w:sz w:val="20"/>
        <w:szCs w:val="22"/>
      </w:rPr>
      <w:t>GlobalPharma and Service Provider Confidential</w:t>
    </w:r>
  </w:p>
  <w:p>
    <w:pPr>
      <w:pStyle w:val="Footer"/>
      <w:tabs>
        <w:tab w:val="clear" w:pos="4680"/>
        <w:tab w:val="clear" w:pos="7200"/>
        <w:tab w:val="right" w:pos="14400" w:leader="none"/>
      </w:tabs>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11</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10440" w:leader="none"/>
        <w:tab w:val="right" w:pos="14400" w:leader="none"/>
      </w:tabs>
      <w:spacing w:before="120" w:after="120"/>
      <w:rPr/>
    </w:pPr>
    <w:r>
      <w:rPr/>
      <w:drawing>
        <wp:anchor behindDoc="1" distT="0" distB="0" distL="114935" distR="114935" simplePos="0" locked="0" layoutInCell="1" allowOverlap="1" relativeHeight="23">
          <wp:simplePos x="0" y="0"/>
          <wp:positionH relativeFrom="column">
            <wp:posOffset>5715000</wp:posOffset>
          </wp:positionH>
          <wp:positionV relativeFrom="paragraph">
            <wp:posOffset>59690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371600" cy="34798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1044"/>
        </w:tabs>
        <w:ind w:start="1044" w:hanging="504"/>
      </w:pPr>
      <w:rPr>
        <w:sz w:val="22"/>
        <w:i w:val="false"/>
        <w:b w:val="false"/>
        <w:rFonts w:ascii="Times New Roman" w:hAnsi="Times New Roman" w:cs="Times New Roman"/>
        <w:color w:val="000000"/>
      </w:rPr>
    </w:lvl>
    <w:lvl w:ilvl="1">
      <w:start w:val="1"/>
      <w:numFmt w:val="decimal"/>
      <w:lvlText w:val="%1.%2."/>
      <w:lvlJc w:val="start"/>
      <w:pPr>
        <w:tabs>
          <w:tab w:val="num" w:pos="1764"/>
        </w:tabs>
        <w:ind w:start="1764"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abstractNum>
  <w:abstractNum w:abstractNumId="17">
    <w:lvl w:ilvl="0">
      <w:start w:val="1"/>
      <w:numFmt w:val="bullet"/>
      <w:lvlText w:val=""/>
      <w:lvlJc w:val="start"/>
      <w:pPr>
        <w:tabs>
          <w:tab w:val="num" w:pos="1627"/>
        </w:tabs>
        <w:ind w:start="1627" w:hanging="547"/>
      </w:pPr>
      <w:rPr>
        <w:rFonts w:ascii="Symbol" w:hAnsi="Symbol" w:cs="Symbol" w:hint="default"/>
      </w:rPr>
    </w:lvl>
  </w:abstractNum>
  <w:abstractNum w:abstractNumId="18">
    <w:lvl w:ilvl="0">
      <w:start w:val="1"/>
      <w:numFmt w:val="bullet"/>
      <w:lvlText w:val=""/>
      <w:lvlJc w:val="start"/>
      <w:pPr>
        <w:tabs>
          <w:tab w:val="num" w:pos="2160"/>
        </w:tabs>
        <w:ind w:start="2160" w:hanging="533"/>
      </w:pPr>
      <w:rPr>
        <w:rFonts w:ascii="Symbol" w:hAnsi="Symbol" w:cs="Symbol" w:hint="default"/>
      </w:rPr>
    </w:lvl>
  </w:abstractNum>
  <w:abstractNum w:abstractNumId="19">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bullet"/>
      <w:lvlText w:val=""/>
      <w:lvlJc w:val="start"/>
      <w:pPr>
        <w:tabs>
          <w:tab w:val="num" w:pos="1987"/>
        </w:tabs>
        <w:ind w:start="1987" w:hanging="360"/>
      </w:pPr>
      <w:rPr>
        <w:rFonts w:ascii="Symbol" w:hAnsi="Symbol" w:cs="Symbol" w:hint="default"/>
        <w:sz w:val="22"/>
        <w:i w:val="false"/>
        <w:b w:val="false"/>
        <w:color w:val="000000"/>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1">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Bold;Times New Roman" w:hAnsi="Times New Roman Bold;Times New Roman" w:cs="Times New Roman Bold;Times New Roman"/>
      <w:b/>
      <w:i w:val="false"/>
      <w:sz w:val="28"/>
    </w:rPr>
  </w:style>
  <w:style w:type="character" w:styleId="WW8Num11z2">
    <w:name w:val="WW8Num11z2"/>
    <w:qFormat/>
    <w:rPr>
      <w:rFonts w:ascii="Times New Roman" w:hAnsi="Times New Roman" w:cs="Times New Roman"/>
      <w:b/>
      <w:i w:val="false"/>
      <w:sz w:val="24"/>
    </w:rPr>
  </w:style>
  <w:style w:type="character" w:styleId="WW8Num11z4">
    <w:name w:val="WW8Num11z4"/>
    <w:qFormat/>
    <w:rPr>
      <w:rFonts w:ascii="Times New Roman Bold;Times New Roman" w:hAnsi="Times New Roman Bold;Times New Roman" w:cs="Times New Roman Bold;Times New Roman"/>
      <w:b/>
      <w:i w:val="false"/>
      <w:sz w:val="22"/>
      <w:szCs w:val="22"/>
    </w:rPr>
  </w:style>
  <w:style w:type="character" w:styleId="WW8Num11z5">
    <w:name w:val="WW8Num11z5"/>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Bold;Times New Roman"/>
      <w:b/>
      <w:i w:val="false"/>
      <w:color w:val="000000"/>
      <w:sz w:val="28"/>
      <w:szCs w:val="28"/>
    </w:rPr>
  </w:style>
  <w:style w:type="character" w:styleId="WW8Num18z1">
    <w:name w:val="WW8Num18z1"/>
    <w:qFormat/>
    <w:rPr>
      <w:rFonts w:ascii="Times New Roman" w:hAnsi="Times New Roman" w:cs="Times New Roman"/>
      <w:b w:val="false"/>
      <w:i w:val="false"/>
      <w:sz w:val="22"/>
    </w:rPr>
  </w:style>
  <w:style w:type="character" w:styleId="WW8Num18z4">
    <w:name w:val="WW8Num18z4"/>
    <w:qFormat/>
    <w:rPr/>
  </w:style>
  <w:style w:type="character" w:styleId="WW8Num19z0">
    <w:name w:val="WW8Num19z0"/>
    <w:qFormat/>
    <w:rPr>
      <w:rFonts w:ascii="Times New Roman" w:hAnsi="Times New Roman" w:cs="Times New Roman"/>
      <w:b w:val="false"/>
      <w:i w:val="false"/>
      <w:color w:val="000000"/>
      <w:sz w:val="22"/>
    </w:rPr>
  </w:style>
  <w:style w:type="character" w:styleId="WW8Num19z1">
    <w:name w:val="WW8Num19z1"/>
    <w:qFormat/>
    <w:rPr>
      <w:rFonts w:ascii="Times New Roman" w:hAnsi="Times New Roman" w:cs="Times New Roman"/>
      <w:b w:val="false"/>
      <w:i w:val="false"/>
      <w:sz w:val="22"/>
    </w:rPr>
  </w:style>
  <w:style w:type="character" w:styleId="WW8Num19z3">
    <w:name w:val="WW8Num19z3"/>
    <w:qFormat/>
    <w:rPr>
      <w:rFonts w:ascii="Symbol" w:hAnsi="Symbol" w:cs="Symbol"/>
      <w:b w:val="false"/>
      <w:i w:val="false"/>
      <w:color w:val="000000"/>
      <w:sz w:val="22"/>
    </w:rPr>
  </w:style>
  <w:style w:type="character" w:styleId="WW8Num19z4">
    <w:name w:val="WW8Num19z4"/>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FootnoteCharacters">
    <w:name w:val="Footnote Characters"/>
    <w:basedOn w:val="Absatz-Standardschriftart"/>
    <w:qFormat/>
    <w:rPr>
      <w:vertAlign w:val="superscript"/>
    </w:rPr>
  </w:style>
  <w:style w:type="character" w:styleId="Kommentarzeichen">
    <w:name w:val="Kommentarzeichen"/>
    <w:basedOn w:val="Absatz-Standardschriftart"/>
    <w:qFormat/>
    <w:rPr>
      <w:sz w:val="16"/>
      <w:szCs w:val="16"/>
    </w:rPr>
  </w:style>
  <w:style w:type="character" w:styleId="FollowedHyperlink">
    <w:name w:val="FollowedHyperlink"/>
    <w:rPr>
      <w:color w:val="800080"/>
      <w:u w:val="single"/>
    </w:rPr>
  </w:style>
  <w:style w:type="character" w:styleId="Heading1NumberedChar">
    <w:name w:val="Heading 1 Numbered Char"/>
    <w:basedOn w:val="Absatz-Standardschriftart"/>
    <w:qFormat/>
    <w:rPr>
      <w:rFonts w:ascii="Times New Roman Bold;Times New Roman" w:hAnsi="Times New Roman Bold;Times New Roman" w:cs="Times New Roman Bold;Times New Roman"/>
      <w:b/>
      <w:caps/>
      <w:sz w:val="28"/>
      <w:szCs w:val="24"/>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10"/>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10"/>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10"/>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7"/>
      </w:numPr>
      <w:tabs>
        <w:tab w:val="clear" w:pos="720"/>
        <w:tab w:val="left" w:pos="1440" w:leader="none"/>
      </w:tabs>
      <w:ind w:hanging="360" w:start="1440" w:end="0"/>
    </w:pPr>
    <w:rPr/>
  </w:style>
  <w:style w:type="paragraph" w:styleId="BodyTextBulletL1">
    <w:name w:val="Body Text Bullet L1"/>
    <w:basedOn w:val="Normal"/>
    <w:qFormat/>
    <w:pPr>
      <w:numPr>
        <w:ilvl w:val="0"/>
        <w:numId w:val="18"/>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21"/>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5"/>
      </w:numPr>
    </w:pPr>
    <w:rPr/>
  </w:style>
  <w:style w:type="paragraph" w:styleId="Bullet1Table">
    <w:name w:val="Bullet 1 Table"/>
    <w:basedOn w:val="TableTextBullet"/>
    <w:next w:val="TableTextBullet"/>
    <w:qFormat/>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4"/>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4"/>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2"/>
      </w:numPr>
    </w:pPr>
    <w:rPr/>
  </w:style>
  <w:style w:type="paragraph" w:styleId="Head3-NoTOC">
    <w:name w:val="Head 3 # - No TOC"/>
    <w:basedOn w:val="Heading3Numbered"/>
    <w:next w:val="BodyText"/>
    <w:qFormat/>
    <w:pPr>
      <w:numPr>
        <w:ilvl w:val="0"/>
        <w:numId w:val="14"/>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4"/>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6"/>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Bullet1Level1">
    <w:name w:val="Bullet 1 Level 1"/>
    <w:basedOn w:val="Normal"/>
    <w:qFormat/>
    <w:pPr>
      <w:numPr>
        <w:ilvl w:val="0"/>
        <w:numId w:val="19"/>
      </w:numPr>
    </w:pPr>
    <w:rPr/>
  </w:style>
  <w:style w:type="paragraph" w:styleId="Bullet1BodyText">
    <w:name w:val="Bullet 1 Body Text"/>
    <w:basedOn w:val="Normal"/>
    <w:qFormat/>
    <w:pPr>
      <w:numPr>
        <w:ilvl w:val="0"/>
        <w:numId w:val="9"/>
      </w:numPr>
      <w:spacing w:before="240" w:after="240"/>
    </w:pPr>
    <w:rPr/>
  </w:style>
  <w:style w:type="paragraph" w:styleId="FootnoteText">
    <w:name w:val="footnote text"/>
    <w:basedOn w:val="Normal"/>
    <w:pPr/>
    <w:rPr>
      <w:sz w:val="20"/>
      <w:szCs w:val="20"/>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685" w:end="0"/>
    </w:pPr>
    <w:rPr/>
  </w:style>
  <w:style w:type="paragraph" w:styleId="TableLevel4Text">
    <w:name w:val="Table Level 4 Text"/>
    <w:basedOn w:val="BodyText"/>
    <w:qFormat/>
    <w:pPr>
      <w:ind w:hanging="0" w:start="1440" w:end="0"/>
    </w:pPr>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Dokumentstruktur">
    <w:name w:val="Dokumentstruktur"/>
    <w:basedOn w:val="Normal"/>
    <w:qFormat/>
    <w:pPr>
      <w:shd w:fill="000080" w:val="clear"/>
    </w:pPr>
    <w:rPr>
      <w:rFonts w:ascii="Tahoma" w:hAnsi="Tahoma"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2007-01-29T19:57:00Z</dcterms:created>
  <dc:creator>TPI</dc:creator>
  <dc:description/>
  <dc:language>en-US</dc:language>
  <cp:lastModifiedBy>Wenger Plattner</cp:lastModifiedBy>
  <cp:lastPrinted>2007-01-30T14:42:00Z</cp:lastPrinted>
  <dcterms:modified xsi:type="dcterms:W3CDTF">2007-01-30T19:12:00Z</dcterms:modified>
  <cp:revision>3</cp:revision>
  <dc:subject/>
  <dc:title>Exhibit 3 Service Levels</dc:title>
</cp:coreProperties>
</file>