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pptx" ContentType="application/vnd.openxmlformats-officedocument.presentationml.presentation"/>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jc w:val="center"/>
        <w:rPr>
          <w:lang w:val="en-GB"/>
        </w:rPr>
      </w:pPr>
      <w:r>
        <w:rPr>
          <w:lang w:val="en-GB"/>
        </w:rPr>
        <w:t>GlobalPharma AG</w:t>
      </w:r>
    </w:p>
    <w:p>
      <w:pPr>
        <w:pStyle w:val="Titel"/>
        <w:rPr>
          <w:lang w:val="en-GB"/>
        </w:rPr>
      </w:pPr>
      <w:r>
        <w:rPr>
          <w:lang w:val="en-GB"/>
        </w:rPr>
      </w:r>
    </w:p>
    <w:p>
      <w:pPr>
        <w:pStyle w:val="Titel"/>
        <w:rPr>
          <w:highlight w:val="yellow"/>
          <w:lang w:val="en-GB"/>
        </w:rPr>
      </w:pPr>
      <w:r>
        <w:rPr>
          <w:lang w:val="en-GB"/>
        </w:rPr>
        <w:t>Exhibit 4</w:t>
      </w:r>
    </w:p>
    <w:p>
      <w:pPr>
        <w:pStyle w:val="Titel"/>
        <w:rPr>
          <w:highlight w:val="yellow"/>
          <w:lang w:val="en-GB"/>
        </w:rPr>
      </w:pPr>
      <w:r>
        <w:rPr>
          <w:highlight w:val="yellow"/>
          <w:lang w:val="en-GB"/>
        </w:rPr>
      </w:r>
    </w:p>
    <w:p>
      <w:pPr>
        <w:pStyle w:val="Titel"/>
        <w:rPr>
          <w:lang w:val="en-GB"/>
        </w:rPr>
      </w:pPr>
      <w:r>
        <w:rPr>
          <w:lang w:val="en-GB"/>
        </w:rPr>
        <w:t>Pricing and financial Provisions</w:t>
      </w:r>
    </w:p>
    <w:p>
      <w:pPr>
        <w:pStyle w:val="Titel"/>
        <w:rPr>
          <w:lang w:val="en-GB"/>
        </w:rPr>
      </w:pPr>
      <w:r>
        <w:rPr>
          <w:lang w:val="en-GB"/>
        </w:rPr>
      </w:r>
    </w:p>
    <w:p>
      <w:pPr>
        <w:pStyle w:val="Titel"/>
        <w:rPr>
          <w:lang w:val="en-GB"/>
        </w:rPr>
      </w:pPr>
      <w:r>
        <w:rPr>
          <w:lang w:val="en-GB"/>
        </w:rPr>
      </w:r>
    </w:p>
    <w:p>
      <w:pPr>
        <w:pStyle w:val="Titel"/>
        <w:rPr>
          <w:lang w:val="en-GB"/>
        </w:rPr>
      </w:pPr>
      <w:r>
        <w:rPr>
          <w:lang w:val="en-GB"/>
        </w:rPr>
      </w:r>
    </w:p>
    <w:tbl>
      <w:tblPr>
        <w:tblW w:w="7795" w:type="dxa"/>
        <w:jc w:val="start"/>
        <w:tblInd w:w="927" w:type="dxa"/>
        <w:tblLayout w:type="fixed"/>
        <w:tblCellMar>
          <w:top w:w="0" w:type="dxa"/>
          <w:start w:w="108" w:type="dxa"/>
          <w:bottom w:w="0" w:type="dxa"/>
          <w:end w:w="108" w:type="dxa"/>
        </w:tblCellMar>
      </w:tblPr>
      <w:tblGrid>
        <w:gridCol w:w="7795"/>
      </w:tblGrid>
      <w:tr>
        <w:trPr/>
        <w:tc>
          <w:tcPr>
            <w:tcW w:w="779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jc w:val="center"/>
              <w:rPr>
                <w:lang w:val="en-GB"/>
              </w:rPr>
            </w:pPr>
            <w:r>
              <w:rPr>
                <w:lang w:val="en-GB"/>
              </w:rPr>
            </w:r>
          </w:p>
          <w:p>
            <w:pPr>
              <w:pStyle w:val="Normal"/>
              <w:jc w:val="center"/>
              <w:rPr/>
            </w:pPr>
            <w:r>
              <w:rPr>
                <w:lang w:val="en-GB"/>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center"/>
              <w:rPr>
                <w:lang w:val="en-GB"/>
              </w:rPr>
            </w:pPr>
            <w:r>
              <w:rPr>
                <w:lang w:val="en-GB"/>
              </w:rPr>
            </w:r>
          </w:p>
        </w:tc>
      </w:tr>
    </w:tbl>
    <w:p>
      <w:pPr>
        <w:pStyle w:val="Titel"/>
        <w:rPr/>
      </w:pPr>
      <w:r>
        <w:br w:type="page"/>
      </w:r>
      <w:r>
        <w:rPr/>
        <w:t>Table of Contents</w:t>
      </w:r>
    </w:p>
    <w:sdt>
      <w:sdtPr>
        <w:docPartObj>
          <w:docPartGallery w:val="Table of Contents"/>
          <w:docPartUnique w:val="true"/>
        </w:docPartObj>
      </w:sdtPr>
      <w:sdtContent>
        <w:p>
          <w:pPr>
            <w:pStyle w:val="TOC1"/>
            <w:tabs>
              <w:tab w:val="clear" w:pos="720"/>
              <w:tab w:val="left" w:pos="660" w:leader="none"/>
              <w:tab w:val="right" w:pos="9631" w:leader="dot"/>
            </w:tabs>
            <w:rPr>
              <w:b w:val="false"/>
              <w:bCs w:val="false"/>
              <w:caps w:val="false"/>
              <w:smallCaps w:val="false"/>
              <w:sz w:val="24"/>
              <w:szCs w:val="24"/>
              <w:lang w:val="de-CH" w:eastAsia="en-US"/>
            </w:rPr>
          </w:pPr>
          <w:r>
            <w:fldChar w:fldCharType="begin"/>
          </w:r>
          <w:r>
            <w:rPr>
              <w:rStyle w:val="IndexLink"/>
              <w:rFonts w:cs="Arial"/>
              <w:lang w:val="en-US" w:eastAsia="en-US"/>
            </w:rPr>
            <w:instrText xml:space="preserve"> TOC \h \z \t "Formatvorlage1;1" </w:instrText>
          </w:r>
          <w:r>
            <w:rPr>
              <w:rStyle w:val="IndexLink"/>
              <w:rFonts w:cs="Arial"/>
              <w:lang w:val="en-US" w:eastAsia="en-US"/>
            </w:rPr>
            <w:fldChar w:fldCharType="separate"/>
          </w:r>
          <w:hyperlink w:anchor="__RefHeading___Toc157909023">
            <w:r>
              <w:rPr>
                <w:rStyle w:val="IndexLink"/>
                <w:rFonts w:cs="Arial"/>
                <w:lang w:val="en-US" w:eastAsia="en-US"/>
              </w:rPr>
              <w:t>1.0</w:t>
            </w:r>
            <w:r>
              <w:rPr>
                <w:rStyle w:val="IndexLink"/>
                <w:b w:val="false"/>
                <w:bCs w:val="false"/>
                <w:caps w:val="false"/>
                <w:smallCaps w:val="false"/>
                <w:sz w:val="24"/>
                <w:szCs w:val="24"/>
                <w:lang w:val="de-CH" w:eastAsia="en-US"/>
              </w:rPr>
              <w:tab/>
            </w:r>
            <w:r>
              <w:rPr>
                <w:rStyle w:val="IndexLink"/>
                <w:lang w:val="en-US" w:eastAsia="en-US"/>
              </w:rPr>
              <w:t>General</w:t>
              <w:tab/>
              <w:t>3</w:t>
            </w:r>
          </w:hyperlink>
        </w:p>
        <w:p>
          <w:pPr>
            <w:pStyle w:val="TOC1"/>
            <w:tabs>
              <w:tab w:val="clear" w:pos="720"/>
              <w:tab w:val="left" w:pos="660" w:leader="none"/>
              <w:tab w:val="right" w:pos="9631" w:leader="dot"/>
            </w:tabs>
            <w:rPr>
              <w:b w:val="false"/>
              <w:bCs w:val="false"/>
              <w:caps w:val="false"/>
              <w:smallCaps w:val="false"/>
              <w:sz w:val="24"/>
              <w:szCs w:val="24"/>
              <w:lang w:val="de-CH" w:eastAsia="en-US"/>
            </w:rPr>
          </w:pPr>
          <w:hyperlink w:anchor="__RefHeading___Toc157909024">
            <w:r>
              <w:rPr>
                <w:rStyle w:val="IndexLink"/>
                <w:lang w:val="en-US" w:eastAsia="en-US"/>
              </w:rPr>
              <w:t>2.0</w:t>
            </w:r>
            <w:r>
              <w:rPr>
                <w:rStyle w:val="IndexLink"/>
                <w:b w:val="false"/>
                <w:bCs w:val="false"/>
                <w:caps w:val="false"/>
                <w:smallCaps w:val="false"/>
                <w:sz w:val="24"/>
                <w:szCs w:val="24"/>
                <w:lang w:val="de-CH" w:eastAsia="en-US"/>
              </w:rPr>
              <w:tab/>
            </w:r>
            <w:r>
              <w:rPr>
                <w:rStyle w:val="IndexLink"/>
                <w:lang w:val="en-US" w:eastAsia="en-US"/>
              </w:rPr>
              <w:t>Base Charges – Phase 1</w:t>
              <w:tab/>
              <w:t>3</w:t>
            </w:r>
          </w:hyperlink>
        </w:p>
        <w:p>
          <w:pPr>
            <w:pStyle w:val="TOC1"/>
            <w:tabs>
              <w:tab w:val="clear" w:pos="720"/>
              <w:tab w:val="left" w:pos="660" w:leader="none"/>
              <w:tab w:val="right" w:pos="9631" w:leader="dot"/>
            </w:tabs>
            <w:rPr>
              <w:b w:val="false"/>
              <w:bCs w:val="false"/>
              <w:caps w:val="false"/>
              <w:smallCaps w:val="false"/>
              <w:sz w:val="24"/>
              <w:szCs w:val="24"/>
              <w:lang w:val="de-CH" w:eastAsia="en-US"/>
            </w:rPr>
          </w:pPr>
          <w:hyperlink w:anchor="__RefHeading___Toc157909025">
            <w:r>
              <w:rPr>
                <w:rStyle w:val="IndexLink"/>
                <w:lang w:val="en-US" w:eastAsia="en-US"/>
              </w:rPr>
              <w:t>3.0</w:t>
            </w:r>
            <w:r>
              <w:rPr>
                <w:rStyle w:val="IndexLink"/>
                <w:b w:val="false"/>
                <w:bCs w:val="false"/>
                <w:caps w:val="false"/>
                <w:smallCaps w:val="false"/>
                <w:sz w:val="24"/>
                <w:szCs w:val="24"/>
                <w:lang w:val="de-CH" w:eastAsia="en-US"/>
              </w:rPr>
              <w:tab/>
            </w:r>
            <w:r>
              <w:rPr>
                <w:rStyle w:val="IndexLink"/>
                <w:lang w:val="en-US" w:eastAsia="en-US"/>
              </w:rPr>
              <w:t>Base Charges – Phase 2</w:t>
              <w:tab/>
              <w:t>5</w:t>
            </w:r>
          </w:hyperlink>
        </w:p>
        <w:p>
          <w:pPr>
            <w:pStyle w:val="TOC1"/>
            <w:tabs>
              <w:tab w:val="clear" w:pos="720"/>
              <w:tab w:val="left" w:pos="660" w:leader="none"/>
              <w:tab w:val="right" w:pos="9631" w:leader="dot"/>
            </w:tabs>
            <w:rPr>
              <w:b w:val="false"/>
              <w:bCs w:val="false"/>
              <w:caps w:val="false"/>
              <w:smallCaps w:val="false"/>
              <w:sz w:val="24"/>
              <w:szCs w:val="24"/>
              <w:lang w:val="de-CH" w:eastAsia="en-US"/>
            </w:rPr>
          </w:pPr>
          <w:hyperlink w:anchor="__RefHeading___Toc157909026">
            <w:r>
              <w:rPr>
                <w:rStyle w:val="IndexLink"/>
                <w:lang w:val="en-US" w:eastAsia="en-US"/>
              </w:rPr>
              <w:t>4.0</w:t>
            </w:r>
            <w:r>
              <w:rPr>
                <w:rStyle w:val="IndexLink"/>
                <w:b w:val="false"/>
                <w:bCs w:val="false"/>
                <w:caps w:val="false"/>
                <w:smallCaps w:val="false"/>
                <w:sz w:val="24"/>
                <w:szCs w:val="24"/>
                <w:lang w:val="de-CH" w:eastAsia="en-US"/>
              </w:rPr>
              <w:tab/>
            </w:r>
            <w:r>
              <w:rPr>
                <w:rStyle w:val="IndexLink"/>
                <w:lang w:val="en-US" w:eastAsia="en-US"/>
              </w:rPr>
              <w:t>Additional and Reduced Resource Charges (ARCs and RRCs)</w:t>
              <w:tab/>
              <w:t>6</w:t>
            </w:r>
          </w:hyperlink>
        </w:p>
        <w:p>
          <w:pPr>
            <w:pStyle w:val="TOC1"/>
            <w:tabs>
              <w:tab w:val="clear" w:pos="720"/>
              <w:tab w:val="left" w:pos="660" w:leader="none"/>
              <w:tab w:val="right" w:pos="9631" w:leader="dot"/>
            </w:tabs>
            <w:rPr>
              <w:b w:val="false"/>
              <w:bCs w:val="false"/>
              <w:caps w:val="false"/>
              <w:smallCaps w:val="false"/>
              <w:sz w:val="24"/>
              <w:szCs w:val="24"/>
              <w:lang w:val="de-CH" w:eastAsia="en-US"/>
            </w:rPr>
          </w:pPr>
          <w:hyperlink w:anchor="__RefHeading___Toc157909027">
            <w:r>
              <w:rPr>
                <w:rStyle w:val="IndexLink"/>
                <w:lang w:val="en-US" w:eastAsia="en-US"/>
              </w:rPr>
              <w:t>5.0</w:t>
            </w:r>
            <w:r>
              <w:rPr>
                <w:rStyle w:val="IndexLink"/>
                <w:b w:val="false"/>
                <w:bCs w:val="false"/>
                <w:caps w:val="false"/>
                <w:smallCaps w:val="false"/>
                <w:sz w:val="24"/>
                <w:szCs w:val="24"/>
                <w:lang w:val="de-CH" w:eastAsia="en-US"/>
              </w:rPr>
              <w:tab/>
            </w:r>
            <w:r>
              <w:rPr>
                <w:rStyle w:val="IndexLink"/>
                <w:lang w:val="en-US" w:eastAsia="en-US"/>
              </w:rPr>
              <w:t>Invoicing and Payment</w:t>
              <w:tab/>
              <w:t>7</w:t>
            </w:r>
          </w:hyperlink>
        </w:p>
        <w:p>
          <w:pPr>
            <w:pStyle w:val="TOC1"/>
            <w:tabs>
              <w:tab w:val="clear" w:pos="720"/>
              <w:tab w:val="left" w:pos="660" w:leader="none"/>
              <w:tab w:val="right" w:pos="9631" w:leader="dot"/>
            </w:tabs>
            <w:rPr>
              <w:b w:val="false"/>
              <w:bCs w:val="false"/>
              <w:caps w:val="false"/>
              <w:smallCaps w:val="false"/>
              <w:sz w:val="24"/>
              <w:szCs w:val="24"/>
              <w:lang w:val="de-CH" w:eastAsia="en-US"/>
            </w:rPr>
          </w:pPr>
          <w:hyperlink w:anchor="__RefHeading___Toc157909028">
            <w:r>
              <w:rPr>
                <w:rStyle w:val="IndexLink"/>
                <w:lang w:val="en-US" w:eastAsia="en-US"/>
              </w:rPr>
              <w:t>6.0</w:t>
            </w:r>
            <w:r>
              <w:rPr>
                <w:rStyle w:val="IndexLink"/>
                <w:b w:val="false"/>
                <w:bCs w:val="false"/>
                <w:caps w:val="false"/>
                <w:smallCaps w:val="false"/>
                <w:sz w:val="24"/>
                <w:szCs w:val="24"/>
                <w:lang w:val="de-CH" w:eastAsia="en-US"/>
              </w:rPr>
              <w:tab/>
            </w:r>
            <w:r>
              <w:rPr>
                <w:rStyle w:val="IndexLink"/>
                <w:lang w:val="en-US" w:eastAsia="en-US"/>
              </w:rPr>
              <w:t>Foreign Exchange</w:t>
              <w:tab/>
              <w:t>7</w:t>
            </w:r>
          </w:hyperlink>
        </w:p>
        <w:p>
          <w:pPr>
            <w:pStyle w:val="TOC1"/>
            <w:tabs>
              <w:tab w:val="clear" w:pos="720"/>
              <w:tab w:val="left" w:pos="660" w:leader="none"/>
              <w:tab w:val="right" w:pos="9631" w:leader="dot"/>
            </w:tabs>
            <w:rPr>
              <w:b w:val="false"/>
              <w:bCs w:val="false"/>
              <w:caps w:val="false"/>
              <w:smallCaps w:val="false"/>
              <w:sz w:val="24"/>
              <w:szCs w:val="24"/>
              <w:lang w:val="de-CH" w:eastAsia="en-US"/>
            </w:rPr>
          </w:pPr>
          <w:hyperlink w:anchor="__RefHeading___Toc157909029">
            <w:r>
              <w:rPr>
                <w:rStyle w:val="IndexLink"/>
                <w:lang w:val="en-US" w:eastAsia="en-US"/>
              </w:rPr>
              <w:t>7.0</w:t>
            </w:r>
            <w:r>
              <w:rPr>
                <w:rStyle w:val="IndexLink"/>
                <w:b w:val="false"/>
                <w:bCs w:val="false"/>
                <w:caps w:val="false"/>
                <w:smallCaps w:val="false"/>
                <w:sz w:val="24"/>
                <w:szCs w:val="24"/>
                <w:lang w:val="de-CH" w:eastAsia="en-US"/>
              </w:rPr>
              <w:tab/>
            </w:r>
            <w:r>
              <w:rPr>
                <w:rStyle w:val="IndexLink"/>
                <w:lang w:val="en-US" w:eastAsia="en-US"/>
              </w:rPr>
              <w:t>Pass-Through Expenses</w:t>
              <w:tab/>
              <w:t>8</w:t>
            </w:r>
          </w:hyperlink>
        </w:p>
        <w:p>
          <w:pPr>
            <w:pStyle w:val="TOC1"/>
            <w:tabs>
              <w:tab w:val="clear" w:pos="720"/>
              <w:tab w:val="left" w:pos="660" w:leader="none"/>
              <w:tab w:val="right" w:pos="9631" w:leader="dot"/>
            </w:tabs>
            <w:rPr>
              <w:b w:val="false"/>
              <w:bCs w:val="false"/>
              <w:caps w:val="false"/>
              <w:smallCaps w:val="false"/>
              <w:sz w:val="24"/>
              <w:szCs w:val="24"/>
              <w:lang w:val="de-CH" w:eastAsia="en-US"/>
            </w:rPr>
          </w:pPr>
          <w:hyperlink w:anchor="__RefHeading___Toc157909030">
            <w:r>
              <w:rPr>
                <w:rStyle w:val="IndexLink"/>
                <w:lang w:val="en-US" w:eastAsia="en-US"/>
              </w:rPr>
              <w:t>8.0</w:t>
            </w:r>
            <w:r>
              <w:rPr>
                <w:rStyle w:val="IndexLink"/>
                <w:b w:val="false"/>
                <w:bCs w:val="false"/>
                <w:caps w:val="false"/>
                <w:smallCaps w:val="false"/>
                <w:sz w:val="24"/>
                <w:szCs w:val="24"/>
                <w:lang w:val="de-CH" w:eastAsia="en-US"/>
              </w:rPr>
              <w:tab/>
            </w:r>
            <w:r>
              <w:rPr>
                <w:rStyle w:val="IndexLink"/>
                <w:lang w:val="en-US" w:eastAsia="en-US"/>
              </w:rPr>
              <w:t>Incentives to Reduce Costs</w:t>
              <w:tab/>
              <w:t>8</w:t>
            </w:r>
          </w:hyperlink>
        </w:p>
        <w:p>
          <w:pPr>
            <w:pStyle w:val="TOC1"/>
            <w:tabs>
              <w:tab w:val="clear" w:pos="720"/>
              <w:tab w:val="left" w:pos="660" w:leader="none"/>
              <w:tab w:val="right" w:pos="9631" w:leader="dot"/>
            </w:tabs>
            <w:rPr>
              <w:b w:val="false"/>
              <w:bCs w:val="false"/>
              <w:caps w:val="false"/>
              <w:smallCaps w:val="false"/>
              <w:sz w:val="24"/>
              <w:szCs w:val="24"/>
              <w:lang w:val="de-CH" w:eastAsia="en-US"/>
            </w:rPr>
          </w:pPr>
          <w:hyperlink w:anchor="__RefHeading___Toc157909031">
            <w:r>
              <w:rPr>
                <w:rStyle w:val="IndexLink"/>
                <w:lang w:val="en-US" w:eastAsia="en-US"/>
              </w:rPr>
              <w:t>9.0</w:t>
            </w:r>
            <w:r>
              <w:rPr>
                <w:rStyle w:val="IndexLink"/>
                <w:b w:val="false"/>
                <w:bCs w:val="false"/>
                <w:caps w:val="false"/>
                <w:smallCaps w:val="false"/>
                <w:sz w:val="24"/>
                <w:szCs w:val="24"/>
                <w:lang w:val="de-CH" w:eastAsia="en-US"/>
              </w:rPr>
              <w:tab/>
            </w:r>
            <w:r>
              <w:rPr>
                <w:rStyle w:val="IndexLink"/>
                <w:lang w:val="en-US" w:eastAsia="en-US"/>
              </w:rPr>
              <w:t>Guaranteed Price Decreases</w:t>
              <w:tab/>
              <w:t>9</w:t>
            </w:r>
          </w:hyperlink>
        </w:p>
        <w:p>
          <w:pPr>
            <w:pStyle w:val="TOC1"/>
            <w:tabs>
              <w:tab w:val="clear" w:pos="720"/>
              <w:tab w:val="left" w:pos="660" w:leader="none"/>
              <w:tab w:val="right" w:pos="9631" w:leader="dot"/>
            </w:tabs>
            <w:rPr>
              <w:b w:val="false"/>
              <w:bCs w:val="false"/>
              <w:caps w:val="false"/>
              <w:smallCaps w:val="false"/>
              <w:sz w:val="24"/>
              <w:szCs w:val="24"/>
              <w:lang w:val="de-CH" w:eastAsia="en-US"/>
            </w:rPr>
          </w:pPr>
          <w:hyperlink w:anchor="__RefHeading___Toc157909032">
            <w:r>
              <w:rPr>
                <w:rStyle w:val="IndexLink"/>
                <w:lang w:val="en-US" w:eastAsia="en-US"/>
              </w:rPr>
              <w:t>10.0</w:t>
            </w:r>
            <w:r>
              <w:rPr>
                <w:rStyle w:val="IndexLink"/>
                <w:b w:val="false"/>
                <w:bCs w:val="false"/>
                <w:caps w:val="false"/>
                <w:smallCaps w:val="false"/>
                <w:sz w:val="24"/>
                <w:szCs w:val="24"/>
                <w:lang w:val="de-CH" w:eastAsia="en-US"/>
              </w:rPr>
              <w:tab/>
            </w:r>
            <w:r>
              <w:rPr>
                <w:rStyle w:val="IndexLink"/>
                <w:lang w:val="en-US" w:eastAsia="en-US"/>
              </w:rPr>
              <w:t>Gain-Sharing Mechanism</w:t>
              <w:tab/>
              <w:t>9</w:t>
            </w:r>
          </w:hyperlink>
        </w:p>
        <w:p>
          <w:pPr>
            <w:pStyle w:val="TOC1"/>
            <w:tabs>
              <w:tab w:val="clear" w:pos="720"/>
              <w:tab w:val="left" w:pos="660" w:leader="none"/>
              <w:tab w:val="right" w:pos="9631" w:leader="dot"/>
            </w:tabs>
            <w:rPr>
              <w:b w:val="false"/>
              <w:bCs w:val="false"/>
              <w:caps w:val="false"/>
              <w:smallCaps w:val="false"/>
              <w:sz w:val="24"/>
              <w:szCs w:val="24"/>
              <w:lang w:val="de-CH" w:eastAsia="en-US"/>
            </w:rPr>
          </w:pPr>
          <w:hyperlink w:anchor="__RefHeading___Toc157909033">
            <w:r>
              <w:rPr>
                <w:rStyle w:val="IndexLink"/>
                <w:lang w:val="en-US" w:eastAsia="en-US"/>
              </w:rPr>
              <w:t>11.0</w:t>
            </w:r>
            <w:r>
              <w:rPr>
                <w:rStyle w:val="IndexLink"/>
                <w:b w:val="false"/>
                <w:bCs w:val="false"/>
                <w:caps w:val="false"/>
                <w:smallCaps w:val="false"/>
                <w:sz w:val="24"/>
                <w:szCs w:val="24"/>
                <w:lang w:val="de-CH" w:eastAsia="en-US"/>
              </w:rPr>
              <w:tab/>
            </w:r>
            <w:r>
              <w:rPr>
                <w:rStyle w:val="IndexLink"/>
                <w:lang w:val="en-US" w:eastAsia="en-US"/>
              </w:rPr>
              <w:t>Service Provider Financial Responsibilities</w:t>
              <w:tab/>
              <w:t>10</w:t>
            </w:r>
          </w:hyperlink>
        </w:p>
        <w:p>
          <w:pPr>
            <w:pStyle w:val="TOC1"/>
            <w:tabs>
              <w:tab w:val="clear" w:pos="720"/>
              <w:tab w:val="left" w:pos="660" w:leader="none"/>
              <w:tab w:val="right" w:pos="9631" w:leader="dot"/>
            </w:tabs>
            <w:rPr>
              <w:sz w:val="24"/>
              <w:szCs w:val="24"/>
              <w:lang w:val="de-CH" w:eastAsia="en-US"/>
            </w:rPr>
          </w:pPr>
          <w:hyperlink w:anchor="__RefHeading___Toc157909034">
            <w:r>
              <w:rPr>
                <w:rStyle w:val="IndexLink"/>
                <w:b w:val="false"/>
                <w:bCs w:val="false"/>
                <w:caps w:val="false"/>
                <w:smallCaps w:val="false"/>
                <w:lang w:val="en-US" w:eastAsia="en-US"/>
              </w:rPr>
              <w:t>12.0</w:t>
            </w:r>
            <w:r>
              <w:rPr>
                <w:rStyle w:val="IndexLink"/>
                <w:b w:val="false"/>
                <w:bCs w:val="false"/>
                <w:caps w:val="false"/>
                <w:smallCaps w:val="false"/>
                <w:sz w:val="24"/>
                <w:szCs w:val="24"/>
                <w:lang w:val="de-CH" w:eastAsia="en-US"/>
              </w:rPr>
              <w:tab/>
            </w:r>
            <w:r>
              <w:rPr>
                <w:rStyle w:val="IndexLink"/>
                <w:b w:val="false"/>
                <w:bCs w:val="false"/>
                <w:caps w:val="false"/>
                <w:smallCaps w:val="false"/>
                <w:lang w:val="en-US" w:eastAsia="en-US"/>
              </w:rPr>
              <w:t>Adjustments for Inflation and Deflation</w:t>
              <w:tab/>
              <w:t>10</w:t>
            </w:r>
          </w:hyperlink>
          <w:r>
            <w:rPr>
              <w:rStyle w:val="IndexLink"/>
              <w:smallCaps w:val="false"/>
              <w:caps w:val="false"/>
              <w:b w:val="false"/>
              <w:bCs w:val="false"/>
              <w:lang w:val="en-US" w:eastAsia="en-US"/>
            </w:rPr>
            <w:fldChar w:fldCharType="end"/>
          </w:r>
        </w:p>
      </w:sdtContent>
    </w:sdt>
    <w:p>
      <w:pPr>
        <w:pStyle w:val="Normal"/>
        <w:rPr>
          <w:b/>
          <w:bCs/>
          <w:caps/>
          <w:sz w:val="20"/>
          <w:szCs w:val="20"/>
          <w:lang w:val="en-GB" w:eastAsia="en-US"/>
        </w:rPr>
      </w:pPr>
      <w:r>
        <w:rPr>
          <w:b/>
          <w:bCs/>
          <w:caps/>
          <w:sz w:val="20"/>
          <w:szCs w:val="20"/>
          <w:lang w:val="en-GB" w:eastAsia="en-US"/>
        </w:rPr>
      </w:r>
      <w:r>
        <w:br w:type="page"/>
      </w:r>
    </w:p>
    <w:p>
      <w:pPr>
        <w:pStyle w:val="Normal"/>
        <w:rPr>
          <w:lang w:val="en-GB"/>
        </w:rPr>
      </w:pPr>
      <w:r>
        <w:rPr>
          <w:lang w:val="en-GB"/>
        </w:rPr>
      </w:r>
    </w:p>
    <w:p>
      <w:pPr>
        <w:pStyle w:val="Formatvorlage1"/>
        <w:numPr>
          <w:ilvl w:val="0"/>
          <w:numId w:val="12"/>
        </w:numPr>
        <w:ind w:hanging="0" w:start="0"/>
        <w:rPr>
          <w:rFonts w:ascii="Arial" w:hAnsi="Arial" w:cs="Arial"/>
          <w:szCs w:val="22"/>
        </w:rPr>
      </w:pPr>
      <w:bookmarkStart w:id="0" w:name="__RefHeading___Toc157909023"/>
      <w:bookmarkEnd w:id="0"/>
      <w:r>
        <w:rPr/>
        <w:t>General</w:t>
      </w:r>
    </w:p>
    <w:p>
      <w:pPr>
        <w:pStyle w:val="BodyText"/>
        <w:rPr>
          <w:szCs w:val="22"/>
          <w:lang w:val="en-GB"/>
        </w:rPr>
      </w:pPr>
      <w:r>
        <w:rPr>
          <w:lang w:val="en-GB"/>
        </w:rPr>
        <w:t>In addition to the requirements specified in The Agreements, this Exhibit contains pricing and financial provisions related to The Agreements.</w:t>
      </w:r>
    </w:p>
    <w:p>
      <w:pPr>
        <w:pStyle w:val="BodyText"/>
        <w:rPr>
          <w:szCs w:val="22"/>
          <w:lang w:val="en-GB"/>
        </w:rPr>
      </w:pPr>
      <w:r>
        <w:rPr>
          <w:lang w:val="en-GB"/>
        </w:rPr>
        <w:t>The following Attachments are attached hereto to this Exhibit and are hereby incorporated by reference:</w:t>
      </w:r>
    </w:p>
    <w:p>
      <w:pPr>
        <w:pStyle w:val="BodyText"/>
        <w:rPr>
          <w:lang w:val="en-GB"/>
        </w:rPr>
      </w:pPr>
      <w:r>
        <w:rPr>
          <w:b/>
          <w:bCs/>
          <w:lang w:val="en-GB"/>
        </w:rPr>
        <w:t>Attachment 4-A</w:t>
      </w:r>
      <w:r>
        <w:rPr>
          <w:lang w:val="en-GB"/>
        </w:rPr>
        <w:t>: Service Provider Pricing Forms. The Service Provider will use this Attachment to submit its price for the Services.</w:t>
      </w:r>
    </w:p>
    <w:p>
      <w:pPr>
        <w:pStyle w:val="BodyText"/>
        <w:rPr>
          <w:szCs w:val="22"/>
          <w:lang w:val="en-GB"/>
        </w:rPr>
      </w:pPr>
      <w:r>
        <w:rPr>
          <w:b/>
          <w:bCs/>
          <w:lang w:val="en-GB"/>
        </w:rPr>
        <w:t>Attachment 4-A(2)</w:t>
      </w:r>
      <w:r>
        <w:rPr>
          <w:lang w:val="en-GB"/>
        </w:rPr>
        <w:t>: Pricing Forms for Phase 2</w:t>
      </w:r>
    </w:p>
    <w:p>
      <w:pPr>
        <w:pStyle w:val="BodyText"/>
        <w:rPr>
          <w:szCs w:val="22"/>
          <w:lang w:val="en-GB"/>
        </w:rPr>
      </w:pPr>
      <w:r>
        <w:rPr>
          <w:b/>
          <w:bCs/>
          <w:lang w:val="en-GB"/>
        </w:rPr>
        <w:t>Attachment 4-B: Financial Responsibility Matrix. This matrix describes the financial responsibility of GlobalPharma and the Service Provider for functions and assets associated with the Services</w:t>
      </w:r>
      <w:r>
        <w:rPr>
          <w:lang w:val="en-GB"/>
        </w:rPr>
      </w:r>
    </w:p>
    <w:p>
      <w:pPr>
        <w:pStyle w:val="BodyText"/>
        <w:rPr>
          <w:szCs w:val="22"/>
          <w:lang w:val="en-GB"/>
        </w:rPr>
      </w:pPr>
      <w:r>
        <w:rPr>
          <w:b/>
          <w:bCs/>
          <w:lang w:val="en-GB"/>
        </w:rPr>
        <w:t>Attachment 4-C: Financial Base Case. This Attachment contains GlobalPharma’s projection of its expenses associated with the Services if GlobalPharma does not enter into an Agreement with the Service Provider.</w:t>
      </w:r>
      <w:r>
        <w:rPr>
          <w:lang w:val="en-GB"/>
        </w:rPr>
      </w:r>
    </w:p>
    <w:p>
      <w:pPr>
        <w:pStyle w:val="BodyText"/>
        <w:rPr>
          <w:b/>
          <w:bCs/>
          <w:lang w:val="en-GB"/>
        </w:rPr>
      </w:pPr>
      <w:r>
        <w:rPr>
          <w:b/>
          <w:bCs/>
          <w:lang w:val="en-GB"/>
        </w:rPr>
        <w:t>Attachment 4-D: Resource Zurichines. This Attachment contains the forecast of Resource Units by GlobalPharma over the Term of the Agreement. The Service Provider’s Base Charges will assume the provision of the Resource Units included within the Resource Zurichines.  Resource Zurichine is subject to re-validation during SolID. There will be no changes in the Base Charge other than those agreed to and approved by GlobalPharma through the change control process.</w:t>
      </w:r>
      <w:r>
        <w:rPr>
          <w:lang w:val="en-GB"/>
        </w:rPr>
      </w:r>
    </w:p>
    <w:p>
      <w:pPr>
        <w:pStyle w:val="BodyText"/>
        <w:rPr>
          <w:lang w:val="en-GB"/>
        </w:rPr>
      </w:pPr>
      <w:r>
        <w:rPr>
          <w:b/>
          <w:bCs/>
          <w:lang w:val="en-GB"/>
        </w:rPr>
        <w:t>Attachment 4-D1: Volumetric. This Attachment contains the forecast of Volumetric Units by GlobalPharma over the Term of the Agreement. The Service Provider’s Base Charges will assume the provision of the Volumetric Units included within the Resource Zurichines. Attachment 4-D1 is subject to re-validation during SolID. There will be no changes in the Base Charge other than those agreed to and approved by GlobalPharma through the change control process.</w:t>
      </w:r>
      <w:r>
        <w:rPr>
          <w:lang w:val="en-GB"/>
        </w:rPr>
      </w:r>
    </w:p>
    <w:p>
      <w:pPr>
        <w:pStyle w:val="BodyText"/>
        <w:rPr/>
      </w:pPr>
      <w:r>
        <w:rPr>
          <w:b/>
          <w:bCs/>
          <w:lang w:val="en-GB"/>
        </w:rPr>
        <w:t xml:space="preserve">Attachment 4E </w:t>
      </w:r>
      <w:r>
        <w:rPr>
          <w:szCs w:val="22"/>
          <w:lang w:val="en-GB"/>
        </w:rPr>
        <w:t>– Project rate Card</w:t>
      </w:r>
    </w:p>
    <w:p>
      <w:pPr>
        <w:pStyle w:val="BodyText"/>
        <w:rPr>
          <w:rFonts w:ascii="Arial" w:hAnsi="Arial" w:cs="Arial"/>
          <w:szCs w:val="22"/>
          <w:lang w:val="en-GB"/>
        </w:rPr>
      </w:pPr>
      <w:r>
        <w:rPr>
          <w:szCs w:val="22"/>
          <w:lang w:val="en-GB"/>
        </w:rPr>
        <w:t xml:space="preserve">The Service Provider must provide pricing in U. S. Dollars for its services performed out of its delivery centres in India. Services provided from the service provider’s centres in Europe have to be priced in Euros. Prices in Attachment 4A (Service Provider Pricing Form) are quoted in U.S. Dollars. </w:t>
      </w:r>
      <w:r>
        <w:rPr>
          <w:color w:val="000000"/>
          <w:szCs w:val="22"/>
        </w:rPr>
        <w:t xml:space="preserve">To convert Euro to U.S. Dollars, an Exchange Rate of 1.3 U.S. Dollars = 1 Euro was used in </w:t>
      </w:r>
      <w:r>
        <w:rPr>
          <w:b/>
          <w:color w:val="000000"/>
          <w:szCs w:val="22"/>
        </w:rPr>
        <w:t>Attachment 4-A</w:t>
      </w:r>
      <w:r>
        <w:rPr>
          <w:color w:val="000000"/>
          <w:szCs w:val="22"/>
        </w:rPr>
        <w:t>. The procedure for adjustments to the Exchange Rates are described in section 6.0 Foreign Exchange.</w:t>
      </w:r>
    </w:p>
    <w:p>
      <w:pPr>
        <w:pStyle w:val="BodyText"/>
        <w:rPr>
          <w:rFonts w:ascii="Arial" w:hAnsi="Arial" w:cs="Arial"/>
          <w:szCs w:val="22"/>
          <w:lang w:val="en-GB"/>
        </w:rPr>
      </w:pPr>
      <w:r>
        <w:rPr>
          <w:rFonts w:cs="Arial" w:ascii="Arial" w:hAnsi="Arial"/>
          <w:szCs w:val="22"/>
          <w:lang w:val="en-GB"/>
        </w:rPr>
        <w:tab/>
      </w:r>
    </w:p>
    <w:p>
      <w:pPr>
        <w:pStyle w:val="Formatvorlage1"/>
        <w:numPr>
          <w:ilvl w:val="0"/>
          <w:numId w:val="12"/>
        </w:numPr>
        <w:ind w:hanging="0" w:start="0"/>
        <w:rPr/>
      </w:pPr>
      <w:bookmarkStart w:id="1" w:name="__RefHeading___Toc157909024"/>
      <w:bookmarkEnd w:id="1"/>
      <w:r>
        <w:rPr/>
        <w:t>Base Charges – Phase 1</w:t>
      </w:r>
    </w:p>
    <w:p>
      <w:pPr>
        <w:pStyle w:val="TableLevel1Numbered"/>
        <w:numPr>
          <w:ilvl w:val="0"/>
          <w:numId w:val="8"/>
        </w:numPr>
        <w:ind w:hanging="0" w:start="0"/>
        <w:rPr>
          <w:lang w:val="en-GB"/>
        </w:rPr>
      </w:pPr>
      <w:r>
        <w:rPr/>
        <w:t>The Supplier Pricing Form (Attachment 4A) details pricing in terms of Service Provider FTE’s supporting GlobalPharma.</w:t>
      </w:r>
      <w:r>
        <w:rPr>
          <w:b/>
        </w:rPr>
      </w:r>
      <w:r>
        <w:rPr/>
      </w:r>
    </w:p>
    <w:p>
      <w:pPr>
        <w:pStyle w:val="TableLevel1Numbered"/>
        <w:numPr>
          <w:ilvl w:val="0"/>
          <w:numId w:val="8"/>
        </w:numPr>
        <w:ind w:hanging="0" w:start="0"/>
        <w:rPr>
          <w:rFonts w:ascii="Arial" w:hAnsi="Arial" w:cs="Arial"/>
          <w:szCs w:val="22"/>
          <w:lang w:val="en-GB"/>
        </w:rPr>
      </w:pPr>
      <w:r>
        <w:rPr/>
        <w:t>The Service Provider is required to provide separate Base Charges and definitions of billable utilization for each of the following components:</w:t>
      </w:r>
    </w:p>
    <w:p>
      <w:pPr>
        <w:pStyle w:val="TableLevel2Numbered"/>
        <w:numPr>
          <w:ilvl w:val="1"/>
          <w:numId w:val="8"/>
        </w:numPr>
        <w:tabs>
          <w:tab w:val="clear" w:pos="720"/>
          <w:tab w:val="left" w:pos="1620" w:leader="none"/>
        </w:tabs>
        <w:ind w:hanging="0" w:start="1080" w:end="0"/>
        <w:rPr>
          <w:rFonts w:ascii="Arial" w:hAnsi="Arial" w:cs="Arial"/>
          <w:szCs w:val="22"/>
          <w:lang w:val="en-GB"/>
        </w:rPr>
      </w:pPr>
      <w:r>
        <w:rPr/>
        <w:t>Cross Functional Services</w:t>
      </w:r>
    </w:p>
    <w:p>
      <w:pPr>
        <w:pStyle w:val="BodyText"/>
        <w:ind w:start="1620" w:end="0"/>
        <w:rPr>
          <w:rFonts w:ascii="Arial" w:hAnsi="Arial" w:cs="Arial"/>
          <w:szCs w:val="22"/>
          <w:lang w:val="en-GB"/>
        </w:rPr>
      </w:pPr>
      <w:r>
        <w:rPr/>
        <w:t xml:space="preserve">Cross Functional Services, as described in </w:t>
      </w:r>
      <w:r>
        <w:rPr>
          <w:b/>
        </w:rPr>
        <w:t>Exhibit 2.1</w:t>
      </w:r>
      <w:r>
        <w:rPr/>
        <w:t xml:space="preserve">, should not be priced separately, but should be included in the unit pricing for each class of Service.  </w:t>
      </w:r>
    </w:p>
    <w:p>
      <w:pPr>
        <w:pStyle w:val="TableLevel2Numbered"/>
        <w:numPr>
          <w:ilvl w:val="1"/>
          <w:numId w:val="8"/>
        </w:numPr>
        <w:tabs>
          <w:tab w:val="clear" w:pos="720"/>
          <w:tab w:val="left" w:pos="1620" w:leader="none"/>
        </w:tabs>
        <w:ind w:hanging="0" w:start="1080" w:end="0"/>
        <w:rPr/>
      </w:pPr>
      <w:r>
        <w:rPr/>
        <w:t>F&amp;A Services</w:t>
        <w:tab/>
      </w:r>
    </w:p>
    <w:p>
      <w:pPr>
        <w:pStyle w:val="BodyText"/>
        <w:ind w:start="1620" w:end="0"/>
        <w:rPr>
          <w:rFonts w:ascii="Arial" w:hAnsi="Arial" w:cs="Arial"/>
          <w:szCs w:val="22"/>
          <w:lang w:val="en-GB"/>
        </w:rPr>
      </w:pPr>
      <w:r>
        <w:rPr/>
        <w:t xml:space="preserve">The F&amp;A Services pricing should be based on the Resource Zurichines contained in Attachment 4-D. </w:t>
      </w:r>
      <w:r>
        <w:rPr>
          <w:b/>
        </w:rPr>
      </w:r>
      <w:r>
        <w:rPr/>
      </w:r>
      <w:r>
        <w:rPr>
          <w:rFonts w:cs="Arial" w:ascii="Arial" w:hAnsi="Arial"/>
          <w:szCs w:val="22"/>
          <w:lang w:val="en-GB"/>
        </w:rPr>
      </w:r>
    </w:p>
    <w:p>
      <w:pPr>
        <w:pStyle w:val="BodyText"/>
        <w:ind w:start="1620" w:end="0"/>
        <w:rPr>
          <w:rFonts w:ascii="Arial" w:hAnsi="Arial" w:cs="Arial"/>
          <w:szCs w:val="22"/>
          <w:lang w:val="en-GB"/>
        </w:rPr>
      </w:pPr>
      <w:r>
        <w:rPr/>
        <w:t>The billable Resource Units are defined as follows: FTE (full time equivalent - see definition in the base case assumption)</w:t>
      </w:r>
      <w:r>
        <w:rPr>
          <w:rFonts w:cs="Arial" w:ascii="Arial" w:hAnsi="Arial"/>
          <w:szCs w:val="22"/>
          <w:lang w:val="en-GB"/>
        </w:rPr>
        <w:t xml:space="preserve"> </w:t>
      </w:r>
    </w:p>
    <w:p>
      <w:pPr>
        <w:pStyle w:val="BodyText"/>
        <w:ind w:start="1620" w:end="0"/>
        <w:rPr/>
      </w:pPr>
      <w:r>
        <w:rPr>
          <w:b/>
        </w:rPr>
        <w:t>General Ledger and Sox FTE</w:t>
      </w:r>
      <w:r>
        <w:rPr/>
        <w:t xml:space="preserve">: One resource unit providing services as described in the </w:t>
      </w:r>
      <w:r>
        <w:rPr>
          <w:b/>
        </w:rPr>
        <w:t>Exhibits 2.2</w:t>
      </w:r>
      <w:r>
        <w:rPr/>
        <w:t xml:space="preserve"> and </w:t>
      </w:r>
      <w:r>
        <w:rPr>
          <w:b/>
        </w:rPr>
        <w:t>2.8</w:t>
      </w:r>
      <w:r>
        <w:rPr/>
        <w:t xml:space="preserve"> shall be equal to one (1) General Ledger and Sox FTE.</w:t>
      </w:r>
    </w:p>
    <w:p>
      <w:pPr>
        <w:pStyle w:val="BodyText"/>
        <w:ind w:start="1620" w:end="0"/>
        <w:rPr/>
      </w:pPr>
      <w:r>
        <w:rPr>
          <w:b/>
        </w:rPr>
        <w:t>Fixed Assets FTE</w:t>
      </w:r>
      <w:r>
        <w:rPr/>
        <w:t xml:space="preserve">: One resource unit providing services as described in the </w:t>
      </w:r>
      <w:r>
        <w:rPr>
          <w:b/>
        </w:rPr>
        <w:t>Exhibit 2.3</w:t>
      </w:r>
      <w:r>
        <w:rPr/>
        <w:t xml:space="preserve"> shall be equal to one (1) Fixed Assets FTE.</w:t>
      </w:r>
    </w:p>
    <w:p>
      <w:pPr>
        <w:pStyle w:val="BodyText"/>
        <w:ind w:start="1620" w:end="0"/>
        <w:rPr/>
      </w:pPr>
      <w:r>
        <w:rPr>
          <w:b/>
        </w:rPr>
        <w:t>Requisition To Pay FTE</w:t>
      </w:r>
      <w:r>
        <w:rPr/>
        <w:t xml:space="preserve">: One resource unit providing services as described in the </w:t>
      </w:r>
      <w:r>
        <w:rPr>
          <w:b/>
        </w:rPr>
        <w:t>Exhibit 2.4</w:t>
      </w:r>
      <w:r>
        <w:rPr/>
        <w:t xml:space="preserve"> shall be equal to one (1) Requisition To Pay FTE.</w:t>
      </w:r>
    </w:p>
    <w:p>
      <w:pPr>
        <w:pStyle w:val="BodyText"/>
        <w:ind w:start="1620" w:end="0"/>
        <w:rPr/>
      </w:pPr>
      <w:r>
        <w:rPr>
          <w:b/>
        </w:rPr>
        <w:t>Accounts Payable FTE</w:t>
      </w:r>
      <w:r>
        <w:rPr/>
        <w:t xml:space="preserve">: One resource unit providing services as described in the </w:t>
      </w:r>
      <w:r>
        <w:rPr>
          <w:b/>
        </w:rPr>
        <w:t>Exhibit 2.5</w:t>
      </w:r>
      <w:r>
        <w:rPr/>
        <w:t xml:space="preserve"> shall be equal to one (1) Accounts Payable FTE.</w:t>
      </w:r>
    </w:p>
    <w:p>
      <w:pPr>
        <w:pStyle w:val="BodyText"/>
        <w:ind w:start="1620" w:end="0"/>
        <w:rPr/>
      </w:pPr>
      <w:r>
        <w:rPr>
          <w:b/>
        </w:rPr>
        <w:t>Travel and Expense FTE</w:t>
      </w:r>
      <w:r>
        <w:rPr/>
        <w:t xml:space="preserve">: One resource unit providing services as described in the </w:t>
      </w:r>
      <w:r>
        <w:rPr>
          <w:b/>
        </w:rPr>
        <w:t>Exhibit 2.6</w:t>
      </w:r>
      <w:r>
        <w:rPr/>
        <w:t xml:space="preserve"> shall be equal to one (1) Travel and Expense FTE.</w:t>
      </w:r>
    </w:p>
    <w:p>
      <w:pPr>
        <w:pStyle w:val="BodyText"/>
        <w:ind w:start="1620" w:end="0"/>
        <w:rPr/>
      </w:pPr>
      <w:r>
        <w:rPr>
          <w:b/>
        </w:rPr>
        <w:t>Order To Cash FTE</w:t>
      </w:r>
      <w:r>
        <w:rPr/>
        <w:t xml:space="preserve">: One resource unit providing services as described in the </w:t>
      </w:r>
      <w:r>
        <w:rPr>
          <w:b/>
        </w:rPr>
        <w:t>Exhibit 2.7</w:t>
      </w:r>
      <w:r>
        <w:rPr/>
        <w:t xml:space="preserve"> shall be equal to one (1) Order To Cash FTE.</w:t>
      </w:r>
    </w:p>
    <w:p>
      <w:pPr>
        <w:pStyle w:val="TableLevel1Numbered"/>
        <w:numPr>
          <w:ilvl w:val="0"/>
          <w:numId w:val="8"/>
        </w:numPr>
        <w:ind w:hanging="0" w:start="0"/>
        <w:rPr/>
      </w:pPr>
      <w:r>
        <w:rPr/>
        <w:t xml:space="preserve">The Transition Plan and assumptions are fully described in </w:t>
      </w:r>
      <w:r>
        <w:rPr>
          <w:b/>
        </w:rPr>
        <w:t>Exhibit 21</w:t>
      </w:r>
      <w:r>
        <w:rPr/>
        <w:t xml:space="preserve"> – Transition Plan and any deviation will go through the change control process to assess cost impact. </w:t>
      </w:r>
    </w:p>
    <w:p>
      <w:pPr>
        <w:pStyle w:val="TableLevel1Numbered"/>
        <w:numPr>
          <w:ilvl w:val="0"/>
          <w:numId w:val="8"/>
        </w:numPr>
        <w:ind w:hanging="0" w:start="0"/>
        <w:rPr/>
      </w:pPr>
      <w:r>
        <w:rPr/>
        <w:t>Provided that the current Transition assumptions as described in Exhibit 21 do not change and barring delays caused by GlobalPharma, the Transition charges excluding T&amp;L, are fixed as quoted in Attachment 4-A Pricing Forms. The T&amp;L charges will be billed at actual with a cap of 7% above the quote T&amp;L charges as described in Attachment 4-A, Pricing Forms.</w:t>
      </w:r>
      <w:r>
        <w:rPr>
          <w:b/>
        </w:rPr>
      </w:r>
      <w:r>
        <w:rPr/>
      </w:r>
      <w:r>
        <w:rPr>
          <w:b/>
        </w:rPr>
      </w:r>
      <w:r>
        <w:rPr/>
      </w:r>
      <w:r>
        <w:rPr>
          <w:b/>
        </w:rPr>
      </w:r>
      <w:r>
        <w:rPr/>
      </w:r>
    </w:p>
    <w:p>
      <w:pPr>
        <w:pStyle w:val="TableLevel1Numbered"/>
        <w:numPr>
          <w:ilvl w:val="0"/>
          <w:numId w:val="8"/>
        </w:numPr>
        <w:ind w:hanging="0" w:start="0"/>
        <w:rPr/>
      </w:pPr>
      <w:r>
        <w:rPr/>
        <w:t>Any delay caused by Service Provider and associated additional charges will be borne by Service Provider</w:t>
      </w:r>
    </w:p>
    <w:p>
      <w:pPr>
        <w:pStyle w:val="TableLevel1Numbered"/>
        <w:numPr>
          <w:ilvl w:val="0"/>
          <w:numId w:val="8"/>
        </w:numPr>
        <w:ind w:hanging="0" w:start="0"/>
        <w:rPr/>
      </w:pPr>
      <w:r>
        <w:rPr/>
        <w:t xml:space="preserve">Due Diligence (Exhibit 27) confirmed that the existing flow of information at GlobalPharma will be sufficient to provide for as-is process transfer to Service Provider. Considering the current scale of GA processes in scope; Service Provider further believes that there is not a valid business case for developing a separate workflow solution.  </w:t>
      </w:r>
      <w:r>
        <w:rPr>
          <w:b/>
        </w:rPr>
      </w:r>
      <w:r>
        <w:rPr/>
      </w:r>
    </w:p>
    <w:p>
      <w:pPr>
        <w:pStyle w:val="TableLevel1Numbered"/>
        <w:numPr>
          <w:ilvl w:val="0"/>
          <w:numId w:val="8"/>
        </w:numPr>
        <w:ind w:hanging="0" w:start="0"/>
        <w:rPr/>
      </w:pPr>
      <w:r>
        <w:rPr/>
        <w:t>With regard to Transition, upon the completion of each Wave the Solution Identification (SOLID) will document the FTE count true up and GlobalPharma will be requested to sign off on this report. The final baseline FTE number will be determined after the completion of the transition and GlobalPharma will be requested to sign off on this as well. The net effect of this may change the Base Charge for the specific Country(s).</w:t>
      </w:r>
    </w:p>
    <w:p>
      <w:pPr>
        <w:pStyle w:val="TableLevel1Numbered"/>
        <w:numPr>
          <w:ilvl w:val="0"/>
          <w:numId w:val="8"/>
        </w:numPr>
        <w:ind w:hanging="0" w:start="0"/>
        <w:rPr/>
      </w:pPr>
      <w:r>
        <w:rPr/>
        <w:t>During the Transition phase, each wave reaches the pilot start. The commencement of the Pilot will initiate the Base Charge for that Country and Process(es)</w:t>
      </w:r>
    </w:p>
    <w:p>
      <w:pPr>
        <w:pStyle w:val="TableLevel1Numbered"/>
        <w:numPr>
          <w:ilvl w:val="0"/>
          <w:numId w:val="8"/>
        </w:numPr>
        <w:ind w:hanging="0" w:start="0"/>
        <w:rPr/>
      </w:pPr>
      <w:r>
        <w:rPr/>
        <w:t xml:space="preserve">The price for setting up and annual testing of BCP is given in response to </w:t>
      </w:r>
      <w:r>
        <w:rPr>
          <w:b/>
        </w:rPr>
        <w:t>Exhibit 2.1</w:t>
      </w:r>
      <w:r>
        <w:rPr/>
        <w:t xml:space="preserve"> and </w:t>
      </w:r>
      <w:r>
        <w:rPr>
          <w:b/>
        </w:rPr>
        <w:t>Exhibit 15</w:t>
      </w:r>
      <w:r>
        <w:rPr/>
        <w:t xml:space="preserve"> in this document. If BCP were to be invoked, the costs (excluding set up and testing) would be charged separately. </w:t>
      </w:r>
    </w:p>
    <w:p>
      <w:pPr>
        <w:pStyle w:val="TableLevel1Numbered"/>
        <w:numPr>
          <w:ilvl w:val="0"/>
          <w:numId w:val="8"/>
        </w:numPr>
        <w:ind w:hanging="0" w:start="0"/>
        <w:rPr/>
      </w:pPr>
      <w:bookmarkStart w:id="2" w:name="_1231279389"/>
      <w:bookmarkStart w:id="3" w:name="_1231226448"/>
      <w:bookmarkStart w:id="4" w:name="_1231065866"/>
      <w:bookmarkStart w:id="5" w:name="_1230998005"/>
      <w:bookmarkEnd w:id="2"/>
      <w:bookmarkEnd w:id="3"/>
      <w:bookmarkEnd w:id="4"/>
      <w:bookmarkEnd w:id="5"/>
      <w:r>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6.95pt;height:49.8pt" filled="f" o:ole="">
            <v:imagedata r:id="rId3" o:title=""/>
          </v:shape>
          <o:OLEObject Type="Embed" ProgID="PowerPoint.Show.12" ShapeID="ole_rId2" DrawAspect="Icon" ObjectID="_1000261535" r:id="rId2"/>
        </w:object>
      </w:r>
    </w:p>
    <w:p>
      <w:pPr>
        <w:pStyle w:val="TableLevel1Numbered"/>
        <w:numPr>
          <w:ilvl w:val="0"/>
          <w:numId w:val="0"/>
        </w:numPr>
        <w:ind w:hanging="504" w:start="1044" w:end="0"/>
        <w:rPr/>
      </w:pPr>
      <w:r>
        <w:rPr/>
      </w:r>
    </w:p>
    <w:p>
      <w:pPr>
        <w:pStyle w:val="Formatvorlage1"/>
        <w:numPr>
          <w:ilvl w:val="0"/>
          <w:numId w:val="12"/>
        </w:numPr>
        <w:ind w:hanging="0" w:start="0"/>
        <w:rPr/>
      </w:pPr>
      <w:bookmarkStart w:id="6" w:name="__RefHeading___Toc157909025"/>
      <w:bookmarkEnd w:id="6"/>
      <w:r>
        <w:rPr/>
        <w:t>Base Charges – Phase 2</w:t>
      </w:r>
    </w:p>
    <w:p>
      <w:pPr>
        <w:pStyle w:val="BodyText"/>
        <w:rPr/>
      </w:pPr>
      <w:r>
        <w:rPr/>
        <w:t xml:space="preserve">Phase 2 is contingent on the following factors </w:t>
      </w:r>
    </w:p>
    <w:p>
      <w:pPr>
        <w:pStyle w:val="BodyLevel1Numbered"/>
        <w:numPr>
          <w:ilvl w:val="0"/>
          <w:numId w:val="10"/>
        </w:numPr>
        <w:ind w:hanging="0" w:start="0"/>
        <w:rPr/>
      </w:pPr>
      <w:r>
        <w:rPr/>
        <w:t xml:space="preserve">Successful delivery of the transition for Phase 1. Success is defined as the on-time delivery and acceptance by GlobalPharma of all milestones as defined in Exhibit 21 – Transition. </w:t>
      </w:r>
      <w:r>
        <w:rPr>
          <w:b/>
        </w:rPr>
      </w:r>
      <w:r>
        <w:rPr/>
      </w:r>
    </w:p>
    <w:p>
      <w:pPr>
        <w:pStyle w:val="BodyLevel1Numbered"/>
        <w:numPr>
          <w:ilvl w:val="0"/>
          <w:numId w:val="10"/>
        </w:numPr>
        <w:ind w:hanging="0" w:start="0"/>
        <w:rPr/>
      </w:pPr>
      <w:r>
        <w:rPr/>
        <w:t xml:space="preserve">Delivery of all one time critical deliverables as defined in </w:t>
      </w:r>
      <w:r>
        <w:rPr>
          <w:b/>
        </w:rPr>
        <w:t>Attachment 3-A</w:t>
      </w:r>
      <w:r>
        <w:rPr/>
        <w:t xml:space="preserve"> and </w:t>
      </w:r>
      <w:r>
        <w:rPr>
          <w:b/>
        </w:rPr>
        <w:t>3-C.</w:t>
      </w:r>
    </w:p>
    <w:p>
      <w:pPr>
        <w:pStyle w:val="BodyLevel1Numbered"/>
        <w:numPr>
          <w:ilvl w:val="0"/>
          <w:numId w:val="10"/>
        </w:numPr>
        <w:ind w:hanging="0" w:start="0"/>
        <w:rPr/>
      </w:pPr>
      <w:r>
        <w:rPr/>
        <w:t>Re-validation of GlobalPharma Phase 2 countries in-scope by both parties.</w:t>
      </w:r>
    </w:p>
    <w:p>
      <w:pPr>
        <w:pStyle w:val="BodyLevel1Numbered"/>
        <w:numPr>
          <w:ilvl w:val="0"/>
          <w:numId w:val="10"/>
        </w:numPr>
        <w:ind w:hanging="0" w:start="0"/>
        <w:rPr/>
      </w:pPr>
      <w:r>
        <w:rPr/>
        <w:t xml:space="preserve">Re-validation of pricing as detailed in </w:t>
      </w:r>
      <w:r>
        <w:rPr>
          <w:b/>
        </w:rPr>
        <w:t>Attachment 4-A(2)</w:t>
      </w:r>
      <w:r>
        <w:rPr/>
        <w:t xml:space="preserve"> Phase 2 Pricing.</w:t>
      </w:r>
    </w:p>
    <w:p>
      <w:pPr>
        <w:pStyle w:val="BodyLevel1Numbered"/>
        <w:numPr>
          <w:ilvl w:val="0"/>
          <w:numId w:val="10"/>
        </w:numPr>
        <w:ind w:hanging="0" w:start="0"/>
        <w:rPr/>
      </w:pPr>
      <w:r>
        <w:rPr/>
        <w:t>The data for procurement by Country will be provided by GlobalPharma and the pricing to be provided by Service Provider in the same format as Attachment 4-A(2) for the CPO FRA Countries.</w:t>
      </w:r>
      <w:r>
        <w:rPr>
          <w:b/>
        </w:rPr>
      </w:r>
      <w:r>
        <w:rPr/>
      </w:r>
    </w:p>
    <w:p>
      <w:pPr>
        <w:pStyle w:val="BodyLevel1Numbered"/>
        <w:numPr>
          <w:ilvl w:val="0"/>
          <w:numId w:val="10"/>
        </w:numPr>
        <w:ind w:hanging="0" w:start="0"/>
        <w:rPr/>
      </w:pPr>
      <w:r>
        <w:rPr/>
        <w:t>Agreement of the Maxima Steering Committee.</w:t>
      </w:r>
    </w:p>
    <w:p>
      <w:pPr>
        <w:pStyle w:val="BodyLevel1Numbered"/>
        <w:numPr>
          <w:ilvl w:val="0"/>
          <w:numId w:val="0"/>
        </w:numPr>
        <w:ind w:hanging="547" w:start="1627" w:end="0"/>
        <w:rPr/>
      </w:pPr>
      <w:r>
        <w:rPr/>
      </w:r>
    </w:p>
    <w:p>
      <w:pPr>
        <w:pStyle w:val="BodyText"/>
        <w:rPr>
          <w:lang w:val="en-GB"/>
        </w:rPr>
      </w:pPr>
      <w:r>
        <w:rPr/>
        <w:t>The Service Provider Pricing Form (Attachment 4A) details pricing in terms of Service Provider FTE’s supporting GlobalPharma.</w:t>
      </w:r>
      <w:r>
        <w:rPr>
          <w:b/>
        </w:rPr>
      </w:r>
      <w:r>
        <w:rPr/>
      </w:r>
    </w:p>
    <w:p>
      <w:pPr>
        <w:pStyle w:val="BodyTextBullet"/>
        <w:numPr>
          <w:ilvl w:val="0"/>
          <w:numId w:val="20"/>
        </w:numPr>
        <w:rPr>
          <w:rFonts w:ascii="Arial" w:hAnsi="Arial" w:cs="Arial"/>
          <w:szCs w:val="22"/>
          <w:lang w:val="en-GB"/>
        </w:rPr>
      </w:pPr>
      <w:r>
        <w:rPr/>
        <w:t>The Service Provider is required to provide separate Base Charges and definitions of billable utilization for each of the following components:</w:t>
      </w:r>
    </w:p>
    <w:p>
      <w:pPr>
        <w:pStyle w:val="BodyTextBullet"/>
        <w:numPr>
          <w:ilvl w:val="2"/>
          <w:numId w:val="20"/>
        </w:numPr>
        <w:rPr>
          <w:rFonts w:ascii="Arial" w:hAnsi="Arial" w:cs="Arial"/>
          <w:szCs w:val="22"/>
          <w:lang w:val="en-GB"/>
        </w:rPr>
      </w:pPr>
      <w:r>
        <w:rPr/>
        <w:t>Cross Functional Services</w:t>
      </w:r>
    </w:p>
    <w:p>
      <w:pPr>
        <w:pStyle w:val="BodyTextBullet"/>
        <w:numPr>
          <w:ilvl w:val="2"/>
          <w:numId w:val="20"/>
        </w:numPr>
        <w:rPr>
          <w:rFonts w:ascii="Arial" w:hAnsi="Arial" w:cs="Arial"/>
          <w:szCs w:val="22"/>
          <w:lang w:val="en-GB"/>
        </w:rPr>
      </w:pPr>
      <w:r>
        <w:rPr/>
        <w:t xml:space="preserve">Cross Functional Services, as described in </w:t>
      </w:r>
      <w:r>
        <w:rPr>
          <w:b/>
        </w:rPr>
        <w:t>Exhibit 2.1</w:t>
      </w:r>
      <w:r>
        <w:rPr/>
        <w:t xml:space="preserve">, should not be priced separately, but should be included in the unit pricing for each class of Service.  </w:t>
      </w:r>
    </w:p>
    <w:p>
      <w:pPr>
        <w:pStyle w:val="BodyTextBullet"/>
        <w:numPr>
          <w:ilvl w:val="0"/>
          <w:numId w:val="20"/>
        </w:numPr>
        <w:rPr/>
      </w:pPr>
      <w:r>
        <w:rPr/>
        <w:t>F&amp;A Services</w:t>
        <w:tab/>
      </w:r>
    </w:p>
    <w:p>
      <w:pPr>
        <w:pStyle w:val="BodyTextBullet"/>
        <w:numPr>
          <w:ilvl w:val="2"/>
          <w:numId w:val="20"/>
        </w:numPr>
        <w:rPr>
          <w:rFonts w:ascii="Arial" w:hAnsi="Arial" w:cs="Arial"/>
          <w:szCs w:val="22"/>
          <w:lang w:val="en-GB"/>
        </w:rPr>
      </w:pPr>
      <w:r>
        <w:rPr/>
        <w:t xml:space="preserve">The F&amp;A Services pricing should be based on the Resource Zurichines. </w:t>
      </w:r>
      <w:r>
        <w:rPr>
          <w:rFonts w:cs="Arial" w:ascii="Arial" w:hAnsi="Arial"/>
          <w:szCs w:val="22"/>
          <w:lang w:val="en-GB"/>
        </w:rPr>
      </w:r>
    </w:p>
    <w:p>
      <w:pPr>
        <w:pStyle w:val="BodyTextBullet"/>
        <w:numPr>
          <w:ilvl w:val="2"/>
          <w:numId w:val="20"/>
        </w:numPr>
        <w:rPr>
          <w:rFonts w:ascii="Arial" w:hAnsi="Arial" w:cs="Arial"/>
          <w:szCs w:val="22"/>
          <w:lang w:val="en-GB"/>
        </w:rPr>
      </w:pPr>
      <w:r>
        <w:rPr/>
        <w:t>The billable Resource Units are defined as follows: FTE (full time equivalent - see definition in the base case assumption)</w:t>
      </w:r>
      <w:r>
        <w:rPr>
          <w:rFonts w:cs="Arial" w:ascii="Arial" w:hAnsi="Arial"/>
          <w:szCs w:val="22"/>
          <w:lang w:val="en-GB"/>
        </w:rPr>
        <w:t xml:space="preserve"> </w:t>
      </w:r>
    </w:p>
    <w:p>
      <w:pPr>
        <w:pStyle w:val="BodyText"/>
        <w:ind w:start="2700" w:end="0"/>
        <w:rPr/>
      </w:pPr>
      <w:r>
        <w:rPr>
          <w:b/>
        </w:rPr>
        <w:t>General Ledger and Sox FTE</w:t>
      </w:r>
      <w:r>
        <w:rPr/>
        <w:t xml:space="preserve">: One resource unit providing services as described in the </w:t>
      </w:r>
      <w:r>
        <w:rPr>
          <w:b/>
        </w:rPr>
        <w:t>Exhibits 2.2</w:t>
      </w:r>
      <w:r>
        <w:rPr/>
        <w:t xml:space="preserve"> and </w:t>
      </w:r>
      <w:r>
        <w:rPr>
          <w:b/>
        </w:rPr>
        <w:t>2.8</w:t>
      </w:r>
      <w:r>
        <w:rPr/>
        <w:t xml:space="preserve"> shall be equal to one (1) General Ledger and Sox FTE.</w:t>
      </w:r>
    </w:p>
    <w:p>
      <w:pPr>
        <w:pStyle w:val="BodyText"/>
        <w:ind w:start="2700" w:end="0"/>
        <w:rPr/>
      </w:pPr>
      <w:r>
        <w:rPr>
          <w:b/>
        </w:rPr>
        <w:t>Fixed Assets FTE</w:t>
      </w:r>
      <w:r>
        <w:rPr/>
        <w:t xml:space="preserve">: One resource unit providing services as described in </w:t>
      </w:r>
      <w:r>
        <w:rPr>
          <w:b/>
        </w:rPr>
        <w:t>Exhibit 2.3</w:t>
      </w:r>
      <w:r>
        <w:rPr/>
        <w:t xml:space="preserve"> shall be equal to one (1) Fixed Assets FTE. </w:t>
      </w:r>
    </w:p>
    <w:p>
      <w:pPr>
        <w:pStyle w:val="BodyText"/>
        <w:ind w:start="2700" w:end="0"/>
        <w:rPr/>
      </w:pPr>
      <w:r>
        <w:rPr>
          <w:b/>
        </w:rPr>
        <w:t>Requisition To Pay FTE</w:t>
      </w:r>
      <w:r>
        <w:rPr/>
        <w:t xml:space="preserve">: One resource unit providing services as described in </w:t>
      </w:r>
      <w:r>
        <w:rPr>
          <w:b/>
        </w:rPr>
        <w:t>Exhibit 2.4</w:t>
      </w:r>
      <w:r>
        <w:rPr/>
        <w:t xml:space="preserve"> shall be equal to one (1) Requisition To Pay FTE. </w:t>
      </w:r>
    </w:p>
    <w:p>
      <w:pPr>
        <w:pStyle w:val="BodyText"/>
        <w:ind w:start="2700" w:end="0"/>
        <w:rPr/>
      </w:pPr>
      <w:r>
        <w:rPr>
          <w:b/>
        </w:rPr>
        <w:t>Accounts Payable FTE</w:t>
      </w:r>
      <w:r>
        <w:rPr/>
        <w:t xml:space="preserve">: One resource unit providing services as described in </w:t>
      </w:r>
      <w:r>
        <w:rPr>
          <w:b/>
        </w:rPr>
        <w:t>Exhibit 2.5</w:t>
      </w:r>
      <w:r>
        <w:rPr/>
        <w:t xml:space="preserve"> shall be equal to one (1) Accounts Payable FTE. </w:t>
      </w:r>
    </w:p>
    <w:p>
      <w:pPr>
        <w:pStyle w:val="BodyText"/>
        <w:ind w:start="2700" w:end="0"/>
        <w:rPr/>
      </w:pPr>
      <w:r>
        <w:rPr>
          <w:b/>
        </w:rPr>
        <w:t>Travel and Expense FTE</w:t>
      </w:r>
      <w:r>
        <w:rPr/>
        <w:t xml:space="preserve">: One resource unit providing services as described in </w:t>
      </w:r>
      <w:r>
        <w:rPr>
          <w:b/>
        </w:rPr>
        <w:t>Exhibit 2.6</w:t>
      </w:r>
      <w:r>
        <w:rPr/>
        <w:t xml:space="preserve"> shall be equal to one (1) Travel and Expense FTE. </w:t>
      </w:r>
    </w:p>
    <w:p>
      <w:pPr>
        <w:pStyle w:val="BodyText"/>
        <w:ind w:start="2700" w:end="0"/>
        <w:rPr/>
      </w:pPr>
      <w:r>
        <w:rPr>
          <w:b/>
        </w:rPr>
        <w:t>Order To Cash FTE</w:t>
      </w:r>
      <w:r>
        <w:rPr/>
        <w:t xml:space="preserve">: One resource unit providing services as described in the </w:t>
      </w:r>
      <w:r>
        <w:rPr>
          <w:b/>
        </w:rPr>
        <w:t>Exhibit 2.7</w:t>
      </w:r>
      <w:r>
        <w:rPr/>
        <w:t xml:space="preserve"> shall be equal to one (1) Order To Cash FTE. </w:t>
      </w:r>
    </w:p>
    <w:p>
      <w:pPr>
        <w:pStyle w:val="Formatvorlage1"/>
        <w:numPr>
          <w:ilvl w:val="0"/>
          <w:numId w:val="12"/>
        </w:numPr>
        <w:ind w:hanging="0" w:start="0"/>
        <w:rPr/>
      </w:pPr>
      <w:bookmarkStart w:id="7" w:name="__RefHeading___Toc157909026"/>
      <w:r>
        <w:rPr/>
        <w:t>Additional and Reduced Resource Charges (ARCs and RRCs)</w:t>
      </w:r>
      <w:bookmarkEnd w:id="7"/>
      <w:r>
        <w:rPr/>
        <w:tab/>
        <w:tab/>
      </w:r>
    </w:p>
    <w:p>
      <w:pPr>
        <w:pStyle w:val="BodyText"/>
        <w:rPr>
          <w:rFonts w:ascii="Arial" w:hAnsi="Arial" w:cs="Arial"/>
          <w:szCs w:val="22"/>
          <w:lang w:val="en-GB"/>
        </w:rPr>
      </w:pPr>
      <w:r>
        <w:rPr>
          <w:lang w:val="en-GB"/>
        </w:rPr>
        <w:t>The Service Provider will provide the Additional Resource Charges (ARCs) for any additional resources utilized and authorized by GlobalPharma above the Resource Zurichines, and any dead-band, for the applicable month.</w:t>
      </w:r>
    </w:p>
    <w:p>
      <w:pPr>
        <w:pStyle w:val="BodyText"/>
        <w:rPr>
          <w:rFonts w:ascii="Arial" w:hAnsi="Arial" w:cs="Arial"/>
          <w:szCs w:val="22"/>
          <w:lang w:val="en-GB"/>
        </w:rPr>
      </w:pPr>
      <w:r>
        <w:rPr>
          <w:lang w:val="en-GB"/>
        </w:rPr>
        <w:t>The Service Provider will provide the Reduced Resource Credits (RRCs) for reduced utilization of a Resource Unit by GlobalPharma below the Resource Zurichine, and any dead-band, for the applicable month.</w:t>
      </w:r>
    </w:p>
    <w:p>
      <w:pPr>
        <w:pStyle w:val="BodyText"/>
        <w:rPr>
          <w:lang w:val="en-GB"/>
        </w:rPr>
      </w:pPr>
      <w:r>
        <w:rPr>
          <w:lang w:val="en-GB"/>
        </w:rPr>
        <w:t xml:space="preserve">The ARC/RRC method detailed here applies only for the profile/language/time zone combinations included in the Phase 1 Resource Zurichines and for those Countries identified in Exhibit 4-A(2) as ARC/RRC. </w:t>
      </w:r>
      <w:r>
        <w:rPr>
          <w:b/>
          <w:lang w:val="en-GB"/>
        </w:rPr>
      </w:r>
      <w:r>
        <w:rPr>
          <w:lang w:val="en-GB"/>
        </w:rPr>
      </w:r>
    </w:p>
    <w:p>
      <w:pPr>
        <w:pStyle w:val="BodyText"/>
        <w:rPr>
          <w:szCs w:val="22"/>
          <w:lang w:val="en-GB"/>
        </w:rPr>
      </w:pPr>
      <w:r>
        <w:rPr>
          <w:lang w:val="en-GB"/>
        </w:rPr>
        <w:t>The ARC/RRC algorithm starts to apply after the successful completion of Phase 1 Transition. Any changes are subject to the Change Control process.</w:t>
      </w:r>
    </w:p>
    <w:p>
      <w:pPr>
        <w:pStyle w:val="BodyText"/>
        <w:rPr/>
      </w:pPr>
      <w:r>
        <w:rPr>
          <w:szCs w:val="22"/>
          <w:lang w:val="en-GB"/>
        </w:rPr>
        <w:t xml:space="preserve">The bands for ARC / RRC per Delivery Center will be as follows </w:t>
      </w:r>
    </w:p>
    <w:p>
      <w:pPr>
        <w:pStyle w:val="BodyText"/>
        <w:rPr/>
      </w:pPr>
      <w:r>
        <w:rPr>
          <w:szCs w:val="22"/>
          <w:lang w:val="en-GB"/>
        </w:rPr>
        <w:t xml:space="preserve">1. FTE Neutral Rate Band of -20% + 5%. </w:t>
      </w:r>
    </w:p>
    <w:p>
      <w:pPr>
        <w:pStyle w:val="BodyText"/>
        <w:rPr>
          <w:szCs w:val="22"/>
          <w:lang w:val="en-GB"/>
        </w:rPr>
      </w:pPr>
      <w:r>
        <w:rPr>
          <w:szCs w:val="22"/>
          <w:lang w:val="en-GB"/>
        </w:rPr>
        <w:t xml:space="preserve">FTE Neutral Rate Band is defined as a limit either positive or negative which is measured as a percentage. The percentage is calculated by taking the FTEs for the current month divided by the total FTEs from the original Resource Zurichine as defined in Exhibit 4-C </w:t>
      </w:r>
      <w:r>
        <w:rPr>
          <w:b/>
          <w:szCs w:val="22"/>
          <w:lang w:val="en-GB"/>
        </w:rPr>
      </w:r>
      <w:r>
        <w:rPr>
          <w:szCs w:val="22"/>
          <w:lang w:val="en-GB"/>
        </w:rPr>
      </w:r>
    </w:p>
    <w:p>
      <w:pPr>
        <w:pStyle w:val="BodyText"/>
        <w:rPr>
          <w:szCs w:val="22"/>
          <w:lang w:val="en-GB"/>
        </w:rPr>
      </w:pPr>
      <w:r>
        <w:rPr>
          <w:szCs w:val="22"/>
          <w:lang w:val="en-GB"/>
        </w:rPr>
        <w:t>2. ARC Bands of 105% to 120%, 120% to 140% &amp; 140% to 170%</w:t>
      </w:r>
    </w:p>
    <w:p>
      <w:pPr>
        <w:pStyle w:val="BodyText"/>
        <w:rPr>
          <w:szCs w:val="22"/>
          <w:lang w:val="en-GB"/>
        </w:rPr>
      </w:pPr>
      <w:r>
        <w:rPr>
          <w:szCs w:val="22"/>
          <w:lang w:val="en-GB"/>
        </w:rPr>
        <w:t>3. RRC Bands of 80% to 60%</w:t>
      </w:r>
    </w:p>
    <w:p>
      <w:pPr>
        <w:pStyle w:val="BodyText"/>
        <w:rPr>
          <w:szCs w:val="22"/>
          <w:lang w:val="en-GB"/>
        </w:rPr>
      </w:pPr>
      <w:r>
        <w:rPr>
          <w:szCs w:val="22"/>
          <w:lang w:val="en-GB"/>
        </w:rPr>
        <w:t>Service Provider is responsible for submitting the Change Control Notice (CNN, Attachment 20-A) and notifying GlobalPharma of a potential addition or reduction using the ARC/RRCs. Neither Party will trigger a Change Control Notice for volume changes of less than 5% versus the Resource Zurichine. The most economical and operational feasible usage of FTEs will always be sought: inter-geographic leverage of FTEs, over-time, part-time and / or whole number of FTEs. Upon receipt of the Change Control Notice, there will be a 90 day notice period, unless otherwise mutually agreed in the CCN.</w:t>
      </w:r>
      <w:r>
        <w:rPr>
          <w:b/>
          <w:szCs w:val="22"/>
          <w:lang w:val="en-GB"/>
        </w:rPr>
      </w:r>
      <w:r>
        <w:rPr>
          <w:szCs w:val="22"/>
          <w:lang w:val="en-GB"/>
        </w:rPr>
      </w:r>
    </w:p>
    <w:tbl>
      <w:tblPr>
        <w:tblW w:w="9377" w:type="dxa"/>
        <w:jc w:val="start"/>
        <w:tblInd w:w="91" w:type="dxa"/>
        <w:tblLayout w:type="fixed"/>
        <w:tblCellMar>
          <w:top w:w="0" w:type="dxa"/>
          <w:start w:w="108" w:type="dxa"/>
          <w:bottom w:w="0" w:type="dxa"/>
          <w:end w:w="108" w:type="dxa"/>
        </w:tblCellMar>
      </w:tblPr>
      <w:tblGrid>
        <w:gridCol w:w="3437"/>
        <w:gridCol w:w="5940"/>
      </w:tblGrid>
      <w:tr>
        <w:trPr>
          <w:tblHeader w:val="true"/>
          <w:trHeight w:val="270" w:hRule="atLeast"/>
        </w:trPr>
        <w:tc>
          <w:tcPr>
            <w:tcW w:w="3437" w:type="dxa"/>
            <w:tcBorders>
              <w:top w:val="single" w:sz="4" w:space="0" w:color="000000"/>
              <w:start w:val="single" w:sz="4" w:space="0" w:color="000000"/>
              <w:bottom w:val="single" w:sz="8" w:space="0" w:color="000000"/>
            </w:tcBorders>
          </w:tcPr>
          <w:p>
            <w:pPr>
              <w:pStyle w:val="Normal"/>
              <w:spacing w:before="0" w:after="0"/>
              <w:rPr/>
            </w:pPr>
            <w:r>
              <w:rPr>
                <w:rFonts w:cs="Arial" w:ascii="Arial" w:hAnsi="Arial"/>
                <w:szCs w:val="22"/>
                <w:lang w:val="en-GB"/>
              </w:rPr>
              <w:t>.</w:t>
            </w:r>
            <w:r>
              <w:rPr>
                <w:rFonts w:cs="Arial" w:ascii="Arial Bold;Arial" w:hAnsi="Arial Bold;Arial"/>
                <w:b/>
                <w:bCs/>
                <w:sz w:val="20"/>
                <w:szCs w:val="20"/>
              </w:rPr>
              <w:t>Bands</w:t>
            </w:r>
          </w:p>
        </w:tc>
        <w:tc>
          <w:tcPr>
            <w:tcW w:w="5940" w:type="dxa"/>
            <w:tcBorders>
              <w:top w:val="single" w:sz="4" w:space="0" w:color="000000"/>
              <w:start w:val="single" w:sz="8" w:space="0" w:color="000000"/>
              <w:bottom w:val="single" w:sz="8" w:space="0" w:color="000000"/>
              <w:end w:val="single" w:sz="4" w:space="0" w:color="000000"/>
            </w:tcBorders>
            <w:vAlign w:val="bottom"/>
          </w:tcPr>
          <w:p>
            <w:pPr>
              <w:pStyle w:val="Normal"/>
              <w:spacing w:before="0" w:after="0"/>
              <w:rPr>
                <w:rFonts w:ascii="Arial Bold;Arial" w:hAnsi="Arial Bold;Arial" w:cs="Arial"/>
                <w:b/>
                <w:bCs/>
                <w:sz w:val="20"/>
                <w:szCs w:val="20"/>
              </w:rPr>
            </w:pPr>
            <w:r>
              <w:rPr>
                <w:rFonts w:cs="Arial" w:ascii="Arial Bold;Arial" w:hAnsi="Arial Bold;Arial"/>
                <w:b/>
                <w:bCs/>
                <w:sz w:val="20"/>
                <w:szCs w:val="20"/>
              </w:rPr>
              <w:t>ARC/RRC Rates and Algorithm</w:t>
            </w:r>
          </w:p>
        </w:tc>
      </w:tr>
      <w:tr>
        <w:trPr>
          <w:trHeight w:val="374" w:hRule="atLeast"/>
        </w:trPr>
        <w:tc>
          <w:tcPr>
            <w:tcW w:w="3437" w:type="dxa"/>
            <w:tcBorders>
              <w:start w:val="single" w:sz="4" w:space="0" w:color="000000"/>
              <w:bottom w:val="single" w:sz="8" w:space="0" w:color="000000"/>
            </w:tcBorders>
          </w:tcPr>
          <w:p>
            <w:pPr>
              <w:pStyle w:val="Normal"/>
              <w:spacing w:before="0" w:after="0"/>
              <w:rPr/>
            </w:pPr>
            <w:r>
              <w:rPr>
                <w:rFonts w:cs="Arial" w:ascii="Arial" w:hAnsi="Arial"/>
                <w:b/>
                <w:bCs/>
                <w:sz w:val="20"/>
                <w:szCs w:val="20"/>
              </w:rPr>
              <w:t>FTEs in &gt;40% to +70% of Resource Base Line</w:t>
            </w:r>
          </w:p>
        </w:tc>
        <w:tc>
          <w:tcPr>
            <w:tcW w:w="5940" w:type="dxa"/>
            <w:tcBorders>
              <w:start w:val="single" w:sz="8" w:space="0" w:color="000000"/>
              <w:bottom w:val="single" w:sz="8" w:space="0" w:color="000000"/>
              <w:end w:val="single" w:sz="4" w:space="0" w:color="000000"/>
            </w:tcBorders>
            <w:vAlign w:val="bottom"/>
          </w:tcPr>
          <w:p>
            <w:pPr>
              <w:pStyle w:val="Normal"/>
              <w:spacing w:before="0" w:after="0"/>
              <w:rPr>
                <w:rFonts w:ascii="Arial" w:hAnsi="Arial" w:cs="Arial"/>
                <w:sz w:val="20"/>
                <w:szCs w:val="20"/>
              </w:rPr>
            </w:pPr>
            <w:r>
              <w:rPr>
                <w:rFonts w:cs="Arial" w:ascii="Arial" w:hAnsi="Arial"/>
                <w:sz w:val="20"/>
                <w:szCs w:val="20"/>
              </w:rPr>
              <w:t xml:space="preserve">1) Base Charges for Resource Base line </w:t>
              <w:br/>
            </w:r>
          </w:p>
          <w:p>
            <w:pPr>
              <w:pStyle w:val="Normal"/>
              <w:spacing w:before="0" w:after="0"/>
              <w:rPr>
                <w:rFonts w:ascii="Arial" w:hAnsi="Arial" w:cs="Arial"/>
                <w:sz w:val="20"/>
                <w:szCs w:val="20"/>
              </w:rPr>
            </w:pPr>
            <w:r>
              <w:rPr>
                <w:rFonts w:cs="Arial" w:ascii="Arial" w:hAnsi="Arial"/>
                <w:sz w:val="20"/>
                <w:szCs w:val="20"/>
              </w:rPr>
              <w:t>Add</w:t>
              <w:br/>
            </w:r>
          </w:p>
          <w:p>
            <w:pPr>
              <w:pStyle w:val="Normal"/>
              <w:spacing w:before="0" w:after="0"/>
              <w:rPr/>
            </w:pPr>
            <w:r>
              <w:rPr>
                <w:rFonts w:cs="Arial" w:ascii="Arial" w:hAnsi="Arial"/>
                <w:sz w:val="20"/>
                <w:szCs w:val="20"/>
              </w:rPr>
              <w:t xml:space="preserve">(2) 95% of Base Charges per FTE as described in </w:t>
            </w:r>
            <w:r>
              <w:rPr>
                <w:rFonts w:cs="Arial" w:ascii="Arial" w:hAnsi="Arial"/>
                <w:b/>
                <w:sz w:val="20"/>
                <w:szCs w:val="20"/>
              </w:rPr>
              <w:t>Attachment 4-A</w:t>
            </w:r>
            <w:r>
              <w:rPr>
                <w:rFonts w:cs="Arial" w:ascii="Arial" w:hAnsi="Arial"/>
                <w:sz w:val="20"/>
                <w:szCs w:val="20"/>
              </w:rPr>
              <w:t xml:space="preserve"> Pricing Forms for resource changes in &gt;+5% to +20% band</w:t>
              <w:br/>
            </w:r>
          </w:p>
          <w:p>
            <w:pPr>
              <w:pStyle w:val="Normal"/>
              <w:spacing w:before="0" w:after="0"/>
              <w:rPr>
                <w:rFonts w:ascii="Arial" w:hAnsi="Arial" w:cs="Arial"/>
                <w:sz w:val="20"/>
                <w:szCs w:val="20"/>
              </w:rPr>
            </w:pPr>
            <w:r>
              <w:rPr>
                <w:rFonts w:cs="Arial" w:ascii="Arial" w:hAnsi="Arial"/>
                <w:sz w:val="20"/>
                <w:szCs w:val="20"/>
              </w:rPr>
              <w:t>Add</w:t>
              <w:br/>
            </w:r>
          </w:p>
          <w:p>
            <w:pPr>
              <w:pStyle w:val="Normal"/>
              <w:spacing w:before="0" w:after="0"/>
              <w:rPr>
                <w:rFonts w:ascii="Arial" w:hAnsi="Arial" w:cs="Arial"/>
                <w:sz w:val="20"/>
                <w:szCs w:val="20"/>
              </w:rPr>
            </w:pPr>
            <w:r>
              <w:rPr>
                <w:rFonts w:cs="Arial" w:ascii="Arial" w:hAnsi="Arial"/>
                <w:sz w:val="20"/>
                <w:szCs w:val="20"/>
              </w:rPr>
              <w:t xml:space="preserve">(3) 90% of Base Charges per FTE as described </w:t>
            </w:r>
            <w:r>
              <w:rPr>
                <w:rFonts w:cs="Arial" w:ascii="Arial" w:hAnsi="Arial"/>
                <w:b/>
                <w:sz w:val="20"/>
                <w:szCs w:val="20"/>
              </w:rPr>
              <w:t>in Attachment 4-A</w:t>
            </w:r>
            <w:r>
              <w:rPr>
                <w:rFonts w:cs="Arial" w:ascii="Arial" w:hAnsi="Arial"/>
                <w:sz w:val="20"/>
                <w:szCs w:val="20"/>
              </w:rPr>
              <w:t xml:space="preserve"> Pricing Forms for resource changes in &gt;+20% to +40% band</w:t>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pPr>
            <w:r>
              <w:rPr>
                <w:rFonts w:cs="Arial" w:ascii="Arial" w:hAnsi="Arial"/>
                <w:sz w:val="20"/>
                <w:szCs w:val="20"/>
              </w:rPr>
              <w:t>(4) 88% of Base Charges per FTE as described in Attachment 4-A Pricing Forms for resource changes in &gt;+40% to +70% band</w:t>
            </w:r>
          </w:p>
        </w:tc>
      </w:tr>
      <w:tr>
        <w:trPr>
          <w:trHeight w:val="374" w:hRule="atLeast"/>
        </w:trPr>
        <w:tc>
          <w:tcPr>
            <w:tcW w:w="3437" w:type="dxa"/>
            <w:tcBorders>
              <w:start w:val="single" w:sz="4" w:space="0" w:color="000000"/>
              <w:bottom w:val="single" w:sz="8" w:space="0" w:color="000000"/>
            </w:tcBorders>
          </w:tcPr>
          <w:p>
            <w:pPr>
              <w:pStyle w:val="Normal"/>
              <w:spacing w:before="0" w:after="0"/>
              <w:rPr/>
            </w:pPr>
            <w:r>
              <w:rPr>
                <w:rFonts w:cs="Arial" w:ascii="Arial" w:hAnsi="Arial"/>
                <w:b/>
                <w:bCs/>
                <w:sz w:val="20"/>
                <w:szCs w:val="20"/>
              </w:rPr>
              <w:t>FTEs in &gt;20% to +40% of Resource Base Line</w:t>
            </w:r>
          </w:p>
        </w:tc>
        <w:tc>
          <w:tcPr>
            <w:tcW w:w="5940" w:type="dxa"/>
            <w:tcBorders>
              <w:start w:val="single" w:sz="8" w:space="0" w:color="000000"/>
              <w:bottom w:val="single" w:sz="8" w:space="0" w:color="000000"/>
              <w:end w:val="single" w:sz="4" w:space="0" w:color="000000"/>
            </w:tcBorders>
            <w:vAlign w:val="bottom"/>
          </w:tcPr>
          <w:p>
            <w:pPr>
              <w:pStyle w:val="Normal"/>
              <w:spacing w:before="0" w:after="0"/>
              <w:rPr>
                <w:rFonts w:ascii="Arial" w:hAnsi="Arial" w:cs="Arial"/>
                <w:sz w:val="20"/>
                <w:szCs w:val="20"/>
              </w:rPr>
            </w:pPr>
            <w:r>
              <w:rPr>
                <w:rFonts w:cs="Arial" w:ascii="Arial" w:hAnsi="Arial"/>
                <w:sz w:val="20"/>
                <w:szCs w:val="20"/>
              </w:rPr>
              <w:t xml:space="preserve">1) Base Charges for Resource Base line </w:t>
              <w:br/>
            </w:r>
          </w:p>
          <w:p>
            <w:pPr>
              <w:pStyle w:val="Normal"/>
              <w:spacing w:before="0" w:after="0"/>
              <w:rPr>
                <w:rFonts w:ascii="Arial" w:hAnsi="Arial" w:cs="Arial"/>
                <w:sz w:val="20"/>
                <w:szCs w:val="20"/>
              </w:rPr>
            </w:pPr>
            <w:r>
              <w:rPr>
                <w:rFonts w:cs="Arial" w:ascii="Arial" w:hAnsi="Arial"/>
                <w:sz w:val="20"/>
                <w:szCs w:val="20"/>
              </w:rPr>
              <w:t>Add</w:t>
              <w:br/>
            </w:r>
          </w:p>
          <w:p>
            <w:pPr>
              <w:pStyle w:val="Normal"/>
              <w:spacing w:before="0" w:after="0"/>
              <w:rPr/>
            </w:pPr>
            <w:r>
              <w:rPr>
                <w:rFonts w:cs="Arial" w:ascii="Arial" w:hAnsi="Arial"/>
                <w:sz w:val="20"/>
                <w:szCs w:val="20"/>
              </w:rPr>
              <w:t xml:space="preserve">(2) 95% of Base Charges per FTE as described in </w:t>
            </w:r>
            <w:r>
              <w:rPr>
                <w:rFonts w:cs="Arial" w:ascii="Arial" w:hAnsi="Arial"/>
                <w:b/>
                <w:sz w:val="20"/>
                <w:szCs w:val="20"/>
              </w:rPr>
              <w:t xml:space="preserve">Attachment 4-A </w:t>
            </w:r>
            <w:r>
              <w:rPr>
                <w:rFonts w:cs="Arial" w:ascii="Arial" w:hAnsi="Arial"/>
                <w:sz w:val="20"/>
                <w:szCs w:val="20"/>
              </w:rPr>
              <w:t>Pricing Forms for resource changes in &gt;+5% to +20% band</w:t>
              <w:br/>
            </w:r>
          </w:p>
          <w:p>
            <w:pPr>
              <w:pStyle w:val="Normal"/>
              <w:spacing w:before="0" w:after="0"/>
              <w:rPr>
                <w:rFonts w:ascii="Arial" w:hAnsi="Arial" w:cs="Arial"/>
                <w:sz w:val="20"/>
                <w:szCs w:val="20"/>
              </w:rPr>
            </w:pPr>
            <w:r>
              <w:rPr>
                <w:rFonts w:cs="Arial" w:ascii="Arial" w:hAnsi="Arial"/>
                <w:sz w:val="20"/>
                <w:szCs w:val="20"/>
              </w:rPr>
              <w:t>Add</w:t>
              <w:br/>
            </w:r>
          </w:p>
          <w:p>
            <w:pPr>
              <w:pStyle w:val="Normal"/>
              <w:spacing w:before="0" w:after="0"/>
              <w:rPr/>
            </w:pPr>
            <w:r>
              <w:rPr>
                <w:rFonts w:cs="Arial" w:ascii="Arial" w:hAnsi="Arial"/>
                <w:sz w:val="20"/>
                <w:szCs w:val="20"/>
              </w:rPr>
              <w:t xml:space="preserve">(3) 90% of Base Charges per FTE as described in </w:t>
            </w:r>
            <w:r>
              <w:rPr>
                <w:rFonts w:cs="Arial" w:ascii="Arial" w:hAnsi="Arial"/>
                <w:b/>
                <w:sz w:val="20"/>
                <w:szCs w:val="20"/>
              </w:rPr>
              <w:t>Attachment 4-A</w:t>
            </w:r>
            <w:r>
              <w:rPr>
                <w:rFonts w:cs="Arial" w:ascii="Arial" w:hAnsi="Arial"/>
                <w:sz w:val="20"/>
                <w:szCs w:val="20"/>
              </w:rPr>
              <w:t xml:space="preserve"> Pricing Forms for resource changes in &gt;+20% to +40% band</w:t>
            </w:r>
          </w:p>
        </w:tc>
      </w:tr>
      <w:tr>
        <w:trPr>
          <w:trHeight w:val="1107" w:hRule="atLeast"/>
        </w:trPr>
        <w:tc>
          <w:tcPr>
            <w:tcW w:w="3437" w:type="dxa"/>
            <w:tcBorders>
              <w:start w:val="single" w:sz="4" w:space="0" w:color="000000"/>
              <w:bottom w:val="single" w:sz="8" w:space="0" w:color="000000"/>
            </w:tcBorders>
          </w:tcPr>
          <w:p>
            <w:pPr>
              <w:pStyle w:val="Normal"/>
              <w:spacing w:before="0" w:after="0"/>
              <w:rPr/>
            </w:pPr>
            <w:r>
              <w:rPr>
                <w:rFonts w:cs="Arial" w:ascii="Arial" w:hAnsi="Arial"/>
                <w:b/>
                <w:bCs/>
                <w:sz w:val="20"/>
                <w:szCs w:val="20"/>
              </w:rPr>
              <w:t>FTEs in &gt;+5% to +20% of Resource Base Line</w:t>
            </w:r>
          </w:p>
        </w:tc>
        <w:tc>
          <w:tcPr>
            <w:tcW w:w="5940" w:type="dxa"/>
            <w:tcBorders>
              <w:start w:val="single" w:sz="8" w:space="0" w:color="000000"/>
              <w:bottom w:val="single" w:sz="8" w:space="0" w:color="000000"/>
              <w:end w:val="single" w:sz="4" w:space="0" w:color="000000"/>
            </w:tcBorders>
            <w:vAlign w:val="bottom"/>
          </w:tcPr>
          <w:p>
            <w:pPr>
              <w:pStyle w:val="Normal"/>
              <w:spacing w:before="0" w:after="0"/>
              <w:rPr>
                <w:rFonts w:ascii="Arial" w:hAnsi="Arial" w:cs="Arial"/>
                <w:sz w:val="20"/>
                <w:szCs w:val="20"/>
              </w:rPr>
            </w:pPr>
            <w:r>
              <w:rPr>
                <w:rFonts w:cs="Arial" w:ascii="Arial" w:hAnsi="Arial"/>
                <w:sz w:val="20"/>
                <w:szCs w:val="20"/>
              </w:rPr>
              <w:t xml:space="preserve">1) Base Charges for Resource Base line </w:t>
              <w:br/>
            </w:r>
          </w:p>
          <w:p>
            <w:pPr>
              <w:pStyle w:val="Normal"/>
              <w:spacing w:before="0" w:after="0"/>
              <w:rPr>
                <w:rFonts w:ascii="Arial" w:hAnsi="Arial" w:cs="Arial"/>
                <w:sz w:val="20"/>
                <w:szCs w:val="20"/>
              </w:rPr>
            </w:pPr>
            <w:r>
              <w:rPr>
                <w:rFonts w:cs="Arial" w:ascii="Arial" w:hAnsi="Arial"/>
                <w:sz w:val="20"/>
                <w:szCs w:val="20"/>
              </w:rPr>
              <w:t>Add</w:t>
            </w:r>
          </w:p>
          <w:p>
            <w:pPr>
              <w:pStyle w:val="Normal"/>
              <w:spacing w:before="0" w:after="0"/>
              <w:rPr/>
            </w:pPr>
            <w:r>
              <w:rPr>
                <w:rFonts w:cs="Arial" w:ascii="Arial" w:hAnsi="Arial"/>
                <w:sz w:val="20"/>
                <w:szCs w:val="20"/>
              </w:rPr>
              <w:br/>
              <w:t xml:space="preserve">(2) 95% of Base Charges per FTE as described in </w:t>
            </w:r>
            <w:r>
              <w:rPr>
                <w:rFonts w:cs="Arial" w:ascii="Arial" w:hAnsi="Arial"/>
                <w:b/>
                <w:sz w:val="20"/>
                <w:szCs w:val="20"/>
              </w:rPr>
              <w:t>Attachment 4-A</w:t>
            </w:r>
            <w:r>
              <w:rPr>
                <w:rFonts w:cs="Arial" w:ascii="Arial" w:hAnsi="Arial"/>
                <w:sz w:val="20"/>
                <w:szCs w:val="20"/>
              </w:rPr>
              <w:t xml:space="preserve"> Pricing Forms for resource changes upto in &gt;+5% to +20% band</w:t>
            </w:r>
          </w:p>
        </w:tc>
      </w:tr>
      <w:tr>
        <w:trPr>
          <w:trHeight w:val="315" w:hRule="atLeast"/>
        </w:trPr>
        <w:tc>
          <w:tcPr>
            <w:tcW w:w="3437" w:type="dxa"/>
            <w:tcBorders>
              <w:start w:val="single" w:sz="4" w:space="0" w:color="000000"/>
              <w:bottom w:val="single" w:sz="8" w:space="0" w:color="000000"/>
            </w:tcBorders>
          </w:tcPr>
          <w:p>
            <w:pPr>
              <w:pStyle w:val="Normal"/>
              <w:spacing w:before="0" w:after="0"/>
              <w:rPr>
                <w:rFonts w:ascii="Arial" w:hAnsi="Arial" w:cs="Arial"/>
                <w:b/>
                <w:bCs/>
                <w:sz w:val="20"/>
                <w:szCs w:val="20"/>
              </w:rPr>
            </w:pPr>
            <w:r>
              <w:rPr>
                <w:rFonts w:cs="Arial" w:ascii="Arial" w:hAnsi="Arial"/>
                <w:b/>
                <w:bCs/>
                <w:sz w:val="20"/>
                <w:szCs w:val="20"/>
              </w:rPr>
              <w:t>FTEs in +5% of Resource Base Line</w:t>
            </w:r>
          </w:p>
        </w:tc>
        <w:tc>
          <w:tcPr>
            <w:tcW w:w="5940" w:type="dxa"/>
            <w:tcBorders>
              <w:start w:val="single" w:sz="8" w:space="0" w:color="000000"/>
              <w:bottom w:val="single" w:sz="8" w:space="0" w:color="000000"/>
              <w:end w:val="single" w:sz="4" w:space="0" w:color="000000"/>
            </w:tcBorders>
            <w:vAlign w:val="bottom"/>
          </w:tcPr>
          <w:p>
            <w:pPr>
              <w:pStyle w:val="Normal"/>
              <w:spacing w:before="0" w:after="0"/>
              <w:rPr/>
            </w:pPr>
            <w:r>
              <w:rPr>
                <w:rFonts w:cs="Arial" w:ascii="Arial" w:hAnsi="Arial"/>
                <w:sz w:val="20"/>
                <w:szCs w:val="20"/>
              </w:rPr>
              <w:t>Neutral Rate Band</w:t>
            </w:r>
          </w:p>
        </w:tc>
      </w:tr>
      <w:tr>
        <w:trPr>
          <w:trHeight w:val="525" w:hRule="atLeast"/>
        </w:trPr>
        <w:tc>
          <w:tcPr>
            <w:tcW w:w="3437" w:type="dxa"/>
            <w:tcBorders>
              <w:start w:val="single" w:sz="4" w:space="0" w:color="000000"/>
              <w:bottom w:val="single" w:sz="8" w:space="0" w:color="000000"/>
            </w:tcBorders>
          </w:tcPr>
          <w:p>
            <w:pPr>
              <w:pStyle w:val="Normal"/>
              <w:spacing w:before="0" w:after="0"/>
              <w:rPr>
                <w:rFonts w:ascii="Arial" w:hAnsi="Arial" w:cs="Arial"/>
                <w:b/>
                <w:bCs/>
                <w:sz w:val="20"/>
                <w:szCs w:val="20"/>
              </w:rPr>
            </w:pPr>
            <w:r>
              <w:rPr>
                <w:rFonts w:cs="Arial" w:ascii="Arial" w:hAnsi="Arial"/>
                <w:b/>
                <w:bCs/>
                <w:sz w:val="20"/>
                <w:szCs w:val="20"/>
              </w:rPr>
              <w:t>FTEs as per Resource Base line</w:t>
            </w:r>
          </w:p>
        </w:tc>
        <w:tc>
          <w:tcPr>
            <w:tcW w:w="5940" w:type="dxa"/>
            <w:tcBorders>
              <w:start w:val="single" w:sz="8" w:space="0" w:color="000000"/>
              <w:bottom w:val="single" w:sz="8" w:space="0" w:color="000000"/>
              <w:end w:val="single" w:sz="4" w:space="0" w:color="000000"/>
            </w:tcBorders>
            <w:vAlign w:val="bottom"/>
          </w:tcPr>
          <w:p>
            <w:pPr>
              <w:pStyle w:val="Normal"/>
              <w:spacing w:before="0" w:after="0"/>
              <w:rPr>
                <w:rFonts w:ascii="Arial" w:hAnsi="Arial" w:cs="Arial"/>
                <w:sz w:val="20"/>
                <w:szCs w:val="20"/>
              </w:rPr>
            </w:pPr>
            <w:r>
              <w:rPr>
                <w:rFonts w:cs="Arial" w:ascii="Arial" w:hAnsi="Arial"/>
                <w:sz w:val="20"/>
                <w:szCs w:val="20"/>
              </w:rPr>
              <w:t>Base Charges per transaction</w:t>
            </w:r>
          </w:p>
        </w:tc>
      </w:tr>
      <w:tr>
        <w:trPr>
          <w:trHeight w:val="525" w:hRule="atLeast"/>
        </w:trPr>
        <w:tc>
          <w:tcPr>
            <w:tcW w:w="3437" w:type="dxa"/>
            <w:tcBorders>
              <w:start w:val="single" w:sz="4" w:space="0" w:color="000000"/>
              <w:bottom w:val="single" w:sz="8" w:space="0" w:color="000000"/>
            </w:tcBorders>
          </w:tcPr>
          <w:p>
            <w:pPr>
              <w:pStyle w:val="Normal"/>
              <w:spacing w:before="0" w:after="0"/>
              <w:rPr/>
            </w:pPr>
            <w:r>
              <w:rPr>
                <w:rFonts w:cs="Arial" w:ascii="Arial" w:hAnsi="Arial"/>
                <w:b/>
                <w:bCs/>
                <w:sz w:val="20"/>
                <w:szCs w:val="20"/>
              </w:rPr>
              <w:t>FTEs in -20% of Resource Base Line</w:t>
            </w:r>
          </w:p>
        </w:tc>
        <w:tc>
          <w:tcPr>
            <w:tcW w:w="5940" w:type="dxa"/>
            <w:tcBorders>
              <w:start w:val="single" w:sz="8" w:space="0" w:color="000000"/>
              <w:bottom w:val="single" w:sz="8" w:space="0" w:color="000000"/>
              <w:end w:val="single" w:sz="4" w:space="0" w:color="000000"/>
            </w:tcBorders>
            <w:vAlign w:val="bottom"/>
          </w:tcPr>
          <w:p>
            <w:pPr>
              <w:pStyle w:val="Normal"/>
              <w:spacing w:before="0" w:after="0"/>
              <w:rPr/>
            </w:pPr>
            <w:r>
              <w:rPr>
                <w:rFonts w:cs="Arial" w:ascii="Arial" w:hAnsi="Arial"/>
                <w:sz w:val="20"/>
                <w:szCs w:val="20"/>
              </w:rPr>
              <w:t>Neutral Rate Band</w:t>
            </w:r>
          </w:p>
        </w:tc>
      </w:tr>
      <w:tr>
        <w:trPr>
          <w:trHeight w:val="525" w:hRule="atLeast"/>
        </w:trPr>
        <w:tc>
          <w:tcPr>
            <w:tcW w:w="3437" w:type="dxa"/>
            <w:tcBorders>
              <w:start w:val="single" w:sz="4" w:space="0" w:color="000000"/>
              <w:bottom w:val="single" w:sz="8" w:space="0" w:color="000000"/>
            </w:tcBorders>
          </w:tcPr>
          <w:p>
            <w:pPr>
              <w:pStyle w:val="Normal"/>
              <w:spacing w:before="0" w:after="0"/>
              <w:rPr/>
            </w:pPr>
            <w:r>
              <w:rPr>
                <w:rFonts w:cs="Arial" w:ascii="Arial" w:hAnsi="Arial"/>
                <w:b/>
                <w:bCs/>
                <w:sz w:val="20"/>
                <w:szCs w:val="20"/>
              </w:rPr>
              <w:t>FTEs in &lt;-20% to -40% of Resource Base Line</w:t>
            </w:r>
          </w:p>
        </w:tc>
        <w:tc>
          <w:tcPr>
            <w:tcW w:w="5940" w:type="dxa"/>
            <w:tcBorders>
              <w:start w:val="single" w:sz="8" w:space="0" w:color="000000"/>
              <w:bottom w:val="single" w:sz="8" w:space="0" w:color="000000"/>
              <w:end w:val="single" w:sz="4" w:space="0" w:color="000000"/>
            </w:tcBorders>
            <w:vAlign w:val="bottom"/>
          </w:tcPr>
          <w:p>
            <w:pPr>
              <w:pStyle w:val="Normal"/>
              <w:spacing w:before="0" w:after="0"/>
              <w:rPr>
                <w:rFonts w:ascii="Arial" w:hAnsi="Arial" w:cs="Arial"/>
                <w:sz w:val="20"/>
                <w:szCs w:val="20"/>
              </w:rPr>
            </w:pPr>
            <w:r>
              <w:rPr>
                <w:rFonts w:cs="Arial" w:ascii="Arial" w:hAnsi="Arial"/>
                <w:sz w:val="20"/>
                <w:szCs w:val="20"/>
              </w:rPr>
              <w:t>1) 5% increase for the whole remaining scope</w:t>
            </w:r>
          </w:p>
        </w:tc>
      </w:tr>
    </w:tbl>
    <w:p>
      <w:pPr>
        <w:pStyle w:val="BodyText"/>
        <w:rPr>
          <w:rFonts w:ascii="Arial" w:hAnsi="Arial" w:cs="Arial"/>
          <w:szCs w:val="22"/>
        </w:rPr>
      </w:pPr>
      <w:r>
        <w:rPr>
          <w:rFonts w:cs="Arial" w:ascii="Arial" w:hAnsi="Arial"/>
          <w:szCs w:val="22"/>
        </w:rPr>
      </w:r>
    </w:p>
    <w:p>
      <w:pPr>
        <w:pStyle w:val="Formatvorlage1"/>
        <w:numPr>
          <w:ilvl w:val="0"/>
          <w:numId w:val="12"/>
        </w:numPr>
        <w:ind w:hanging="0" w:start="0"/>
        <w:rPr/>
      </w:pPr>
      <w:bookmarkStart w:id="8" w:name="__RefHeading___Toc157909027"/>
      <w:bookmarkEnd w:id="8"/>
      <w:r>
        <w:rPr/>
        <w:t>Invoicing and Payment</w:t>
      </w:r>
    </w:p>
    <w:p>
      <w:pPr>
        <w:pStyle w:val="TableText"/>
        <w:tabs>
          <w:tab w:val="clear" w:pos="720"/>
          <w:tab w:val="left" w:pos="4182" w:leader="none"/>
          <w:tab w:val="left" w:pos="8322" w:leader="none"/>
        </w:tabs>
        <w:rPr>
          <w:rFonts w:ascii="Arial" w:hAnsi="Arial" w:cs="Arial"/>
          <w:szCs w:val="22"/>
          <w:lang w:val="en-GB"/>
        </w:rPr>
      </w:pPr>
      <w:r>
        <w:rPr>
          <w:lang w:val="en-GB"/>
        </w:rPr>
        <w:t>GlobalPharma does not have any specific chargeback requirements nor specific invoice formats. GlobalPharma will require that a separate invoice be issued for services to each Country for which there is an LSA.</w:t>
      </w:r>
    </w:p>
    <w:p>
      <w:pPr>
        <w:pStyle w:val="Formatvorlage1"/>
        <w:numPr>
          <w:ilvl w:val="0"/>
          <w:numId w:val="12"/>
        </w:numPr>
        <w:ind w:hanging="0" w:start="0"/>
        <w:rPr/>
      </w:pPr>
      <w:bookmarkStart w:id="9" w:name="__RefHeading___Toc157909028"/>
      <w:bookmarkEnd w:id="9"/>
      <w:r>
        <w:rPr/>
        <w:t>Foreign Exchange</w:t>
      </w:r>
    </w:p>
    <w:p>
      <w:pPr>
        <w:pStyle w:val="BodyText"/>
        <w:rPr>
          <w:lang w:val="en-GB"/>
        </w:rPr>
      </w:pPr>
      <w:r>
        <w:rPr>
          <w:lang w:val="en-GB"/>
        </w:rPr>
        <w:t>The impact of foreign exchange rate movements are shared equally between the parties. This is applicable for the movement of the USD/INR and RON/EUR rates from January 1, 2008 onwards until the end of the contract period (Term).</w:t>
      </w:r>
    </w:p>
    <w:p>
      <w:pPr>
        <w:pStyle w:val="BodyText"/>
        <w:rPr/>
      </w:pPr>
      <w:r>
        <w:rPr/>
        <w:t>The base exchange rate for the purposes of this Agreement is 3.55 RON/EUR and 46.0 INR/USD (“Base Exchange Rate”).</w:t>
      </w:r>
    </w:p>
    <w:p>
      <w:pPr>
        <w:pStyle w:val="BodyText"/>
        <w:rPr/>
      </w:pPr>
      <w:r>
        <w:rPr/>
        <w:t>Commencing on January 31, 2008, the Parties shall measure the month-end exchange rates announced by the central bank of Romania and India with regards to the RON/EUR and INR/USD rates for the whole year ending with the exchange rate announced on December 31, 2008. The Parties shall then calculate the average of these month-end exchange rates (“Average Exchange Rate for 2008”).</w:t>
      </w:r>
    </w:p>
    <w:p>
      <w:pPr>
        <w:pStyle w:val="BodyText"/>
        <w:rPr/>
      </w:pPr>
      <w:r>
        <w:rPr/>
        <w:t xml:space="preserve">The Parties shall compare the Average Exchange Rate for 2008 with the Base Exchange Rate and will calculate the impact due to the deviation (“Deviation Amount”), if any, in these exchange rates, on the total Fees invoiced during 2008, i.e., the greater or lesser amount which was realized by Service Provider in EUR and USD. </w:t>
      </w:r>
    </w:p>
    <w:p>
      <w:pPr>
        <w:pStyle w:val="BodyText"/>
        <w:rPr/>
      </w:pPr>
      <w:r>
        <w:rPr/>
        <w:t>The impact of the said Deviation Amount, shall be shared in the ratio 50:50 between Service Provider and GlobalPharma, i.e., in the case where it is a greater amount incurred by Service Provider in Euros, GlobalPharma will pay Service Provider 50% of such greater amount and in the case where it is a lesser amount, Service Provider will pay GlobalPharma 50% of such lesser amount. To illustrate:</w:t>
      </w:r>
    </w:p>
    <w:p>
      <w:pPr>
        <w:pStyle w:val="Title"/>
        <w:numPr>
          <w:ilvl w:val="2"/>
          <w:numId w:val="28"/>
        </w:numPr>
        <w:jc w:val="start"/>
        <w:rPr>
          <w:b w:val="false"/>
          <w:bCs/>
          <w:u w:val="none"/>
        </w:rPr>
      </w:pPr>
      <w:r>
        <w:rPr>
          <w:b w:val="false"/>
          <w:bCs/>
          <w:i/>
          <w:u w:val="none"/>
        </w:rPr>
        <w:t>Base Exchange Rate</w:t>
      </w:r>
      <w:r>
        <w:rPr>
          <w:b w:val="false"/>
          <w:bCs/>
          <w:u w:val="none"/>
        </w:rPr>
        <w:t>:</w:t>
        <w:tab/>
        <w:tab/>
        <w:tab/>
        <w:tab/>
        <w:tab/>
        <w:tab/>
        <w:t>1 Euro = 3.55 RON</w:t>
      </w:r>
    </w:p>
    <w:p>
      <w:pPr>
        <w:pStyle w:val="Title"/>
        <w:numPr>
          <w:ilvl w:val="2"/>
          <w:numId w:val="28"/>
        </w:numPr>
        <w:jc w:val="start"/>
        <w:rPr>
          <w:b w:val="false"/>
          <w:bCs/>
          <w:u w:val="none"/>
        </w:rPr>
      </w:pPr>
      <w:r>
        <w:rPr>
          <w:b w:val="false"/>
          <w:bCs/>
          <w:i/>
          <w:u w:val="none"/>
        </w:rPr>
        <w:t>Total Fees Invoiced in 2007</w:t>
      </w:r>
      <w:r>
        <w:rPr>
          <w:b w:val="false"/>
          <w:bCs/>
          <w:u w:val="none"/>
        </w:rPr>
        <w:t xml:space="preserve">: </w:t>
        <w:tab/>
        <w:tab/>
        <w:tab/>
        <w:tab/>
        <w:tab/>
        <w:t>30,000 Euros</w:t>
      </w:r>
    </w:p>
    <w:p>
      <w:pPr>
        <w:pStyle w:val="Title"/>
        <w:jc w:val="start"/>
        <w:rPr>
          <w:b w:val="false"/>
          <w:bCs/>
          <w:i/>
          <w:i/>
          <w:u w:val="none"/>
        </w:rPr>
      </w:pPr>
      <w:r>
        <w:rPr>
          <w:b w:val="false"/>
          <w:bCs/>
          <w:i/>
          <w:u w:val="none"/>
        </w:rPr>
      </w:r>
    </w:p>
    <w:p>
      <w:pPr>
        <w:pStyle w:val="Title"/>
        <w:numPr>
          <w:ilvl w:val="2"/>
          <w:numId w:val="28"/>
        </w:numPr>
        <w:jc w:val="start"/>
        <w:rPr>
          <w:b w:val="false"/>
          <w:bCs/>
          <w:i/>
          <w:i/>
          <w:u w:val="none"/>
        </w:rPr>
      </w:pPr>
      <w:r>
        <w:rPr>
          <w:b w:val="false"/>
          <w:bCs/>
          <w:i/>
          <w:u w:val="none"/>
        </w:rPr>
        <w:t>[Illustration of lesser amount incurred by Service Provider]</w:t>
      </w:r>
    </w:p>
    <w:p>
      <w:pPr>
        <w:pStyle w:val="Title"/>
        <w:numPr>
          <w:ilvl w:val="2"/>
          <w:numId w:val="28"/>
        </w:numPr>
        <w:jc w:val="start"/>
        <w:rPr>
          <w:b w:val="false"/>
          <w:bCs/>
          <w:u w:val="none"/>
        </w:rPr>
      </w:pPr>
      <w:r>
        <w:rPr>
          <w:b w:val="false"/>
          <w:bCs/>
          <w:i/>
          <w:u w:val="none"/>
        </w:rPr>
        <w:t>Average Exchange Rate for 2008</w:t>
      </w:r>
      <w:r>
        <w:rPr>
          <w:b w:val="false"/>
          <w:bCs/>
          <w:u w:val="none"/>
        </w:rPr>
        <w:t>:</w:t>
        <w:tab/>
        <w:tab/>
        <w:tab/>
        <w:tab/>
        <w:t>1 Euro = 3.7 RON</w:t>
      </w:r>
    </w:p>
    <w:p>
      <w:pPr>
        <w:pStyle w:val="Title"/>
        <w:numPr>
          <w:ilvl w:val="2"/>
          <w:numId w:val="28"/>
        </w:numPr>
        <w:jc w:val="start"/>
        <w:rPr>
          <w:b w:val="false"/>
          <w:bCs/>
          <w:u w:val="none"/>
        </w:rPr>
      </w:pPr>
      <w:r>
        <w:rPr>
          <w:b w:val="false"/>
          <w:bCs/>
          <w:i/>
          <w:u w:val="none"/>
        </w:rPr>
        <w:t>Total fees in 2008 based on the Average Exchange Rate for 2008:</w:t>
        <w:tab/>
      </w:r>
      <w:r>
        <w:rPr>
          <w:b w:val="false"/>
          <w:bCs/>
          <w:u w:val="none"/>
        </w:rPr>
        <w:t>28,784 Euros</w:t>
      </w:r>
    </w:p>
    <w:p>
      <w:pPr>
        <w:pStyle w:val="Title"/>
        <w:numPr>
          <w:ilvl w:val="2"/>
          <w:numId w:val="28"/>
        </w:numPr>
        <w:jc w:val="start"/>
        <w:rPr>
          <w:b w:val="false"/>
          <w:bCs/>
          <w:u w:val="none"/>
        </w:rPr>
      </w:pPr>
      <w:r>
        <w:rPr>
          <w:b w:val="false"/>
          <w:bCs/>
          <w:i/>
          <w:u w:val="none"/>
        </w:rPr>
        <w:t>Impact of change in exchange rate</w:t>
      </w:r>
      <w:r>
        <w:rPr>
          <w:b w:val="false"/>
          <w:bCs/>
          <w:u w:val="none"/>
        </w:rPr>
        <w:t>:</w:t>
        <w:tab/>
        <w:tab/>
        <w:tab/>
        <w:t>-1,216 Euros (30,000 – 28,784)</w:t>
      </w:r>
    </w:p>
    <w:p>
      <w:pPr>
        <w:pStyle w:val="Title"/>
        <w:numPr>
          <w:ilvl w:val="2"/>
          <w:numId w:val="28"/>
        </w:numPr>
        <w:jc w:val="start"/>
        <w:rPr>
          <w:b w:val="false"/>
          <w:bCs/>
          <w:u w:val="none"/>
        </w:rPr>
      </w:pPr>
      <w:r>
        <w:rPr>
          <w:b w:val="false"/>
          <w:bCs/>
          <w:u w:val="none"/>
        </w:rPr>
        <w:t>Amount to be paid by Service Provider to GlobalPharma:</w:t>
        <w:tab/>
        <w:tab/>
        <w:tab/>
        <w:t>608 Euros</w:t>
      </w:r>
    </w:p>
    <w:p>
      <w:pPr>
        <w:pStyle w:val="Title"/>
        <w:ind w:start="1800" w:end="0"/>
        <w:jc w:val="start"/>
        <w:rPr>
          <w:b w:val="false"/>
          <w:bCs/>
          <w:u w:val="none"/>
        </w:rPr>
      </w:pPr>
      <w:r>
        <w:rPr>
          <w:b w:val="false"/>
          <w:bCs/>
          <w:u w:val="none"/>
        </w:rPr>
      </w:r>
    </w:p>
    <w:p>
      <w:pPr>
        <w:pStyle w:val="Title"/>
        <w:numPr>
          <w:ilvl w:val="2"/>
          <w:numId w:val="28"/>
        </w:numPr>
        <w:jc w:val="start"/>
        <w:rPr>
          <w:b w:val="false"/>
          <w:bCs/>
          <w:i/>
          <w:i/>
          <w:u w:val="none"/>
        </w:rPr>
      </w:pPr>
      <w:r>
        <w:rPr>
          <w:b w:val="false"/>
          <w:bCs/>
          <w:i/>
          <w:u w:val="none"/>
        </w:rPr>
        <w:t>[Illustration of greater amount incurred by Service Provider]</w:t>
      </w:r>
    </w:p>
    <w:p>
      <w:pPr>
        <w:pStyle w:val="Title"/>
        <w:numPr>
          <w:ilvl w:val="2"/>
          <w:numId w:val="28"/>
        </w:numPr>
        <w:jc w:val="start"/>
        <w:rPr>
          <w:b w:val="false"/>
          <w:bCs/>
          <w:u w:val="none"/>
        </w:rPr>
      </w:pPr>
      <w:r>
        <w:rPr>
          <w:b w:val="false"/>
          <w:bCs/>
          <w:i/>
          <w:u w:val="none"/>
        </w:rPr>
        <w:t>Average Exchange Rate for 2008</w:t>
      </w:r>
      <w:r>
        <w:rPr>
          <w:b w:val="false"/>
          <w:bCs/>
          <w:u w:val="none"/>
        </w:rPr>
        <w:t>:</w:t>
        <w:tab/>
        <w:tab/>
        <w:tab/>
        <w:tab/>
        <w:t>1 Euro = 3.4 RON</w:t>
      </w:r>
    </w:p>
    <w:p>
      <w:pPr>
        <w:pStyle w:val="Title"/>
        <w:numPr>
          <w:ilvl w:val="2"/>
          <w:numId w:val="28"/>
        </w:numPr>
        <w:jc w:val="start"/>
        <w:rPr>
          <w:b w:val="false"/>
          <w:bCs/>
          <w:u w:val="none"/>
        </w:rPr>
      </w:pPr>
      <w:r>
        <w:rPr>
          <w:b w:val="false"/>
          <w:bCs/>
          <w:i/>
          <w:u w:val="none"/>
        </w:rPr>
        <w:t>Total fees in 2008 based on the Average Exchange Rate for 2008:</w:t>
        <w:tab/>
      </w:r>
      <w:r>
        <w:rPr>
          <w:b w:val="false"/>
          <w:bCs/>
          <w:u w:val="none"/>
        </w:rPr>
        <w:t>31,324 Euros</w:t>
      </w:r>
    </w:p>
    <w:p>
      <w:pPr>
        <w:pStyle w:val="Title"/>
        <w:numPr>
          <w:ilvl w:val="2"/>
          <w:numId w:val="28"/>
        </w:numPr>
        <w:jc w:val="start"/>
        <w:rPr>
          <w:b w:val="false"/>
          <w:bCs/>
          <w:u w:val="none"/>
        </w:rPr>
      </w:pPr>
      <w:r>
        <w:rPr>
          <w:b w:val="false"/>
          <w:bCs/>
          <w:i/>
          <w:u w:val="none"/>
        </w:rPr>
        <w:t>Impact of change in exchange rate</w:t>
      </w:r>
      <w:r>
        <w:rPr>
          <w:b w:val="false"/>
          <w:bCs/>
          <w:u w:val="none"/>
        </w:rPr>
        <w:t>:</w:t>
        <w:tab/>
        <w:tab/>
        <w:tab/>
        <w:t>+ 1,324 Euros (31,324 – 30,000)</w:t>
      </w:r>
    </w:p>
    <w:p>
      <w:pPr>
        <w:pStyle w:val="Title"/>
        <w:numPr>
          <w:ilvl w:val="2"/>
          <w:numId w:val="28"/>
        </w:numPr>
        <w:jc w:val="start"/>
        <w:rPr>
          <w:b w:val="false"/>
          <w:bCs/>
          <w:u w:val="none"/>
        </w:rPr>
      </w:pPr>
      <w:r>
        <w:rPr>
          <w:b w:val="false"/>
          <w:bCs/>
          <w:u w:val="none"/>
        </w:rPr>
        <w:t>Amount to be paid by GlobalPharma to Service Provider:</w:t>
        <w:tab/>
        <w:tab/>
        <w:t>662 Euros</w:t>
      </w:r>
    </w:p>
    <w:p>
      <w:pPr>
        <w:pStyle w:val="BodyText"/>
        <w:rPr>
          <w:szCs w:val="22"/>
        </w:rPr>
      </w:pPr>
      <w:r>
        <w:rPr>
          <w:szCs w:val="22"/>
        </w:rPr>
        <w:t xml:space="preserve">The adjustments for the Deviation Amounts shall be calculated in the 30 days period after the end of all the calendar years </w:t>
      </w:r>
      <w:r>
        <w:rPr>
          <w:lang w:val="en-GB"/>
        </w:rPr>
        <w:t>2008</w:t>
      </w:r>
      <w:r>
        <w:rPr>
          <w:szCs w:val="22"/>
        </w:rPr>
        <w:t>-2013 respectively and the amount to be paid shall be paid out by the relevant Party within 30 days thereafter.</w:t>
      </w:r>
    </w:p>
    <w:p>
      <w:pPr>
        <w:pStyle w:val="Formatvorlage1"/>
        <w:numPr>
          <w:ilvl w:val="0"/>
          <w:numId w:val="12"/>
        </w:numPr>
        <w:ind w:hanging="0" w:start="0"/>
        <w:rPr/>
      </w:pPr>
      <w:bookmarkStart w:id="10" w:name="__RefHeading___Toc157909029"/>
      <w:bookmarkEnd w:id="10"/>
      <w:r>
        <w:rPr/>
        <w:t>Pass-Through Expenses</w:t>
      </w:r>
    </w:p>
    <w:p>
      <w:pPr>
        <w:pStyle w:val="BodyText"/>
        <w:rPr>
          <w:lang w:val="en-GB"/>
        </w:rPr>
      </w:pPr>
      <w:r>
        <w:rPr>
          <w:lang w:val="en-GB"/>
        </w:rPr>
        <w:t>Pass-Through Expenses are for Services that are initially invoiced to the Service Provider. However, the GlobalPharma users primarily control the resource utilization and the Service Provider has little if any ability to leverage the cost of the resource. In this situation, the Service Provider is responsible for reviewing and approving the invoice. The invoice is then sent to GlobalPharma for payment. If the Parties agree that a particular Pass-Through Expense is to be paid directly by GlobalPharma, the Service Provider will provide GlobalPharma the original Third-Party invoice together with a statement that the charges are proper and valid and should be paid by GlobalPharma. Otherwise, the Service Provider will review the invoices to determine if the charges are proper and, before paying the invoice, will give GlobalPharma reasonable opportunity to review the invoice. Pass-Through Expenses are to be handled without mark-up or Service Provider charges.</w:t>
      </w:r>
    </w:p>
    <w:p>
      <w:pPr>
        <w:pStyle w:val="BodyText"/>
        <w:rPr>
          <w:rFonts w:ascii="Arial" w:hAnsi="Arial" w:cs="Arial"/>
          <w:szCs w:val="22"/>
          <w:lang w:val="en-GB"/>
        </w:rPr>
      </w:pPr>
      <w:r>
        <w:rPr>
          <w:lang w:val="en-GB"/>
        </w:rPr>
        <w:t xml:space="preserve">The types of pass-through expenses considered to be charged to GlobalPharma is included in Attachment 4A (Service Provider Pricing Form) in sheet ‘Pass-Thro-Charges’. Any change to that to be handled through the change control process. </w:t>
      </w:r>
    </w:p>
    <w:p>
      <w:pPr>
        <w:pStyle w:val="Formatvorlage1"/>
        <w:numPr>
          <w:ilvl w:val="0"/>
          <w:numId w:val="12"/>
        </w:numPr>
        <w:ind w:hanging="0" w:start="0"/>
        <w:rPr/>
      </w:pPr>
      <w:bookmarkStart w:id="11" w:name="__RefHeading___Toc157909030"/>
      <w:bookmarkEnd w:id="11"/>
      <w:r>
        <w:rPr/>
        <w:t>Incentives to Reduce Costs</w:t>
      </w:r>
    </w:p>
    <w:p>
      <w:pPr>
        <w:pStyle w:val="BodyText"/>
        <w:rPr>
          <w:rFonts w:ascii="Arial" w:hAnsi="Arial" w:cs="Arial"/>
          <w:szCs w:val="22"/>
          <w:lang w:val="en-GB"/>
        </w:rPr>
      </w:pPr>
      <w:r>
        <w:rPr>
          <w:lang w:val="en-GB"/>
        </w:rPr>
        <w:t>GlobalPharma is continually seeking ways to reduce and minimize its Retained and Pass-Through Expenses. Accordingly, GlobalPharma encourages the Service Provider to explore and identify opportunities to improve the Services and reduce the cost of Services being provided under the contract.</w:t>
      </w:r>
    </w:p>
    <w:p>
      <w:pPr>
        <w:pStyle w:val="BodyText"/>
        <w:rPr>
          <w:lang w:val="en-GB"/>
        </w:rPr>
      </w:pPr>
      <w:r>
        <w:rPr>
          <w:lang w:val="en-GB"/>
        </w:rPr>
        <w:t>The Service Provider will advise GlobalPharma’s management of each opportunity that is identified and estimate the potential savings.</w:t>
      </w:r>
    </w:p>
    <w:p>
      <w:pPr>
        <w:pStyle w:val="Formatvorlage1"/>
        <w:numPr>
          <w:ilvl w:val="0"/>
          <w:numId w:val="12"/>
        </w:numPr>
        <w:ind w:hanging="0" w:start="0"/>
        <w:rPr/>
      </w:pPr>
      <w:bookmarkStart w:id="12" w:name="__RefHeading___Toc157909031"/>
      <w:bookmarkEnd w:id="12"/>
      <w:r>
        <w:rPr/>
        <w:t>Guaranteed Price Decreases</w:t>
      </w:r>
    </w:p>
    <w:p>
      <w:pPr>
        <w:pStyle w:val="BodyText"/>
        <w:rPr>
          <w:rFonts w:ascii="Arial" w:hAnsi="Arial" w:cs="Arial"/>
          <w:szCs w:val="22"/>
          <w:lang w:val="en-GB"/>
        </w:rPr>
      </w:pPr>
      <w:r>
        <w:rPr>
          <w:b/>
          <w:lang w:val="en-GB"/>
        </w:rPr>
        <w:t>Attachment 4-A</w:t>
      </w:r>
      <w:r>
        <w:rPr>
          <w:lang w:val="en-GB"/>
        </w:rPr>
        <w:t xml:space="preserve"> Pricing Forms details the continuous improvement / productivity enhancements guaranteed within the Base Charge. </w:t>
      </w:r>
    </w:p>
    <w:p>
      <w:pPr>
        <w:pStyle w:val="Formatvorlage1"/>
        <w:numPr>
          <w:ilvl w:val="0"/>
          <w:numId w:val="12"/>
        </w:numPr>
        <w:ind w:hanging="0" w:start="0"/>
        <w:rPr/>
      </w:pPr>
      <w:bookmarkStart w:id="13" w:name="__RefHeading___Toc157909032"/>
      <w:bookmarkEnd w:id="13"/>
      <w:r>
        <w:rPr/>
        <w:t>Gain-Sharing Mechanism</w:t>
      </w:r>
    </w:p>
    <w:p>
      <w:pPr>
        <w:pStyle w:val="TableText"/>
        <w:ind w:start="720" w:end="0"/>
        <w:rPr>
          <w:lang w:val="en-GB"/>
        </w:rPr>
      </w:pPr>
      <w:r>
        <w:rPr>
          <w:lang w:val="en-GB"/>
        </w:rPr>
        <w:t>Gain Sharing Framework and Guiding Principles:</w:t>
      </w:r>
    </w:p>
    <w:p>
      <w:pPr>
        <w:pStyle w:val="TableText"/>
        <w:ind w:start="720" w:end="0"/>
        <w:rPr>
          <w:highlight w:val="yellow"/>
          <w:lang w:val="en-GB"/>
        </w:rPr>
      </w:pPr>
      <w:r>
        <w:rPr>
          <w:highlight w:val="yellow"/>
          <w:lang w:val="en-GB"/>
        </w:rPr>
      </w:r>
    </w:p>
    <w:p>
      <w:pPr>
        <w:pStyle w:val="Normal"/>
        <w:jc w:val="both"/>
        <w:rPr/>
      </w:pPr>
      <w:r>
        <w:rPr/>
        <w:t>This Exhibit details the method by which the Parties will share in any gains (</w:t>
      </w:r>
      <w:r>
        <w:rPr>
          <w:b/>
        </w:rPr>
        <w:t>"Gain Share"</w:t>
      </w:r>
      <w:r>
        <w:rPr/>
        <w:t xml:space="preserve">) made as a result of the implementation of any Gain Share Proposal. The purpose of this Gain Share mechanism is for both Parties to drive together process improvements and share the investments and the gain in accordance with the principles provided below. </w:t>
      </w:r>
    </w:p>
    <w:p>
      <w:pPr>
        <w:pStyle w:val="Normal"/>
        <w:jc w:val="both"/>
        <w:rPr/>
      </w:pPr>
      <w:r>
        <w:rPr/>
        <w:t xml:space="preserve">The Parties agree to Gain Share based on the principles provided herein below: </w:t>
      </w:r>
    </w:p>
    <w:p>
      <w:pPr>
        <w:pStyle w:val="Normal"/>
        <w:numPr>
          <w:ilvl w:val="0"/>
          <w:numId w:val="18"/>
        </w:numPr>
        <w:spacing w:before="0" w:after="0"/>
        <w:jc w:val="both"/>
        <w:rPr/>
      </w:pPr>
      <w:r>
        <w:rPr/>
        <w:t>Service Provider or GlobalPharma will prepare a proposal for Gain Share, such may be pursuant to the Service Provider’s initiative or GlobalPharma’s request for such a proposal;</w:t>
      </w:r>
    </w:p>
    <w:p>
      <w:pPr>
        <w:pStyle w:val="Normal"/>
        <w:spacing w:before="0" w:after="0"/>
        <w:ind w:start="360" w:end="0"/>
        <w:jc w:val="both"/>
        <w:rPr/>
      </w:pPr>
      <w:r>
        <w:rPr/>
      </w:r>
    </w:p>
    <w:p>
      <w:pPr>
        <w:pStyle w:val="Normal"/>
        <w:numPr>
          <w:ilvl w:val="0"/>
          <w:numId w:val="18"/>
        </w:numPr>
        <w:spacing w:before="0" w:after="0"/>
        <w:jc w:val="both"/>
        <w:rPr/>
      </w:pPr>
      <w:r>
        <w:rPr/>
        <w:t xml:space="preserve">any such proposal for Gain Share will be discussed between the parties and implemented through the Change Control process as detailed in the Agreement; </w:t>
      </w:r>
    </w:p>
    <w:p>
      <w:pPr>
        <w:pStyle w:val="Normal"/>
        <w:spacing w:before="0" w:after="0"/>
        <w:ind w:start="360" w:end="0"/>
        <w:jc w:val="both"/>
        <w:rPr/>
      </w:pPr>
      <w:r>
        <w:rPr/>
      </w:r>
    </w:p>
    <w:p>
      <w:pPr>
        <w:pStyle w:val="Normal"/>
        <w:numPr>
          <w:ilvl w:val="0"/>
          <w:numId w:val="18"/>
        </w:numPr>
        <w:spacing w:before="0" w:after="0"/>
        <w:jc w:val="both"/>
        <w:rPr/>
      </w:pPr>
      <w:r>
        <w:rPr/>
        <w:t>the Gain Share opportunity will be detailed in the proposal and shall detail the calculation of the positive business impact which will be realized by the GlobalPharma outsourced activities managed by Service Provider as a result of implementation of the standardization and/or process improvement project(s);</w:t>
      </w:r>
    </w:p>
    <w:p>
      <w:pPr>
        <w:pStyle w:val="Normal"/>
        <w:spacing w:before="0" w:after="0"/>
        <w:ind w:start="360" w:end="0"/>
        <w:jc w:val="both"/>
        <w:rPr/>
      </w:pPr>
      <w:r>
        <w:rPr/>
      </w:r>
    </w:p>
    <w:p>
      <w:pPr>
        <w:pStyle w:val="Normal"/>
        <w:numPr>
          <w:ilvl w:val="0"/>
          <w:numId w:val="18"/>
        </w:numPr>
        <w:spacing w:before="0" w:after="0"/>
        <w:jc w:val="both"/>
        <w:rPr/>
      </w:pPr>
      <w:r>
        <w:rPr/>
        <w:t>for purposes of Gain Share, Investment shall be construed to mean all expenses which have been expended by the respective Parties towards formulation and implementation of the Gain Share proposal and such have been agreed through Change Control;</w:t>
      </w:r>
    </w:p>
    <w:p>
      <w:pPr>
        <w:pStyle w:val="Normal"/>
        <w:spacing w:before="0" w:after="0"/>
        <w:ind w:start="360" w:end="0"/>
        <w:jc w:val="both"/>
        <w:rPr/>
      </w:pPr>
      <w:r>
        <w:rPr/>
      </w:r>
    </w:p>
    <w:p>
      <w:pPr>
        <w:pStyle w:val="Normal"/>
        <w:numPr>
          <w:ilvl w:val="0"/>
          <w:numId w:val="18"/>
        </w:numPr>
        <w:spacing w:before="0" w:after="0"/>
        <w:jc w:val="both"/>
        <w:rPr/>
      </w:pPr>
      <w:r>
        <w:rPr/>
        <w:t>the Parties further agree that the Parties shall share the gains proportionately to the Investments made by the Parties;</w:t>
      </w:r>
    </w:p>
    <w:p>
      <w:pPr>
        <w:pStyle w:val="Normal"/>
        <w:spacing w:before="0" w:after="0"/>
        <w:ind w:start="360" w:end="0"/>
        <w:jc w:val="both"/>
        <w:rPr/>
      </w:pPr>
      <w:r>
        <w:rPr/>
      </w:r>
    </w:p>
    <w:p>
      <w:pPr>
        <w:pStyle w:val="Normal"/>
        <w:numPr>
          <w:ilvl w:val="0"/>
          <w:numId w:val="18"/>
        </w:numPr>
        <w:spacing w:before="0" w:after="0"/>
        <w:jc w:val="both"/>
        <w:rPr/>
      </w:pPr>
      <w:r>
        <w:rPr/>
        <w:t xml:space="preserve">Parties agree to provide to each other all relevant details and calculations as may be required for being able to compute the Gain Share profits and Investments; </w:t>
      </w:r>
    </w:p>
    <w:p>
      <w:pPr>
        <w:pStyle w:val="Normal"/>
        <w:spacing w:before="0" w:after="0"/>
        <w:ind w:start="360" w:end="0"/>
        <w:jc w:val="both"/>
        <w:rPr/>
      </w:pPr>
      <w:r>
        <w:rPr/>
      </w:r>
    </w:p>
    <w:p>
      <w:pPr>
        <w:pStyle w:val="Normal"/>
        <w:numPr>
          <w:ilvl w:val="0"/>
          <w:numId w:val="18"/>
        </w:numPr>
        <w:spacing w:before="0" w:after="0"/>
        <w:jc w:val="both"/>
        <w:rPr/>
      </w:pPr>
      <w:r>
        <w:rPr/>
        <w:t xml:space="preserve">Any disputes under this Schedule will be dealt through the dispute resolution mechanism provided under the Agreement. </w:t>
      </w:r>
    </w:p>
    <w:p>
      <w:pPr>
        <w:pStyle w:val="Normal"/>
        <w:jc w:val="both"/>
        <w:rPr/>
      </w:pPr>
      <w:r>
        <w:rPr/>
      </w:r>
    </w:p>
    <w:p>
      <w:pPr>
        <w:pStyle w:val="Normal"/>
        <w:jc w:val="both"/>
        <w:rPr>
          <w:highlight w:val="yellow"/>
          <w:lang w:val="en-GB"/>
        </w:rPr>
      </w:pPr>
      <w:r>
        <w:rPr>
          <w:lang w:val="en-GB"/>
        </w:rPr>
        <w:t>For projects that GlobalPharma identifies and requests the Service Provider to perform, GlobalPharma  reserves the right to have a 3rd party implement the project plan.</w:t>
      </w:r>
      <w:r>
        <w:rPr/>
      </w:r>
      <w:r>
        <w:rPr>
          <w:lang w:val="en-GB"/>
        </w:rPr>
      </w:r>
      <w:r>
        <w:rPr>
          <w:vertAlign w:val="superscript"/>
          <w:lang w:val="en-GB"/>
        </w:rPr>
      </w:r>
      <w:r>
        <w:rPr>
          <w:lang w:val="en-GB"/>
        </w:rPr>
      </w:r>
    </w:p>
    <w:p>
      <w:pPr>
        <w:pStyle w:val="Formatvorlage1"/>
        <w:numPr>
          <w:ilvl w:val="0"/>
          <w:numId w:val="12"/>
        </w:numPr>
        <w:ind w:hanging="0" w:start="0"/>
        <w:rPr/>
      </w:pPr>
      <w:bookmarkStart w:id="14" w:name="__RefHeading___Toc157909033"/>
      <w:bookmarkEnd w:id="14"/>
      <w:r>
        <w:rPr/>
        <w:t>Service Provider Financial Responsibilities</w:t>
      </w:r>
    </w:p>
    <w:p>
      <w:pPr>
        <w:pStyle w:val="TableLevel1Numbered"/>
        <w:numPr>
          <w:ilvl w:val="0"/>
          <w:numId w:val="29"/>
        </w:numPr>
        <w:ind w:hanging="0" w:start="0"/>
        <w:rPr>
          <w:lang w:val="en-GB"/>
        </w:rPr>
      </w:pPr>
      <w:r>
        <w:rPr>
          <w:lang w:val="en-GB"/>
        </w:rPr>
        <w:t xml:space="preserve">The financial responsibilities of Service Provider are described in detail in </w:t>
      </w:r>
      <w:r>
        <w:rPr>
          <w:b/>
          <w:lang w:val="en-GB"/>
        </w:rPr>
        <w:t>Attachment 4-B</w:t>
      </w:r>
      <w:r>
        <w:rPr>
          <w:lang w:val="en-GB"/>
        </w:rPr>
        <w:t xml:space="preserve"> (Financial Responsibility Matrix) which is based among other things on the following principles </w:t>
      </w:r>
    </w:p>
    <w:p>
      <w:pPr>
        <w:pStyle w:val="TableLevel1Numbered"/>
        <w:numPr>
          <w:ilvl w:val="0"/>
          <w:numId w:val="8"/>
        </w:numPr>
        <w:ind w:hanging="0" w:start="0"/>
        <w:rPr>
          <w:rFonts w:ascii="Arial" w:hAnsi="Arial" w:cs="Arial"/>
          <w:szCs w:val="22"/>
          <w:lang w:val="en-GB"/>
        </w:rPr>
      </w:pPr>
      <w:r>
        <w:rPr>
          <w:lang w:val="en-GB"/>
        </w:rPr>
        <w:t>Equipment Leases and Maintenance</w:t>
      </w:r>
    </w:p>
    <w:p>
      <w:pPr>
        <w:pStyle w:val="TableText"/>
        <w:ind w:firstLine="720" w:start="540" w:end="0"/>
        <w:jc w:val="both"/>
        <w:rPr>
          <w:rFonts w:ascii="Arial" w:hAnsi="Arial" w:cs="Arial"/>
          <w:szCs w:val="22"/>
          <w:lang w:val="en-GB"/>
        </w:rPr>
      </w:pPr>
      <w:r>
        <w:rPr>
          <w:lang w:val="en-GB"/>
        </w:rPr>
        <w:t>Service Provider will assume the responsibility for only Service Provider owned assets</w:t>
      </w:r>
    </w:p>
    <w:p>
      <w:pPr>
        <w:pStyle w:val="TableLevel1Numbered"/>
        <w:numPr>
          <w:ilvl w:val="0"/>
          <w:numId w:val="8"/>
        </w:numPr>
        <w:ind w:hanging="0" w:start="0"/>
        <w:rPr>
          <w:rFonts w:ascii="Arial" w:hAnsi="Arial" w:cs="Arial"/>
          <w:szCs w:val="22"/>
          <w:lang w:val="en-GB"/>
        </w:rPr>
      </w:pPr>
      <w:r>
        <w:rPr>
          <w:lang w:val="en-GB"/>
        </w:rPr>
        <w:t>System Software Licenses and Maintenance</w:t>
      </w:r>
    </w:p>
    <w:p>
      <w:pPr>
        <w:pStyle w:val="TableText"/>
        <w:ind w:firstLine="720" w:start="540" w:end="0"/>
        <w:jc w:val="both"/>
        <w:rPr>
          <w:rFonts w:ascii="Arial" w:hAnsi="Arial" w:cs="Arial"/>
          <w:szCs w:val="22"/>
          <w:lang w:val="en-GB"/>
        </w:rPr>
      </w:pPr>
      <w:r>
        <w:rPr>
          <w:lang w:val="en-GB"/>
        </w:rPr>
        <w:t>Service Provider will assume the responsibility for only Service Provider owned assets</w:t>
      </w:r>
    </w:p>
    <w:p>
      <w:pPr>
        <w:pStyle w:val="TableLevel1Numbered"/>
        <w:numPr>
          <w:ilvl w:val="0"/>
          <w:numId w:val="8"/>
        </w:numPr>
        <w:ind w:hanging="0" w:start="0"/>
        <w:rPr>
          <w:rFonts w:ascii="Arial" w:hAnsi="Arial" w:cs="Arial"/>
          <w:szCs w:val="22"/>
          <w:lang w:val="en-GB"/>
        </w:rPr>
      </w:pPr>
      <w:r>
        <w:rPr>
          <w:lang w:val="en-GB"/>
        </w:rPr>
        <w:t>Application Software Licenses and Maintenance</w:t>
      </w:r>
    </w:p>
    <w:p>
      <w:pPr>
        <w:pStyle w:val="TableText"/>
        <w:ind w:firstLine="720" w:start="540" w:end="0"/>
        <w:jc w:val="both"/>
        <w:rPr>
          <w:rFonts w:ascii="Arial" w:hAnsi="Arial" w:cs="Arial"/>
          <w:szCs w:val="22"/>
          <w:lang w:val="en-GB"/>
        </w:rPr>
      </w:pPr>
      <w:r>
        <w:rPr>
          <w:lang w:val="en-GB"/>
        </w:rPr>
        <w:t>Service Provider will assume the responsibility for only Service Provider owned assets</w:t>
      </w:r>
    </w:p>
    <w:p>
      <w:pPr>
        <w:pStyle w:val="TableLevel1Numbered"/>
        <w:numPr>
          <w:ilvl w:val="0"/>
          <w:numId w:val="8"/>
        </w:numPr>
        <w:ind w:hanging="0" w:start="0"/>
        <w:rPr>
          <w:rFonts w:ascii="Arial" w:hAnsi="Arial" w:cs="Arial"/>
          <w:szCs w:val="22"/>
          <w:lang w:val="en-GB"/>
        </w:rPr>
      </w:pPr>
      <w:r>
        <w:rPr>
          <w:lang w:val="en-GB"/>
        </w:rPr>
        <w:t>Upgrades and Additional Equipment and Software</w:t>
      </w:r>
    </w:p>
    <w:p>
      <w:pPr>
        <w:pStyle w:val="TableText"/>
        <w:ind w:firstLine="720" w:start="540" w:end="0"/>
        <w:jc w:val="both"/>
        <w:rPr>
          <w:rFonts w:ascii="Arial" w:hAnsi="Arial" w:cs="Arial"/>
          <w:szCs w:val="22"/>
          <w:lang w:val="en-GB"/>
        </w:rPr>
      </w:pPr>
      <w:r>
        <w:rPr>
          <w:lang w:val="en-GB"/>
        </w:rPr>
        <w:t>Service Provider will be responsible only for the equipment &amp; software owned by Service Provider</w:t>
      </w:r>
      <w:r>
        <w:rPr>
          <w:rFonts w:cs="Arial" w:ascii="Arial" w:hAnsi="Arial"/>
          <w:szCs w:val="22"/>
          <w:lang w:val="en-GB"/>
        </w:rPr>
        <w:t xml:space="preserve"> </w:t>
      </w:r>
    </w:p>
    <w:p>
      <w:pPr>
        <w:pStyle w:val="Formatvorlage1"/>
        <w:numPr>
          <w:ilvl w:val="0"/>
          <w:numId w:val="12"/>
        </w:numPr>
        <w:ind w:hanging="0" w:start="0"/>
        <w:rPr/>
      </w:pPr>
      <w:bookmarkStart w:id="15" w:name="__RefHeading___Toc157909034"/>
      <w:bookmarkEnd w:id="15"/>
      <w:r>
        <w:rPr/>
        <w:t>Adjustments for Inflation and Deflation</w:t>
      </w:r>
    </w:p>
    <w:p>
      <w:pPr>
        <w:pStyle w:val="BodyText"/>
        <w:rPr/>
      </w:pPr>
      <w:r>
        <w:rPr>
          <w:lang w:val="en-GB"/>
        </w:rPr>
        <w:t xml:space="preserve">The rates included in </w:t>
      </w:r>
      <w:r>
        <w:rPr>
          <w:b/>
          <w:lang w:val="en-GB"/>
        </w:rPr>
        <w:t>Attachment 4-A</w:t>
      </w:r>
      <w:r>
        <w:rPr>
          <w:lang w:val="en-GB"/>
        </w:rPr>
        <w:t xml:space="preserve"> reflects +3% fixed inflation adjustment annually, from January 1, 2008 onwards until the end of the contract period (Term).</w:t>
      </w:r>
    </w:p>
    <w:p>
      <w:pPr>
        <w:pStyle w:val="BodyText"/>
        <w:rPr>
          <w:lang w:val="en-GB"/>
        </w:rPr>
      </w:pPr>
      <w:r>
        <w:rPr>
          <w:lang w:val="en-GB"/>
        </w:rPr>
      </w:r>
    </w:p>
    <w:p>
      <w:pPr>
        <w:pStyle w:val="BodyText"/>
        <w:spacing w:before="180" w:after="180"/>
        <w:rPr>
          <w:szCs w:val="22"/>
          <w:lang w:val="en-GB"/>
        </w:rPr>
      </w:pPr>
      <w:r>
        <w:rPr>
          <w:szCs w:val="22"/>
          <w:lang w:val="en-GB"/>
        </w:rPr>
      </w:r>
    </w:p>
    <w:sectPr>
      <w:headerReference w:type="default" r:id="rId4"/>
      <w:footerReference w:type="default" r:id="rId5"/>
      <w:type w:val="nextPage"/>
      <w:pgSz w:w="11906" w:h="16838"/>
      <w:pgMar w:left="1134" w:right="1134" w:gutter="0" w:header="708" w:top="764" w:footer="708" w:bottom="7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 w:name="Times">
    <w:altName w:val="Times New Roman"/>
    <w:charset w:val="00" w:characterSet="windows-1252"/>
    <w:family w:val="roman"/>
    <w:pitch w:val="variable"/>
  </w:font>
  <w:font w:name="Arial Bold">
    <w:altName w:val="Arial"/>
    <w:charset w:val="00" w:characterSet="windows-1252"/>
    <w:family w:val="swiss"/>
    <w:pitch w:val="default"/>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Exhibit 4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10</w:t>
    </w:r>
    <w:r>
      <w:rPr>
        <w:rStyle w:val="PageNumber"/>
      </w:rPr>
      <w:fldChar w:fldCharType="end"/>
    </w:r>
  </w:p>
  <w:p>
    <w:pPr>
      <w:pStyle w:val="Footer"/>
      <w:tabs>
        <w:tab w:val="clear" w:pos="14400"/>
        <w:tab w:val="center" w:pos="4680" w:leader="none"/>
        <w:tab w:val="center" w:pos="7200" w:leader="none"/>
        <w:tab w:val="right" w:pos="15300" w:leader="none"/>
      </w:tabs>
      <w:spacing w:before="120" w:after="120"/>
      <w:jc w:val="center"/>
      <w:rPr>
        <w:rFonts w:ascii="Arial" w:hAnsi="Arial" w:cs="Arial"/>
        <w:sz w:val="20"/>
        <w:szCs w:val="20"/>
      </w:rPr>
    </w:pPr>
    <w:r>
      <w:rPr>
        <w:rFonts w:cs="Arial" w:ascii="Arial" w:hAnsi="Arial"/>
        <w:sz w:val="20"/>
        <w:szCs w:val="20"/>
      </w:rPr>
      <w:t>ServicePro and GlobalPharma CONFIDENTIAL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14400"/>
        <w:tab w:val="right" w:pos="9360" w:leader="none"/>
        <w:tab w:val="right" w:pos="15300" w:leader="none"/>
      </w:tabs>
      <w:spacing w:before="120" w:after="120"/>
      <w:rPr/>
    </w:pPr>
    <w:r>
      <w:drawing>
        <wp:anchor behindDoc="1" distT="0" distB="0" distL="114935" distR="114935" simplePos="0" locked="0" layoutInCell="1" allowOverlap="1" relativeHeight="22">
          <wp:simplePos x="0" y="0"/>
          <wp:positionH relativeFrom="column">
            <wp:posOffset>5029200</wp:posOffset>
          </wp:positionH>
          <wp:positionV relativeFrom="paragraph">
            <wp:posOffset>17145</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1404"/>
        </w:tabs>
        <w:ind w:start="1404"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3">
    <w:lvl w:ilvl="0">
      <w:start w:val="1"/>
      <w:numFmt w:val="bullet"/>
      <w:lvlText w:val=""/>
      <w:lvlJc w:val="start"/>
      <w:pPr>
        <w:tabs>
          <w:tab w:val="num" w:pos="2707"/>
        </w:tabs>
        <w:ind w:start="2707" w:hanging="547"/>
      </w:pPr>
      <w:rPr>
        <w:rFonts w:ascii="Symbol" w:hAnsi="Symbol" w:cs="Symbol" w:hint="default"/>
      </w:rPr>
    </w:lvl>
  </w:abstractNum>
  <w:abstractNum w:abstractNumId="14">
    <w:lvl w:ilvl="0">
      <w:start w:val="2"/>
      <w:numFmt w:val="bullet"/>
      <w:lvlText w:val=""/>
      <w:lvlJc w:val="start"/>
      <w:pPr>
        <w:tabs>
          <w:tab w:val="num" w:pos="720"/>
        </w:tabs>
        <w:ind w:start="720" w:hanging="360"/>
      </w:pPr>
      <w:rPr>
        <w:rFonts w:ascii="Symbol" w:hAnsi="Symbol" w:cs="Symbol" w:hint="default"/>
      </w:rPr>
    </w:lvl>
  </w:abstractNum>
  <w:abstractNum w:abstractNumId="15">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1440"/>
        </w:tabs>
        <w:ind w:start="1440" w:hanging="360"/>
      </w:pPr>
      <w:rPr>
        <w:rFonts w:ascii="Symbol" w:hAnsi="Symbol" w:cs="Symbol" w:hint="default"/>
      </w:rPr>
    </w:lvl>
  </w:abstractNum>
  <w:abstractNum w:abstractNumId="18">
    <w:lvl w:ilvl="0">
      <w:start w:val="1"/>
      <w:numFmt w:val="decimal"/>
      <w:lvlText w:val="%1."/>
      <w:lvlJc w:val="start"/>
      <w:pPr>
        <w:tabs>
          <w:tab w:val="num" w:pos="720"/>
        </w:tabs>
        <w:ind w:start="720" w:hanging="360"/>
      </w:pPr>
      <w:rPr/>
    </w:lvl>
  </w:abstractNum>
  <w:abstractNum w:abstractNumId="19">
    <w:lvl w:ilvl="0">
      <w:start w:val="1"/>
      <w:numFmt w:val="decimal"/>
      <w:lvlText w:val="%1."/>
      <w:lvlJc w:val="start"/>
      <w:pPr>
        <w:tabs>
          <w:tab w:val="num" w:pos="432"/>
        </w:tabs>
        <w:ind w:start="432" w:hanging="360"/>
      </w:pPr>
      <w:rPr/>
    </w:lvl>
    <w:lvl w:ilvl="1">
      <w:start w:val="1"/>
      <w:numFmt w:val="lowerLetter"/>
      <w:lvlText w:val="%2."/>
      <w:lvlJc w:val="start"/>
      <w:pPr>
        <w:tabs>
          <w:tab w:val="num" w:pos="864"/>
        </w:tabs>
        <w:ind w:start="864" w:hanging="360"/>
      </w:pPr>
      <w:rPr/>
    </w:lvl>
    <w:lvl w:ilvl="2">
      <w:start w:val="1"/>
      <w:numFmt w:val="decimal"/>
      <w:lvlText w:val="%3."/>
      <w:lvlJc w:val="start"/>
      <w:pPr>
        <w:tabs>
          <w:tab w:val="num" w:pos="1584"/>
        </w:tabs>
        <w:ind w:start="1584" w:hanging="576"/>
      </w:pPr>
      <w:rPr/>
    </w:lvl>
    <w:lvl w:ilvl="3">
      <w:start w:val="1"/>
      <w:numFmt w:val="lowerLetter"/>
      <w:lvlText w:val="%4."/>
      <w:lvlJc w:val="start"/>
      <w:pPr>
        <w:tabs>
          <w:tab w:val="num" w:pos="2448"/>
        </w:tabs>
        <w:ind w:start="2448" w:hanging="576"/>
      </w:pPr>
      <w:rPr/>
    </w:lvl>
    <w:lvl w:ilvl="4">
      <w:start w:val="1"/>
      <w:numFmt w:val="decimal"/>
      <w:lvlText w:val="(%5)"/>
      <w:lvlJc w:val="start"/>
      <w:pPr>
        <w:tabs>
          <w:tab w:val="num" w:pos="2448"/>
        </w:tabs>
        <w:ind w:start="2448" w:hanging="576"/>
      </w:pPr>
      <w:rPr/>
    </w:lvl>
    <w:lvl w:ilvl="5">
      <w:start w:val="1"/>
      <w:numFmt w:val="lowerLetter"/>
      <w:lvlText w:val="(%6)"/>
      <w:lvlJc w:val="start"/>
      <w:pPr>
        <w:tabs>
          <w:tab w:val="num" w:pos="144"/>
        </w:tabs>
        <w:ind w:start="2736" w:hanging="432"/>
      </w:pPr>
      <w:rPr/>
    </w:lvl>
    <w:lvl w:ilvl="6">
      <w:start w:val="1"/>
      <w:numFmt w:val="lowerRoman"/>
      <w:lvlText w:val="(%7)"/>
      <w:lvlJc w:val="start"/>
      <w:pPr>
        <w:tabs>
          <w:tab w:val="num" w:pos="144"/>
        </w:tabs>
        <w:ind w:start="3168" w:hanging="432"/>
      </w:pPr>
      <w:rPr/>
    </w:lvl>
    <w:lvl w:ilvl="7">
      <w:start w:val="1"/>
      <w:numFmt w:val="lowerLetter"/>
      <w:lvlText w:val="(%8)"/>
      <w:lvlJc w:val="start"/>
      <w:pPr>
        <w:tabs>
          <w:tab w:val="num" w:pos="144"/>
        </w:tabs>
        <w:ind w:start="3600" w:hanging="432"/>
      </w:pPr>
      <w:rPr/>
    </w:lvl>
    <w:lvl w:ilvl="8">
      <w:start w:val="1"/>
      <w:numFmt w:val="lowerRoman"/>
      <w:lvlText w:val="(%9)"/>
      <w:lvlJc w:val="start"/>
      <w:pPr>
        <w:tabs>
          <w:tab w:val="num" w:pos="144"/>
        </w:tabs>
        <w:ind w:start="4032" w:hanging="432"/>
      </w:pPr>
      <w:rPr/>
    </w:lvl>
  </w:abstractNum>
  <w:abstractNum w:abstractNumId="20">
    <w:lvl w:ilvl="0">
      <w:start w:val="1"/>
      <w:numFmt w:val="bullet"/>
      <w:lvlText w:val=""/>
      <w:lvlJc w:val="start"/>
      <w:pPr>
        <w:tabs>
          <w:tab w:val="num" w:pos="1627"/>
        </w:tabs>
        <w:ind w:start="1627" w:hanging="547"/>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1">
    <w:lvl w:ilvl="0">
      <w:start w:val="1"/>
      <w:numFmt w:val="bullet"/>
      <w:lvlText w:val="-"/>
      <w:lvlJc w:val="start"/>
      <w:pPr>
        <w:tabs>
          <w:tab w:val="num" w:pos="1080"/>
        </w:tabs>
        <w:ind w:start="1080" w:hanging="360"/>
      </w:pPr>
      <w:rPr>
        <w:rFonts w:ascii="Times New Roman" w:hAnsi="Times New Roman" w:cs="Times New Roman" w:hint="default"/>
      </w:rPr>
    </w:lvl>
  </w:abstractNum>
  <w:abstractNum w:abstractNumId="22">
    <w:lvl w:ilvl="0">
      <w:start w:val="1"/>
      <w:numFmt w:val="bullet"/>
      <w:lvlText w:val=""/>
      <w:lvlJc w:val="start"/>
      <w:pPr>
        <w:tabs>
          <w:tab w:val="num" w:pos="2160"/>
        </w:tabs>
        <w:ind w:start="2160" w:hanging="533"/>
      </w:pPr>
      <w:rPr>
        <w:rFonts w:ascii="Symbol" w:hAnsi="Symbol" w:cs="Symbol" w:hint="default"/>
      </w:rPr>
    </w:lvl>
  </w:abstractNum>
  <w:abstractNum w:abstractNumId="23">
    <w:lvl w:ilvl="0">
      <w:start w:val="1"/>
      <w:isLgl/>
      <w:numFmt w:val="decimal"/>
      <w:lvlText w:val="%1.0"/>
      <w:lvlJc w:val="start"/>
      <w:pPr>
        <w:tabs>
          <w:tab w:val="num" w:pos="0"/>
        </w:tabs>
        <w:ind w:start="0" w:hanging="0"/>
      </w:pPr>
      <w:rPr>
        <w:sz w:val="28"/>
        <w:i w:val="false"/>
        <w:b/>
        <w:szCs w:val="28"/>
        <w:rFonts w:ascii="Times New Roman Bold;Times New Roman" w:hAnsi="Times New Roman Bold;Times New Roman" w:cs="Times New Roman Bold;Times New Roman"/>
        <w:color w:val="000000"/>
      </w:rPr>
    </w:lvl>
    <w:lvl w:ilvl="1">
      <w:start w:val="1"/>
      <w:numFmt w:val="decimal"/>
      <w:lvlText w:val="%1.%2."/>
      <w:lvlJc w:val="start"/>
      <w:pPr>
        <w:tabs>
          <w:tab w:val="num" w:pos="288"/>
        </w:tabs>
        <w:ind w:start="288" w:hanging="619"/>
      </w:pPr>
      <w:rPr>
        <w:sz w:val="22"/>
        <w:i w:val="false"/>
        <w:b w:val="false"/>
        <w:rFonts w:ascii="Times New Roman" w:hAnsi="Times New Roman" w:cs="Times New Roman"/>
      </w:rPr>
    </w:lvl>
    <w:lvl w:ilvl="2">
      <w:start w:val="1"/>
      <w:numFmt w:val="decimal"/>
      <w:lvlText w:val="%1.%2.%3."/>
      <w:lvlJc w:val="start"/>
      <w:pPr>
        <w:tabs>
          <w:tab w:val="num" w:pos="576"/>
        </w:tabs>
        <w:ind w:start="576" w:hanging="878"/>
      </w:pPr>
      <w:rPr>
        <w:sz w:val="22"/>
        <w:i w:val="false"/>
        <w:b w:val="false"/>
        <w:rFonts w:ascii="Times New Roman" w:hAnsi="Times New Roman" w:cs="Times New Roman"/>
      </w:rPr>
    </w:lvl>
    <w:lvl w:ilvl="3">
      <w:start w:val="1"/>
      <w:numFmt w:val="decimal"/>
      <w:lvlText w:val="%1.%2.%3.%4."/>
      <w:lvlJc w:val="start"/>
      <w:pPr>
        <w:tabs>
          <w:tab w:val="num" w:pos="720"/>
        </w:tabs>
        <w:ind w:start="720" w:hanging="994"/>
      </w:pPr>
      <w:rPr>
        <w:sz w:val="22"/>
        <w:i w:val="false"/>
        <w:b w:val="false"/>
        <w:rFonts w:ascii="Times New Roman" w:hAnsi="Times New Roman" w:cs="Times New Roman"/>
      </w:rPr>
    </w:lvl>
    <w:lvl w:ilvl="4">
      <w:start w:val="1"/>
      <w:numFmt w:val="none"/>
      <w:suff w:val="nothing"/>
      <w:lvlText w:val=""/>
      <w:lvlJc w:val="start"/>
      <w:pPr>
        <w:ind w:start="720" w:hanging="0"/>
      </w:pPr>
      <w:rPr/>
    </w:lvl>
    <w:lvl w:ilvl="5">
      <w:start w:val="1"/>
      <w:numFmt w:val="none"/>
      <w:suff w:val="nothing"/>
      <w:lvlText w:val=""/>
      <w:lvlJc w:val="start"/>
      <w:pPr>
        <w:ind w:start="720" w:hanging="0"/>
      </w:pPr>
      <w:rPr/>
    </w:lvl>
    <w:lvl w:ilvl="6">
      <w:start w:val="1"/>
      <w:numFmt w:val="none"/>
      <w:suff w:val="nothing"/>
      <w:lvlText w:val=""/>
      <w:lvlJc w:val="start"/>
      <w:pPr>
        <w:ind w:start="720" w:hanging="0"/>
      </w:pPr>
      <w:rPr/>
    </w:lvl>
    <w:lvl w:ilvl="7">
      <w:start w:val="1"/>
      <w:numFmt w:val="none"/>
      <w:suff w:val="nothing"/>
      <w:lvlText w:val=""/>
      <w:lvlJc w:val="start"/>
      <w:pPr>
        <w:ind w:start="720" w:hanging="0"/>
      </w:pPr>
      <w:rPr/>
    </w:lvl>
    <w:lvl w:ilvl="8">
      <w:start w:val="1"/>
      <w:numFmt w:val="none"/>
      <w:suff w:val="nothing"/>
      <w:lvlText w:val=""/>
      <w:lvlJc w:val="start"/>
      <w:pPr>
        <w:ind w:start="720" w:hanging="0"/>
      </w:pPr>
      <w:rPr/>
    </w:lvl>
  </w:abstractNum>
  <w:abstractNum w:abstractNumId="24">
    <w:lvl w:ilvl="0">
      <w:start w:val="1"/>
      <w:numFmt w:val="bullet"/>
      <w:lvlText w:val=""/>
      <w:lvlJc w:val="start"/>
      <w:pPr>
        <w:tabs>
          <w:tab w:val="num" w:pos="360"/>
        </w:tabs>
        <w:ind w:start="360" w:hanging="360"/>
      </w:pPr>
      <w:rPr>
        <w:rFonts w:ascii="Symbol" w:hAnsi="Symbol" w:cs="Symbol" w:hint="default"/>
      </w:rPr>
    </w:lvl>
  </w:abstractNum>
  <w:abstractNum w:abstractNumId="25">
    <w:lvl w:ilvl="0">
      <w:start w:val="1"/>
      <w:numFmt w:val="bullet"/>
      <w:lvlText w:val=""/>
      <w:lvlJc w:val="start"/>
      <w:pPr>
        <w:tabs>
          <w:tab w:val="num" w:pos="3240"/>
        </w:tabs>
        <w:ind w:start="3240" w:hanging="533"/>
      </w:pPr>
      <w:rPr>
        <w:rFonts w:ascii="Symbol" w:hAnsi="Symbol" w:cs="Symbol" w:hint="default"/>
      </w:rPr>
    </w:lvl>
  </w:abstractNum>
  <w:abstractNum w:abstractNumId="26">
    <w:lvl w:ilvl="0">
      <w:start w:val="1"/>
      <w:numFmt w:val="lowerLetter"/>
      <w:lvlText w:val="%1."/>
      <w:lvlJc w:val="start"/>
      <w:pPr>
        <w:tabs>
          <w:tab w:val="num" w:pos="432"/>
        </w:tabs>
        <w:ind w:start="1728" w:hanging="432"/>
      </w:pPr>
    </w:lvl>
  </w:abstractNum>
  <w:abstractNum w:abstractNumId="27">
    <w:lvl w:ilvl="0">
      <w:start w:val="1"/>
      <w:numFmt w:val="bullet"/>
      <w:lvlText w:val=""/>
      <w:lvlJc w:val="start"/>
      <w:pPr>
        <w:tabs>
          <w:tab w:val="num" w:pos="1080"/>
        </w:tabs>
        <w:ind w:start="1080" w:hanging="360"/>
      </w:pPr>
      <w:rPr>
        <w:rFonts w:ascii="Symbol" w:hAnsi="Symbol" w:cs="Symbol" w:hint="default"/>
        <w:sz w:val="28"/>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8"/>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1"/>
        <w:numId w:val="1"/>
      </w:numPr>
      <w:outlineLvl w:val="1"/>
    </w:pPr>
    <w:rPr>
      <w:bCs w:val="false"/>
      <w:iCs/>
      <w:caps w:val="false"/>
      <w:smallCaps w:val="false"/>
      <w:szCs w:val="28"/>
    </w:rPr>
  </w:style>
  <w:style w:type="paragraph" w:styleId="Heading3">
    <w:name w:val="heading 3"/>
    <w:basedOn w:val="Heading2"/>
    <w:next w:val="TableText"/>
    <w:qFormat/>
    <w:pPr>
      <w:numPr>
        <w:ilvl w:val="2"/>
        <w:numId w:val="1"/>
      </w:numPr>
      <w:outlineLvl w:val="2"/>
    </w:pPr>
    <w:rPr>
      <w:bCs/>
      <w:sz w:val="24"/>
      <w:szCs w:val="26"/>
    </w:rPr>
  </w:style>
  <w:style w:type="paragraph" w:styleId="Heading4">
    <w:name w:val="heading 4"/>
    <w:basedOn w:val="Heading3"/>
    <w:next w:val="TableText"/>
    <w:qFormat/>
    <w:pPr>
      <w:numPr>
        <w:ilvl w:val="3"/>
        <w:numId w:val="1"/>
      </w:numPr>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Times New Roman Bold;Times New Roman" w:hAnsi="Times New Roman Bold;Times New Roman" w:cs="Times New Roman Bold;Times New Roman"/>
      <w:b/>
      <w:i w:val="false"/>
      <w:sz w:val="28"/>
    </w:rPr>
  </w:style>
  <w:style w:type="character" w:styleId="WW8Num11z2">
    <w:name w:val="WW8Num11z2"/>
    <w:qFormat/>
    <w:rPr>
      <w:rFonts w:ascii="Times New Roman" w:hAnsi="Times New Roman" w:cs="Times New Roman"/>
      <w:b/>
      <w:i w:val="false"/>
      <w:sz w:val="24"/>
    </w:rPr>
  </w:style>
  <w:style w:type="character" w:styleId="WW8Num11z4">
    <w:name w:val="WW8Num11z4"/>
    <w:qFormat/>
    <w:rPr>
      <w:rFonts w:ascii="Times New Roman Bold;Times New Roman" w:hAnsi="Times New Roman Bold;Times New Roman" w:cs="Times New Roman Bold;Times New Roman"/>
      <w:b/>
      <w:i w:val="false"/>
      <w:sz w:val="22"/>
      <w:szCs w:val="22"/>
    </w:rPr>
  </w:style>
  <w:style w:type="character" w:styleId="WW8Num11z5">
    <w:name w:val="WW8Num11z5"/>
    <w:qFormat/>
    <w:rPr>
      <w:rFonts w:ascii="Times New Roman" w:hAnsi="Times New Roman" w:cs="Times New Roman"/>
      <w:b w:val="false"/>
      <w:i w:val="false"/>
      <w:sz w:val="22"/>
    </w:rPr>
  </w:style>
  <w:style w:type="character" w:styleId="WW8Num11z8">
    <w:name w:val="WW8Num11z8"/>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4z0">
    <w:name w:val="WW8Num14z0"/>
    <w:qFormat/>
    <w:rPr>
      <w:rFonts w:ascii="Times New Roman Bold;Times New Roman" w:hAnsi="Times New Roman Bold;Times New Roman" w:cs="Times New Roman Bold;Times New Roman"/>
      <w:b/>
      <w:i w:val="false"/>
      <w:sz w:val="28"/>
    </w:rPr>
  </w:style>
  <w:style w:type="character" w:styleId="WW8Num14z2">
    <w:name w:val="WW8Num14z2"/>
    <w:qFormat/>
    <w:rPr>
      <w:rFonts w:ascii="Times New Roman" w:hAnsi="Times New Roman" w:cs="Times New Roman"/>
      <w:b/>
      <w:i w:val="false"/>
      <w:sz w:val="24"/>
    </w:rPr>
  </w:style>
  <w:style w:type="character" w:styleId="WW8Num14z4">
    <w:name w:val="WW8Num14z4"/>
    <w:qFormat/>
    <w:rPr>
      <w:rFonts w:ascii="Times New Roman" w:hAnsi="Times New Roman" w:cs="Times New Roman"/>
      <w:b w:val="false"/>
      <w:i w:val="false"/>
      <w:sz w:val="22"/>
    </w:rPr>
  </w:style>
  <w:style w:type="character" w:styleId="WW8Num14z8">
    <w:name w:val="WW8Num14z8"/>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Times New Roman" w:hAnsi="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Times New Roman" w:hAnsi="Times New Roman" w:cs="Times New Roman"/>
    </w:rPr>
  </w:style>
  <w:style w:type="character" w:styleId="WW8Num23z0">
    <w:name w:val="WW8Num23z0"/>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Bold;Times New Roman" w:hAnsi="Times New Roman Bold;Times New Roman" w:cs="Times New Roman Bold;Times New Roman"/>
      <w:b/>
      <w:i w:val="false"/>
      <w:color w:val="000000"/>
      <w:sz w:val="28"/>
      <w:szCs w:val="28"/>
    </w:rPr>
  </w:style>
  <w:style w:type="character" w:styleId="WW8Num25z1">
    <w:name w:val="WW8Num25z1"/>
    <w:qFormat/>
    <w:rPr>
      <w:rFonts w:ascii="Times New Roman" w:hAnsi="Times New Roman" w:cs="Times New Roman"/>
      <w:b w:val="false"/>
      <w:i w:val="false"/>
      <w:sz w:val="22"/>
    </w:rPr>
  </w:style>
  <w:style w:type="character" w:styleId="WW8Num25z4">
    <w:name w:val="WW8Num25z4"/>
    <w:qFormat/>
    <w:rPr/>
  </w:style>
  <w:style w:type="character" w:styleId="WW8Num26z0">
    <w:name w:val="WW8Num26z0"/>
    <w:qFormat/>
    <w:rPr>
      <w:rFonts w:ascii="Symbol" w:hAnsi="Symbol" w:cs="Times New Roman"/>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9z0">
    <w:name w:val="WW8Num29z0"/>
    <w:qFormat/>
    <w:rPr>
      <w:rFonts w:ascii="Symbol" w:hAnsi="Symbol" w:cs="Symbol"/>
      <w:sz w:val="28"/>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PageNumber">
    <w:name w:val="page number"/>
    <w:basedOn w:val="Absatz-Standardschriftart"/>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prechblasentext">
    <w:name w:val="Sprechblasentext"/>
    <w:basedOn w:val="Normal"/>
    <w:qFormat/>
    <w:pPr/>
    <w:rPr>
      <w:rFonts w:ascii="Tahoma" w:hAnsi="Tahoma" w:cs="Tahoma"/>
      <w:sz w:val="16"/>
      <w:szCs w:val="16"/>
    </w:rPr>
  </w:style>
  <w:style w:type="paragraph" w:styleId="BodyLevel1Numbered">
    <w:name w:val="Body Level 1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Numbered">
    <w:name w:val="Body Level 2 Numbered"/>
    <w:basedOn w:val="Normal"/>
    <w:qFormat/>
    <w:pPr>
      <w:numPr>
        <w:ilvl w:val="0"/>
        <w:numId w:val="10"/>
      </w:numPr>
      <w:spacing w:before="180" w:after="180"/>
    </w:pPr>
    <w:rPr/>
  </w:style>
  <w:style w:type="paragraph" w:styleId="BodyLevel2Text">
    <w:name w:val="Body Level 2 Text"/>
    <w:basedOn w:val="BodyText"/>
    <w:qFormat/>
    <w:pPr>
      <w:ind w:hanging="0" w:start="2160" w:end="0"/>
    </w:pPr>
    <w:rPr/>
  </w:style>
  <w:style w:type="paragraph" w:styleId="BodyLevel3Numbered">
    <w:name w:val="Body Level 3 Numbered"/>
    <w:basedOn w:val="Normal"/>
    <w:qFormat/>
    <w:pPr>
      <w:numPr>
        <w:ilvl w:val="0"/>
        <w:numId w:val="10"/>
      </w:numPr>
      <w:spacing w:before="180" w:after="180"/>
    </w:pPr>
    <w:rPr/>
  </w:style>
  <w:style w:type="paragraph" w:styleId="BodyLevel3Text">
    <w:name w:val="Body Level 3 Text"/>
    <w:basedOn w:val="BodyText"/>
    <w:qFormat/>
    <w:pPr>
      <w:ind w:hanging="0" w:start="2700" w:end="0"/>
    </w:pPr>
    <w:rPr/>
  </w:style>
  <w:style w:type="paragraph" w:styleId="BodyLevel4Numbered">
    <w:name w:val="Body Level 4 Numbered"/>
    <w:basedOn w:val="Normal"/>
    <w:qFormat/>
    <w:pPr>
      <w:numPr>
        <w:ilvl w:val="0"/>
        <w:numId w:val="10"/>
      </w:numPr>
      <w:spacing w:before="180" w:after="180"/>
    </w:pPr>
    <w:rPr/>
  </w:style>
  <w:style w:type="paragraph" w:styleId="BodyLevel4Text">
    <w:name w:val="Body Level 4 Text"/>
    <w:basedOn w:val="BodyText"/>
    <w:qFormat/>
    <w:pPr>
      <w:ind w:hanging="0" w:start="3240" w:end="0"/>
    </w:pPr>
    <w:rPr/>
  </w:style>
  <w:style w:type="paragraph" w:styleId="BodyTextBullet">
    <w:name w:val="Body Text Bullet"/>
    <w:basedOn w:val="Normal"/>
    <w:qFormat/>
    <w:pPr>
      <w:numPr>
        <w:ilvl w:val="0"/>
        <w:numId w:val="20"/>
      </w:numPr>
      <w:tabs>
        <w:tab w:val="clear" w:pos="720"/>
        <w:tab w:val="left" w:pos="1440" w:leader="none"/>
      </w:tabs>
      <w:ind w:hanging="360" w:start="1440" w:end="0"/>
    </w:pPr>
    <w:rPr/>
  </w:style>
  <w:style w:type="paragraph" w:styleId="BodyTextBulletL1">
    <w:name w:val="Body Text Bullet L1"/>
    <w:basedOn w:val="Normal"/>
    <w:qFormat/>
    <w:pPr>
      <w:numPr>
        <w:ilvl w:val="0"/>
        <w:numId w:val="22"/>
      </w:numPr>
      <w:ind w:hanging="360" w:start="0" w:end="0"/>
    </w:pPr>
    <w:rPr/>
  </w:style>
  <w:style w:type="paragraph" w:styleId="BodyTextBulletL2">
    <w:name w:val="Body Text Bullet L2"/>
    <w:basedOn w:val="Normal"/>
    <w:qFormat/>
    <w:pPr>
      <w:numPr>
        <w:ilvl w:val="0"/>
        <w:numId w:val="13"/>
      </w:numPr>
      <w:ind w:hanging="367" w:start="0" w:end="0"/>
    </w:pPr>
    <w:rPr/>
  </w:style>
  <w:style w:type="paragraph" w:styleId="BodyTextBulletL3">
    <w:name w:val="Body Text Bullet L3"/>
    <w:basedOn w:val="Normal"/>
    <w:qFormat/>
    <w:pPr>
      <w:numPr>
        <w:ilvl w:val="0"/>
        <w:numId w:val="25"/>
      </w:numPr>
      <w:ind w:hanging="360" w:start="0" w:end="0"/>
    </w:pPr>
    <w:rPr/>
  </w:style>
  <w:style w:type="paragraph" w:styleId="BodyTextIndent">
    <w:name w:val="Body Text Indent"/>
    <w:basedOn w:val="BodyText"/>
    <w:pPr>
      <w:ind w:hanging="0" w:start="1080" w:end="0"/>
    </w:pPr>
    <w:rPr/>
  </w:style>
  <w:style w:type="paragraph" w:styleId="TableTextBullet">
    <w:name w:val="Table Text Bullet"/>
    <w:basedOn w:val="Normal"/>
    <w:qFormat/>
    <w:pPr>
      <w:numPr>
        <w:ilvl w:val="0"/>
        <w:numId w:val="16"/>
      </w:numPr>
    </w:pPr>
    <w:rPr/>
  </w:style>
  <w:style w:type="paragraph" w:styleId="Bullet1Table">
    <w:name w:val="Bullet 1 Table"/>
    <w:basedOn w:val="TableTextBullet"/>
    <w:next w:val="TableTextBullet"/>
    <w:qFormat/>
    <w:pPr/>
    <w:rPr/>
  </w:style>
  <w:style w:type="paragraph" w:styleId="Datum">
    <w:name w:val="Datum"/>
    <w:basedOn w:val="Normal"/>
    <w:next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ing1Numbered">
    <w:name w:val="Heading 1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caps/>
      <w:sz w:val="28"/>
    </w:rPr>
  </w:style>
  <w:style w:type="paragraph" w:styleId="Head1-NoTOC">
    <w:name w:val="Head 1 # - No TOC"/>
    <w:basedOn w:val="Heading1Numbered"/>
    <w:next w:val="BodyText"/>
    <w:qFormat/>
    <w:pPr>
      <w:numPr>
        <w:ilvl w:val="0"/>
        <w:numId w:val="15"/>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ing2Numbered">
    <w:name w:val="Heading 2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8"/>
    </w:rPr>
  </w:style>
  <w:style w:type="paragraph" w:styleId="Head2-NoTOC">
    <w:name w:val="Head 2 # - No TOC"/>
    <w:basedOn w:val="Heading2Numbered"/>
    <w:next w:val="BodyText"/>
    <w:qFormat/>
    <w:pPr>
      <w:numPr>
        <w:ilvl w:val="0"/>
        <w:numId w:val="15"/>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2"/>
      </w:numPr>
    </w:pPr>
    <w:rPr/>
  </w:style>
  <w:style w:type="paragraph" w:styleId="Head3-NoTOC">
    <w:name w:val="Head 3 # - No TOC"/>
    <w:basedOn w:val="Heading3Numbered"/>
    <w:next w:val="BodyText"/>
    <w:qFormat/>
    <w:pPr>
      <w:numPr>
        <w:ilvl w:val="0"/>
        <w:numId w:val="15"/>
      </w:numPr>
    </w:pPr>
    <w:rPr/>
  </w:style>
  <w:style w:type="paragraph" w:styleId="Head4-NoTOCor">
    <w:name w:val="Head 4 - No TOC or #"/>
    <w:basedOn w:val="Heading4"/>
    <w:next w:val="TableText"/>
    <w:qFormat/>
    <w:pPr>
      <w:numPr>
        <w:ilvl w:val="0"/>
        <w:numId w:val="0"/>
      </w:numPr>
      <w:outlineLvl w:val="9"/>
    </w:pPr>
    <w:rPr/>
  </w:style>
  <w:style w:type="paragraph" w:styleId="Heading4Numbered">
    <w:name w:val="Heading 4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4"/>
    </w:rPr>
  </w:style>
  <w:style w:type="paragraph" w:styleId="Head4-NoTOC">
    <w:name w:val="Head 4 # - No TOC"/>
    <w:basedOn w:val="Heading4Numbered"/>
    <w:next w:val="BodyText"/>
    <w:qFormat/>
    <w:pPr>
      <w:numPr>
        <w:ilvl w:val="0"/>
        <w:numId w:val="15"/>
      </w:numPr>
    </w:pPr>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OC4">
    <w:name w:val="toc 4"/>
    <w:basedOn w:val="Normal"/>
    <w:next w:val="Normal"/>
    <w:pPr>
      <w:spacing w:before="0" w:after="0"/>
      <w:ind w:hanging="0" w:start="660" w:end="0"/>
    </w:pPr>
    <w:rPr>
      <w:sz w:val="18"/>
      <w:szCs w:val="1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ableLevel1Numbered">
    <w:name w:val="Table Level 1 Numbered"/>
    <w:basedOn w:val="Normal"/>
    <w:qFormat/>
    <w:pPr>
      <w:numPr>
        <w:ilvl w:val="0"/>
        <w:numId w:val="8"/>
      </w:numPr>
    </w:pPr>
    <w:rPr/>
  </w:style>
  <w:style w:type="paragraph" w:styleId="TableLevel1-2Bullet">
    <w:name w:val="Table Level 1-2 Bullet"/>
    <w:basedOn w:val="Normal"/>
    <w:qFormat/>
    <w:pPr>
      <w:numPr>
        <w:ilvl w:val="0"/>
        <w:numId w:val="17"/>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TableLevel3Numbered">
    <w:name w:val="Table Level 3 Numbered"/>
    <w:basedOn w:val="Normal"/>
    <w:qFormat/>
    <w:pPr>
      <w:numPr>
        <w:ilvl w:val="0"/>
        <w:numId w:val="8"/>
      </w:numPr>
    </w:pPr>
    <w:rPr/>
  </w:style>
  <w:style w:type="paragraph" w:styleId="TableText">
    <w:name w:val="Table Text"/>
    <w:basedOn w:val="Normal"/>
    <w:qFormat/>
    <w:pPr/>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Bullet1Body">
    <w:name w:val="Bullet 1 Body"/>
    <w:basedOn w:val="BodyTextBullet"/>
    <w:next w:val="BodyTextBullet"/>
    <w:qFormat/>
    <w:pPr/>
    <w:rPr/>
  </w:style>
  <w:style w:type="paragraph" w:styleId="TableLevel4Numbered">
    <w:name w:val="Table Level 4 Numbered"/>
    <w:basedOn w:val="Normal"/>
    <w:qFormat/>
    <w:pPr>
      <w:numPr>
        <w:ilvl w:val="0"/>
        <w:numId w:val="8"/>
      </w:numPr>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2"/>
      </w:numPr>
    </w:pPr>
    <w:rPr>
      <w:b/>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Bullet1Level1">
    <w:name w:val="Bullet 1 Level 1"/>
    <w:basedOn w:val="Normal"/>
    <w:qFormat/>
    <w:pPr>
      <w:numPr>
        <w:ilvl w:val="0"/>
        <w:numId w:val="23"/>
      </w:numPr>
    </w:pPr>
    <w:rPr/>
  </w:style>
  <w:style w:type="paragraph" w:styleId="Bullet1BodyText">
    <w:name w:val="Bullet 1 Body Text"/>
    <w:basedOn w:val="Normal"/>
    <w:qFormat/>
    <w:pPr>
      <w:numPr>
        <w:ilvl w:val="0"/>
        <w:numId w:val="9"/>
      </w:numPr>
      <w:spacing w:before="240" w:after="240"/>
    </w:pPr>
    <w:rPr/>
  </w:style>
  <w:style w:type="paragraph" w:styleId="TableNumbering1">
    <w:name w:val="Table Numbering 1"/>
    <w:basedOn w:val="TableText"/>
    <w:qFormat/>
    <w:pPr>
      <w:numPr>
        <w:ilvl w:val="0"/>
        <w:numId w:val="19"/>
      </w:numPr>
      <w:spacing w:before="40" w:after="40"/>
    </w:pPr>
    <w:rPr>
      <w:rFonts w:cs="Arial"/>
      <w:color w:val="000000"/>
      <w:szCs w:val="22"/>
    </w:rPr>
  </w:style>
  <w:style w:type="paragraph" w:styleId="TableNumbering2">
    <w:name w:val="Table Numbering 2"/>
    <w:basedOn w:val="TableNumbering1"/>
    <w:qFormat/>
    <w:pPr>
      <w:numPr>
        <w:ilvl w:val="0"/>
        <w:numId w:val="19"/>
      </w:numPr>
    </w:pPr>
    <w:rPr>
      <w:bCs/>
    </w:rPr>
  </w:style>
  <w:style w:type="paragraph" w:styleId="TableIndent">
    <w:name w:val="Table Indent"/>
    <w:basedOn w:val="TableText"/>
    <w:qFormat/>
    <w:pPr>
      <w:spacing w:before="120" w:after="0"/>
      <w:ind w:hanging="0" w:start="432" w:end="0"/>
    </w:pPr>
    <w:rPr>
      <w:sz w:val="20"/>
      <w:szCs w:val="22"/>
    </w:rPr>
  </w:style>
  <w:style w:type="paragraph" w:styleId="TableIndent2">
    <w:name w:val="Table Indent 2"/>
    <w:basedOn w:val="TableIndent"/>
    <w:qFormat/>
    <w:pPr>
      <w:ind w:hanging="0" w:start="864" w:end="0"/>
    </w:pPr>
    <w:rPr>
      <w:bCs/>
      <w:color w:val="000000"/>
    </w:rPr>
  </w:style>
  <w:style w:type="paragraph" w:styleId="TableBullet1">
    <w:name w:val="Table Bullet #1"/>
    <w:basedOn w:val="BodyText"/>
    <w:qFormat/>
    <w:pPr>
      <w:numPr>
        <w:ilvl w:val="0"/>
        <w:numId w:val="24"/>
      </w:numPr>
      <w:spacing w:before="40" w:after="40"/>
    </w:pPr>
    <w:rPr>
      <w:bCs/>
      <w:color w:val="000000"/>
      <w:szCs w:val="22"/>
    </w:rPr>
  </w:style>
  <w:style w:type="paragraph" w:styleId="TableBullet2">
    <w:name w:val="Table Bullet #2"/>
    <w:basedOn w:val="Normal"/>
    <w:qFormat/>
    <w:pPr>
      <w:numPr>
        <w:ilvl w:val="0"/>
        <w:numId w:val="14"/>
      </w:numPr>
      <w:spacing w:before="40" w:after="40"/>
    </w:pPr>
    <w:rPr>
      <w:szCs w:val="20"/>
    </w:rPr>
  </w:style>
  <w:style w:type="paragraph" w:styleId="TableBullet3">
    <w:name w:val="Table Bullet #3"/>
    <w:basedOn w:val="TableBullet2"/>
    <w:qFormat/>
    <w:pPr>
      <w:numPr>
        <w:ilvl w:val="0"/>
        <w:numId w:val="21"/>
      </w:numPr>
    </w:pPr>
    <w:rPr/>
  </w:style>
  <w:style w:type="paragraph" w:styleId="TableTextCentered">
    <w:name w:val="Table Text Centered"/>
    <w:basedOn w:val="TableText"/>
    <w:qFormat/>
    <w:pPr>
      <w:jc w:val="center"/>
    </w:pPr>
    <w:rPr/>
  </w:style>
  <w:style w:type="paragraph" w:styleId="TableTextRight">
    <w:name w:val="Table Text Right"/>
    <w:basedOn w:val="TableText"/>
    <w:qFormat/>
    <w:pPr>
      <w:jc w:val="end"/>
    </w:pPr>
    <w:rPr/>
  </w:style>
  <w:style w:type="paragraph" w:styleId="TableTextCloseSpace">
    <w:name w:val="Table Text Close Space"/>
    <w:basedOn w:val="TableText"/>
    <w:qFormat/>
    <w:pPr>
      <w:spacing w:before="120" w:after="0"/>
    </w:pPr>
    <w:rPr/>
  </w:style>
  <w:style w:type="paragraph" w:styleId="TableTextSingleSpace">
    <w:name w:val="Table Text Single Space"/>
    <w:basedOn w:val="TableTextCloseSpace"/>
    <w:qFormat/>
    <w:pPr>
      <w:spacing w:before="0" w:after="0"/>
    </w:pPr>
    <w:rPr/>
  </w:style>
  <w:style w:type="paragraph" w:styleId="TableTOCItem">
    <w:name w:val="Table TOC Item"/>
    <w:basedOn w:val="TableText"/>
    <w:qFormat/>
    <w:pPr/>
    <w:rPr>
      <w:b/>
    </w:rPr>
  </w:style>
  <w:style w:type="paragraph" w:styleId="TableLevel1Text">
    <w:name w:val="Table Level 1 Text"/>
    <w:basedOn w:val="BodyText"/>
    <w:qFormat/>
    <w:pPr>
      <w:numPr>
        <w:ilvl w:val="0"/>
        <w:numId w:val="0"/>
      </w:numPr>
      <w:tabs>
        <w:tab w:val="clear" w:pos="720"/>
        <w:tab w:val="left" w:pos="0" w:leader="none"/>
      </w:tabs>
      <w:spacing w:before="360" w:after="360"/>
      <w:ind w:hanging="720" w:start="720" w:end="0"/>
    </w:pPr>
    <w:rPr>
      <w:b/>
      <w:iCs/>
      <w:sz w:val="28"/>
      <w:szCs w:val="28"/>
    </w:rPr>
  </w:style>
  <w:style w:type="paragraph" w:styleId="CharCharCharCharCharCharCharChar">
    <w:name w:val=" Char Char Char Char Char Char Char Char"/>
    <w:basedOn w:val="Normal"/>
    <w:qFormat/>
    <w:pPr>
      <w:spacing w:lineRule="exact" w:line="240" w:before="0" w:after="160"/>
    </w:pPr>
    <w:rPr>
      <w:rFonts w:ascii="Verdana" w:hAnsi="Verdana" w:cs="Verdana"/>
      <w:szCs w:val="20"/>
    </w:rPr>
  </w:style>
  <w:style w:type="paragraph" w:styleId="Char3">
    <w:name w:val=" Char3"/>
    <w:basedOn w:val="Normal"/>
    <w:qFormat/>
    <w:pPr>
      <w:spacing w:lineRule="exact" w:line="240" w:before="0" w:after="160"/>
    </w:pPr>
    <w:rPr>
      <w:rFonts w:ascii="Verdana" w:hAnsi="Verdana" w:eastAsia="MS Mincho;ＭＳ 明朝" w:cs="Verdana"/>
      <w:sz w:val="20"/>
      <w:szCs w:val="20"/>
      <w:lang w:val="en-GB"/>
    </w:rPr>
  </w:style>
  <w:style w:type="paragraph" w:styleId="bodytextbullet1">
    <w:name w:val="bodytextbullet"/>
    <w:basedOn w:val="Normal"/>
    <w:qFormat/>
    <w:pPr>
      <w:ind w:hanging="0" w:start="1440" w:end="0"/>
    </w:pPr>
    <w:rPr>
      <w:rFonts w:eastAsia="MS Mincho;ＭＳ 明朝"/>
      <w:szCs w:val="22"/>
      <w:lang w:eastAsia="ja-JP"/>
    </w:rPr>
  </w:style>
  <w:style w:type="paragraph" w:styleId="tablebullet">
    <w:name w:val="table bullet"/>
    <w:basedOn w:val="Normal"/>
    <w:qFormat/>
    <w:pPr>
      <w:tabs>
        <w:tab w:val="clear" w:pos="720"/>
        <w:tab w:val="left" w:pos="216" w:leader="none"/>
      </w:tabs>
      <w:spacing w:before="0" w:after="0"/>
      <w:ind w:hanging="0" w:start="0" w:end="72"/>
    </w:pPr>
    <w:rPr>
      <w:rFonts w:ascii="Arial" w:hAnsi="Arial" w:cs="Arial"/>
      <w:sz w:val="20"/>
      <w:szCs w:val="20"/>
      <w:lang w:val="en-GB" w:eastAsia="en-US"/>
    </w:rPr>
  </w:style>
  <w:style w:type="paragraph" w:styleId="LetterClosing">
    <w:name w:val="LetterClosing"/>
    <w:basedOn w:val="Normal"/>
    <w:next w:val="Normal"/>
    <w:qFormat/>
    <w:pPr>
      <w:spacing w:before="0" w:after="0"/>
    </w:pPr>
    <w:rPr>
      <w:sz w:val="24"/>
      <w:szCs w:val="20"/>
      <w:lang w:val="en-GB"/>
    </w:rPr>
  </w:style>
  <w:style w:type="paragraph" w:styleId="Index4">
    <w:name w:val="Index 4"/>
    <w:basedOn w:val="Normal"/>
    <w:next w:val="Normal"/>
    <w:qFormat/>
    <w:pPr>
      <w:numPr>
        <w:ilvl w:val="0"/>
        <w:numId w:val="26"/>
      </w:numPr>
      <w:tabs>
        <w:tab w:val="clear" w:pos="720"/>
        <w:tab w:val="right" w:pos="8640" w:leader="none"/>
      </w:tabs>
      <w:spacing w:before="0" w:after="240"/>
    </w:pPr>
    <w:rPr>
      <w:szCs w:val="20"/>
      <w:lang w:val="en-GB"/>
    </w:rPr>
  </w:style>
  <w:style w:type="paragraph" w:styleId="Title">
    <w:name w:val="*Title"/>
    <w:basedOn w:val="Normal"/>
    <w:qFormat/>
    <w:pPr>
      <w:keepNext w:val="true"/>
      <w:spacing w:before="0" w:after="240"/>
      <w:jc w:val="center"/>
    </w:pPr>
    <w:rPr>
      <w:rFonts w:ascii="Times" w:hAnsi="Times" w:cs="Times"/>
      <w:b/>
      <w:sz w:val="20"/>
      <w:szCs w:val="20"/>
      <w:u w:val="single"/>
    </w:rPr>
  </w:style>
  <w:style w:type="paragraph" w:styleId="JMHDash-1">
    <w:name w:val="*JMH Dash-1"/>
    <w:basedOn w:val="Normal"/>
    <w:qFormat/>
    <w:pPr>
      <w:numPr>
        <w:ilvl w:val="0"/>
        <w:numId w:val="27"/>
      </w:numPr>
      <w:tabs>
        <w:tab w:val="clear" w:pos="720"/>
        <w:tab w:val="left" w:pos="360" w:leader="none"/>
      </w:tabs>
      <w:spacing w:before="0" w:after="240"/>
      <w:ind w:hanging="0" w:start="2088" w:end="0"/>
      <w:jc w:val="both"/>
    </w:pPr>
    <w:rPr>
      <w:rFonts w:ascii="Times" w:hAnsi="Times" w:cs="Times"/>
      <w:sz w:val="20"/>
      <w:szCs w:val="20"/>
    </w:rPr>
  </w:style>
  <w:style w:type="paragraph" w:styleId="BodyTextIndent10">
    <w:name w:val="*Body Text Indent 1.0"/>
    <w:basedOn w:val="Normal"/>
    <w:qFormat/>
    <w:pPr>
      <w:widowControl w:val="false"/>
      <w:spacing w:before="0" w:after="240"/>
      <w:ind w:firstLine="720" w:start="1440" w:end="0"/>
      <w:jc w:val="both"/>
    </w:pPr>
    <w:rPr>
      <w:rFonts w:ascii="Times" w:hAnsi="Times" w:cs="Times"/>
      <w:sz w:val="20"/>
      <w:szCs w:val="20"/>
    </w:rPr>
  </w:style>
  <w:style w:type="paragraph" w:styleId="Formatvorlage1">
    <w:name w:val="Formatvorlage1"/>
    <w:basedOn w:val="Heading1Numbered"/>
    <w:qFormat/>
    <w:pPr/>
    <w:rPr>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pptx"/><Relationship Id="rId3" Type="http://schemas.openxmlformats.org/officeDocument/2006/relationships/image" Target="media/image1.wmf"/><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 Id="rId2"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2007-01-30T12:59:00Z</dcterms:created>
  <dc:creator>TPI</dc:creator>
  <dc:description/>
  <dc:language>en-US</dc:language>
  <cp:lastModifiedBy>Wenger Plattner</cp:lastModifiedBy>
  <cp:lastPrinted>2006-08-02T09:17:00Z</cp:lastPrinted>
  <dcterms:modified xsi:type="dcterms:W3CDTF">2007-01-30T12:59:00Z</dcterms:modified>
  <cp:revision>2</cp:revision>
  <dc:subject/>
  <dc:title>RFP8 F&amp;A Exhibit 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I_RefPrefix">
    <vt:lpwstr>E.4</vt:lpwstr>
  </property>
</Properties>
</file>