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spacing w:before="240" w:after="240"/>
        <w:rPr>
          <w:rFonts w:ascii="Arial" w:hAnsi="Arial" w:cs="Arial"/>
        </w:rPr>
      </w:pPr>
      <w:r>
        <w:rPr>
          <w:rFonts w:cs="Arial" w:ascii="Arial" w:hAnsi="Arial"/>
        </w:rPr>
        <w:t>GlobalPharma</w:t>
      </w:r>
    </w:p>
    <w:p>
      <w:pPr>
        <w:pStyle w:val="Heading"/>
        <w:rPr>
          <w:rFonts w:ascii="Arial" w:hAnsi="Arial" w:cs="Arial"/>
        </w:rPr>
      </w:pPr>
      <w:r>
        <w:rPr>
          <w:rFonts w:cs="Arial" w:ascii="Arial" w:hAnsi="Arial"/>
        </w:rPr>
      </w:r>
    </w:p>
    <w:p>
      <w:pPr>
        <w:pStyle w:val="Heading"/>
        <w:rPr>
          <w:rFonts w:ascii="Arial" w:hAnsi="Arial" w:cs="Arial"/>
        </w:rPr>
      </w:pPr>
      <w:r>
        <w:rPr>
          <w:rFonts w:cs="Arial" w:ascii="Arial" w:hAnsi="Arial"/>
        </w:rPr>
        <w:t>Exhibit 5</w:t>
      </w:r>
    </w:p>
    <w:p>
      <w:pPr>
        <w:pStyle w:val="Heading"/>
        <w:rPr>
          <w:rFonts w:ascii="Arial" w:hAnsi="Arial" w:cs="Arial"/>
        </w:rPr>
      </w:pPr>
      <w:r>
        <w:rPr>
          <w:rFonts w:cs="Arial" w:ascii="Arial" w:hAnsi="Arial"/>
        </w:rPr>
        <w:t>Statement of work</w:t>
      </w:r>
    </w:p>
    <w:p>
      <w:pPr>
        <w:pStyle w:val="Heading"/>
        <w:rPr>
          <w:rFonts w:ascii="Arial" w:hAnsi="Arial" w:cs="Arial"/>
        </w:rPr>
      </w:pPr>
      <w:r>
        <w:rPr>
          <w:rFonts w:cs="Arial" w:ascii="Arial" w:hAnsi="Arial"/>
        </w:rPr>
        <w:t>HUMAN RESOURCE PROVISIONS</w:t>
      </w:r>
    </w:p>
    <w:p>
      <w:pPr>
        <w:pStyle w:val="Heading"/>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Heading"/>
        <w:rPr>
          <w:rFonts w:ascii="Arial" w:hAnsi="Arial" w:cs="Arial"/>
        </w:rPr>
      </w:pPr>
      <w:r>
        <w:rPr>
          <w:rFonts w:cs="Arial" w:ascii="Arial" w:hAnsi="Arial"/>
        </w:rPr>
      </w:r>
    </w:p>
    <w:p>
      <w:pPr>
        <w:pStyle w:val="Heading"/>
        <w:rPr>
          <w:rFonts w:ascii="Arial" w:hAnsi="Arial" w:cs="Arial"/>
        </w:rPr>
      </w:pPr>
      <w:r>
        <w:rPr>
          <w:rFonts w:cs="Arial" w:ascii="Arial" w:hAnsi="Arial"/>
        </w:rPr>
      </w:r>
    </w:p>
    <w:p>
      <w:pPr>
        <w:pStyle w:val="Heading"/>
        <w:rPr>
          <w:rFonts w:ascii="Arial" w:hAnsi="Arial" w:cs="Arial"/>
        </w:rPr>
      </w:pPr>
      <w:r>
        <w:rPr>
          <w:rFonts w:cs="Arial" w:ascii="Arial" w:hAnsi="Arial"/>
        </w:rPr>
      </w:r>
    </w:p>
    <w:p>
      <w:pPr>
        <w:pStyle w:val="Heading"/>
        <w:rPr>
          <w:rFonts w:ascii="Arial" w:hAnsi="Arial" w:cs="Arial"/>
        </w:rPr>
      </w:pPr>
      <w:r>
        <w:rPr>
          <w:rFonts w:cs="Arial" w:ascii="Arial" w:hAnsi="Arial"/>
        </w:rPr>
      </w:r>
    </w:p>
    <w:p>
      <w:pPr>
        <w:pStyle w:val="Heading"/>
        <w:rPr>
          <w:rFonts w:ascii="Arial" w:hAnsi="Arial" w:cs="Arial"/>
        </w:rPr>
      </w:pPr>
      <w:r>
        <w:rPr>
          <w:rFonts w:cs="Arial" w:ascii="Arial" w:hAnsi="Arial"/>
        </w:rPr>
      </w:r>
    </w:p>
    <w:p>
      <w:pPr>
        <w:pStyle w:val="Heading"/>
        <w:rPr>
          <w:rFonts w:ascii="Arial" w:hAnsi="Arial" w:cs="Arial"/>
        </w:rPr>
      </w:pPr>
      <w:r>
        <w:rPr>
          <w:rFonts w:cs="Arial" w:ascii="Arial" w:hAnsi="Arial"/>
        </w:rPr>
      </w:r>
    </w:p>
    <w:tbl>
      <w:tblPr>
        <w:tblW w:w="10260" w:type="dxa"/>
        <w:jc w:val="start"/>
        <w:tblInd w:w="288" w:type="dxa"/>
        <w:tblLayout w:type="fixed"/>
        <w:tblCellMar>
          <w:top w:w="0" w:type="dxa"/>
          <w:start w:w="108" w:type="dxa"/>
          <w:bottom w:w="0" w:type="dxa"/>
          <w:end w:w="108" w:type="dxa"/>
        </w:tblCellMar>
      </w:tblPr>
      <w:tblGrid>
        <w:gridCol w:w="10260"/>
      </w:tblGrid>
      <w:tr>
        <w:trPr/>
        <w:tc>
          <w:tcPr>
            <w:tcW w:w="10260"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spacing w:before="120" w:after="120"/>
              <w:ind w:start="72" w:end="0"/>
              <w:jc w:val="both"/>
              <w:rPr/>
            </w:pPr>
            <w:r>
              <w:rPr/>
            </w:r>
          </w:p>
          <w:p>
            <w:pPr>
              <w:pStyle w:val="Normal"/>
              <w:ind w:start="72" w:end="0"/>
              <w:jc w:val="both"/>
              <w:rPr/>
            </w:pPr>
            <w:r>
              <w:rPr>
                <w:rFonts w:cs="Arial" w:ascii="Arial" w:hAnsi="Arial"/>
                <w:sz w:val="24"/>
              </w:rPr>
              <w:t>This document contains confidential and proprietary information of GlobalPharma AG. It is furnished for the performance of The Agreements only. Except with the express prior written permission of GlobalPharma AG, this document and the information contained herein may not be published, disclosed, or used for any other purpose.</w:t>
            </w:r>
          </w:p>
          <w:p>
            <w:pPr>
              <w:pStyle w:val="Normal"/>
              <w:spacing w:before="120" w:after="120"/>
              <w:jc w:val="both"/>
              <w:rPr>
                <w:rFonts w:ascii="Arial" w:hAnsi="Arial" w:cs="Arial"/>
                <w:sz w:val="24"/>
              </w:rPr>
            </w:pPr>
            <w:r>
              <w:rPr>
                <w:rFonts w:cs="Arial" w:ascii="Arial" w:hAnsi="Arial"/>
                <w:sz w:val="24"/>
              </w:rPr>
            </w:r>
          </w:p>
        </w:tc>
      </w:tr>
    </w:tbl>
    <w:p>
      <w:pPr>
        <w:pStyle w:val="Normal"/>
        <w:jc w:val="both"/>
        <w:rPr>
          <w:lang w:val="en-GB"/>
        </w:rPr>
      </w:pPr>
      <w:r>
        <w:rPr>
          <w:lang w:val="en-GB"/>
        </w:rPr>
      </w:r>
    </w:p>
    <w:p>
      <w:pPr>
        <w:pStyle w:val="Heading"/>
        <w:rPr>
          <w:lang w:val="en-GB"/>
        </w:rPr>
      </w:pPr>
      <w:r>
        <w:rPr>
          <w:lang w:val="en-GB"/>
        </w:rPr>
      </w:r>
    </w:p>
    <w:p>
      <w:pPr>
        <w:pStyle w:val="Heading"/>
        <w:rPr>
          <w:sz w:val="22"/>
          <w:szCs w:val="20"/>
        </w:rPr>
      </w:pPr>
      <w:r>
        <w:rPr>
          <w:sz w:val="22"/>
          <w:szCs w:val="20"/>
        </w:rPr>
        <w:t>Table of Contents</w:t>
      </w:r>
    </w:p>
    <w:sdt>
      <w:sdtPr>
        <w:docPartObj>
          <w:docPartGallery w:val="Table of Contents"/>
          <w:docPartUnique w:val="true"/>
        </w:docPartObj>
      </w:sdtPr>
      <w:sdtContent>
        <w:p>
          <w:pPr>
            <w:pStyle w:val="TOC1"/>
            <w:tabs>
              <w:tab w:val="clear" w:pos="720"/>
              <w:tab w:val="left" w:pos="440" w:leader="none"/>
              <w:tab w:val="right" w:pos="10506" w:leader="dot"/>
            </w:tabs>
            <w:rPr>
              <w:b w:val="false"/>
              <w:bCs w:val="false"/>
              <w:caps w:val="false"/>
              <w:smallCaps w:val="false"/>
              <w:sz w:val="24"/>
              <w:szCs w:val="24"/>
              <w:lang w:val="de-CH" w:eastAsia="en-US"/>
            </w:rPr>
          </w:pPr>
          <w:r>
            <w:fldChar w:fldCharType="begin"/>
          </w:r>
          <w:r>
            <w:rPr>
              <w:rStyle w:val="IndexLink"/>
              <w:smallCaps/>
              <w:lang w:val="en-US" w:eastAsia="en-US"/>
            </w:rPr>
            <w:instrText xml:space="preserve"> TOC \o "2-2" \h \z \t "Überschrift 1;1" </w:instrText>
          </w:r>
          <w:r>
            <w:rPr>
              <w:rStyle w:val="IndexLink"/>
              <w:smallCaps/>
              <w:lang w:val="en-US" w:eastAsia="en-US"/>
            </w:rPr>
            <w:fldChar w:fldCharType="separate"/>
          </w:r>
          <w:hyperlink w:anchor="__RefHeading___Toc157776117">
            <w:r>
              <w:rPr>
                <w:rStyle w:val="IndexLink"/>
                <w:smallCaps/>
                <w:lang w:val="en-US" w:eastAsia="en-US"/>
              </w:rPr>
              <w:t>1.</w:t>
            </w:r>
            <w:r>
              <w:rPr>
                <w:rStyle w:val="IndexLink"/>
                <w:b w:val="false"/>
                <w:bCs w:val="false"/>
                <w:caps w:val="false"/>
                <w:smallCaps w:val="false"/>
                <w:sz w:val="24"/>
                <w:szCs w:val="24"/>
                <w:lang w:val="de-CH" w:eastAsia="en-US"/>
              </w:rPr>
              <w:tab/>
            </w:r>
            <w:r>
              <w:rPr>
                <w:rStyle w:val="IndexLink"/>
                <w:smallCaps/>
                <w:lang w:val="en-US" w:eastAsia="en-US"/>
              </w:rPr>
              <w:t>Introduction</w:t>
              <w:tab/>
              <w:t>3</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6118">
            <w:r>
              <w:rPr>
                <w:rStyle w:val="IndexLink"/>
                <w:lang w:val="en-US" w:eastAsia="en-US"/>
              </w:rPr>
              <w:t>1.1.</w:t>
            </w:r>
            <w:r>
              <w:rPr>
                <w:rStyle w:val="IndexLink"/>
                <w:caps w:val="false"/>
                <w:smallCaps w:val="false"/>
                <w:sz w:val="24"/>
                <w:szCs w:val="24"/>
                <w:lang w:val="de-CH" w:eastAsia="en-US"/>
              </w:rPr>
              <w:tab/>
            </w:r>
            <w:r>
              <w:rPr>
                <w:rStyle w:val="IndexLink"/>
                <w:lang w:val="en-US" w:eastAsia="en-US"/>
              </w:rPr>
              <w:t>General</w:t>
              <w:tab/>
              <w:t>3</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6120">
            <w:r>
              <w:rPr>
                <w:rStyle w:val="IndexLink"/>
                <w:lang w:val="en-GB" w:eastAsia="en-US"/>
              </w:rPr>
              <w:t>1.2.</w:t>
            </w:r>
            <w:r>
              <w:rPr>
                <w:rStyle w:val="IndexLink"/>
                <w:caps w:val="false"/>
                <w:smallCaps w:val="false"/>
                <w:sz w:val="24"/>
                <w:szCs w:val="24"/>
                <w:lang w:val="de-CH" w:eastAsia="en-US"/>
              </w:rPr>
              <w:tab/>
            </w:r>
            <w:r>
              <w:rPr>
                <w:rStyle w:val="IndexLink"/>
                <w:lang w:val="en-GB" w:eastAsia="en-US"/>
              </w:rPr>
              <w:t>Transfer of personnel</w:t>
            </w:r>
            <w:r>
              <w:rPr>
                <w:rStyle w:val="IndexLink"/>
                <w:lang w:val="en-US" w:eastAsia="en-US"/>
              </w:rPr>
              <w:tab/>
              <w:t>3</w:t>
            </w:r>
          </w:hyperlink>
        </w:p>
        <w:p>
          <w:pPr>
            <w:pStyle w:val="TOC1"/>
            <w:tabs>
              <w:tab w:val="clear" w:pos="720"/>
              <w:tab w:val="left" w:pos="440" w:leader="none"/>
              <w:tab w:val="right" w:pos="10506" w:leader="dot"/>
            </w:tabs>
            <w:rPr>
              <w:b w:val="false"/>
              <w:bCs w:val="false"/>
              <w:caps w:val="false"/>
              <w:smallCaps w:val="false"/>
              <w:sz w:val="24"/>
              <w:szCs w:val="24"/>
              <w:lang w:val="de-CH" w:eastAsia="en-US"/>
            </w:rPr>
          </w:pPr>
          <w:hyperlink w:anchor="__RefHeading___Toc157776127">
            <w:r>
              <w:rPr>
                <w:rStyle w:val="IndexLink"/>
                <w:lang w:val="en-US" w:eastAsia="en-US"/>
              </w:rPr>
              <w:t>2.</w:t>
            </w:r>
            <w:r>
              <w:rPr>
                <w:rStyle w:val="IndexLink"/>
                <w:b w:val="false"/>
                <w:bCs w:val="false"/>
                <w:caps w:val="false"/>
                <w:smallCaps w:val="false"/>
                <w:sz w:val="24"/>
                <w:szCs w:val="24"/>
                <w:lang w:val="de-CH" w:eastAsia="en-US"/>
              </w:rPr>
              <w:tab/>
            </w:r>
            <w:r>
              <w:rPr>
                <w:rStyle w:val="IndexLink"/>
                <w:lang w:val="en-US" w:eastAsia="en-US"/>
              </w:rPr>
              <w:t>Personnel Requirements</w:t>
              <w:tab/>
              <w:t>4</w:t>
            </w:r>
          </w:hyperlink>
        </w:p>
        <w:p>
          <w:pPr>
            <w:pStyle w:val="TOC2"/>
            <w:tabs>
              <w:tab w:val="clear" w:pos="720"/>
              <w:tab w:val="left" w:pos="880" w:leader="none"/>
              <w:tab w:val="right" w:pos="10506" w:leader="dot"/>
            </w:tabs>
            <w:ind w:hanging="680" w:start="900" w:end="0"/>
            <w:rPr>
              <w:caps w:val="false"/>
              <w:smallCaps w:val="false"/>
              <w:sz w:val="24"/>
              <w:szCs w:val="24"/>
              <w:lang w:val="de-CH" w:eastAsia="en-US"/>
            </w:rPr>
          </w:pPr>
          <w:hyperlink w:anchor="__RefHeading___Toc157776128">
            <w:r>
              <w:rPr>
                <w:rStyle w:val="IndexLink"/>
                <w:lang w:val="en-US" w:eastAsia="en-US"/>
              </w:rPr>
              <w:t>2.1.</w:t>
            </w:r>
            <w:r>
              <w:rPr>
                <w:rStyle w:val="IndexLink"/>
                <w:caps w:val="false"/>
                <w:smallCaps w:val="false"/>
                <w:sz w:val="24"/>
                <w:szCs w:val="24"/>
                <w:lang w:val="de-CH" w:eastAsia="en-US"/>
              </w:rPr>
              <w:tab/>
            </w:r>
            <w:r>
              <w:rPr>
                <w:rStyle w:val="IndexLink"/>
                <w:lang w:val="en-US" w:eastAsia="en-US"/>
              </w:rPr>
              <w:t>The Service Provider’s responsibilities include, but are not limited to:</w:t>
              <w:tab/>
              <w:t>4</w:t>
            </w:r>
          </w:hyperlink>
        </w:p>
        <w:p>
          <w:pPr>
            <w:pStyle w:val="TOC2"/>
            <w:tabs>
              <w:tab w:val="clear" w:pos="720"/>
              <w:tab w:val="left" w:pos="880" w:leader="none"/>
              <w:tab w:val="right" w:pos="10506" w:leader="dot"/>
            </w:tabs>
            <w:ind w:hanging="680" w:start="900" w:end="0"/>
            <w:rPr>
              <w:caps w:val="false"/>
              <w:smallCaps w:val="false"/>
              <w:sz w:val="24"/>
              <w:szCs w:val="24"/>
              <w:lang w:val="de-CH" w:eastAsia="en-US"/>
            </w:rPr>
          </w:pPr>
          <w:hyperlink w:anchor="__RefHeading___Toc157776129">
            <w:r>
              <w:rPr>
                <w:rStyle w:val="IndexLink"/>
                <w:lang w:val="en-GB" w:eastAsia="en-US"/>
              </w:rPr>
              <w:t>2.2.</w:t>
            </w:r>
            <w:r>
              <w:rPr>
                <w:rStyle w:val="IndexLink"/>
                <w:caps w:val="false"/>
                <w:smallCaps w:val="false"/>
                <w:sz w:val="24"/>
                <w:szCs w:val="24"/>
                <w:lang w:val="de-CH" w:eastAsia="en-US"/>
              </w:rPr>
              <w:tab/>
            </w:r>
            <w:r>
              <w:rPr>
                <w:rStyle w:val="IndexLink"/>
                <w:lang w:val="en-GB" w:eastAsia="en-US"/>
              </w:rPr>
              <w:t>Novartis Pharma will identify Novartis Pharma Affected Personnel, which includes:</w:t>
            </w:r>
            <w:r>
              <w:rPr>
                <w:rStyle w:val="IndexLink"/>
                <w:lang w:val="en-US" w:eastAsia="en-US"/>
              </w:rPr>
              <w:tab/>
              <w:t>4</w:t>
            </w:r>
          </w:hyperlink>
        </w:p>
        <w:p>
          <w:pPr>
            <w:pStyle w:val="TOC2"/>
            <w:tabs>
              <w:tab w:val="clear" w:pos="720"/>
              <w:tab w:val="left" w:pos="880" w:leader="none"/>
              <w:tab w:val="right" w:pos="10506" w:leader="dot"/>
            </w:tabs>
            <w:ind w:hanging="680" w:start="900" w:end="0"/>
            <w:rPr>
              <w:caps w:val="false"/>
              <w:smallCaps w:val="false"/>
              <w:sz w:val="24"/>
              <w:szCs w:val="24"/>
              <w:lang w:val="de-CH" w:eastAsia="en-US"/>
            </w:rPr>
          </w:pPr>
          <w:hyperlink w:anchor="__RefHeading___Toc157776130">
            <w:r>
              <w:rPr>
                <w:rStyle w:val="IndexLink"/>
                <w:lang w:val="en-GB" w:eastAsia="en-US"/>
              </w:rPr>
              <w:t>2.3.</w:t>
            </w:r>
            <w:r>
              <w:rPr>
                <w:rStyle w:val="IndexLink"/>
                <w:caps w:val="false"/>
                <w:smallCaps w:val="false"/>
                <w:sz w:val="24"/>
                <w:szCs w:val="24"/>
                <w:lang w:val="de-CH" w:eastAsia="en-US"/>
              </w:rPr>
              <w:tab/>
            </w:r>
            <w:r>
              <w:rPr>
                <w:rStyle w:val="IndexLink"/>
                <w:lang w:val="en-GB" w:eastAsia="en-US"/>
              </w:rPr>
              <w:t>Prior to the Effective Date, Novartis Pharma will identify a number of their Key Personnel, whose involvement is critical during the transition period.</w:t>
            </w:r>
            <w:r>
              <w:rPr>
                <w:rStyle w:val="IndexLink"/>
                <w:lang w:val="en-US" w:eastAsia="en-US"/>
              </w:rPr>
              <w:tab/>
              <w:t>4</w:t>
            </w:r>
          </w:hyperlink>
        </w:p>
        <w:p>
          <w:pPr>
            <w:pStyle w:val="TOC2"/>
            <w:tabs>
              <w:tab w:val="clear" w:pos="720"/>
              <w:tab w:val="left" w:pos="880" w:leader="none"/>
              <w:tab w:val="right" w:pos="10506" w:leader="dot"/>
            </w:tabs>
            <w:ind w:hanging="680" w:start="900" w:end="0"/>
            <w:rPr>
              <w:caps w:val="false"/>
              <w:smallCaps w:val="false"/>
              <w:sz w:val="24"/>
              <w:szCs w:val="24"/>
              <w:lang w:val="de-CH" w:eastAsia="en-US"/>
            </w:rPr>
          </w:pPr>
          <w:hyperlink w:anchor="__RefHeading___Toc157776131">
            <w:r>
              <w:rPr>
                <w:rStyle w:val="IndexLink"/>
                <w:lang w:val="en-GB" w:eastAsia="en-US"/>
              </w:rPr>
              <w:t>2.4.</w:t>
            </w:r>
            <w:r>
              <w:rPr>
                <w:rStyle w:val="IndexLink"/>
                <w:caps w:val="false"/>
                <w:smallCaps w:val="false"/>
                <w:sz w:val="24"/>
                <w:szCs w:val="24"/>
                <w:lang w:val="de-CH" w:eastAsia="en-US"/>
              </w:rPr>
              <w:tab/>
            </w:r>
            <w:r>
              <w:rPr>
                <w:rStyle w:val="IndexLink"/>
                <w:lang w:val="en-GB" w:eastAsia="en-US"/>
              </w:rPr>
              <w:t>Hiring and Staffing Projections</w:t>
            </w:r>
            <w:r>
              <w:rPr>
                <w:rStyle w:val="IndexLink"/>
                <w:lang w:val="en-US" w:eastAsia="en-US"/>
              </w:rPr>
              <w:tab/>
              <w:t>4</w:t>
            </w:r>
          </w:hyperlink>
        </w:p>
        <w:p>
          <w:pPr>
            <w:pStyle w:val="TOC2"/>
            <w:tabs>
              <w:tab w:val="clear" w:pos="720"/>
              <w:tab w:val="left" w:pos="880" w:leader="none"/>
              <w:tab w:val="right" w:pos="10506" w:leader="dot"/>
            </w:tabs>
            <w:ind w:hanging="680" w:start="900" w:end="0"/>
            <w:rPr>
              <w:caps w:val="false"/>
              <w:smallCaps w:val="false"/>
              <w:sz w:val="24"/>
              <w:szCs w:val="24"/>
              <w:lang w:val="de-CH" w:eastAsia="en-US"/>
            </w:rPr>
          </w:pPr>
          <w:hyperlink w:anchor="__RefHeading___Toc157776132">
            <w:r>
              <w:rPr>
                <w:rStyle w:val="IndexLink"/>
                <w:lang w:val="en-GB" w:eastAsia="en-US"/>
              </w:rPr>
              <w:t>2.5.</w:t>
            </w:r>
            <w:r>
              <w:rPr>
                <w:rStyle w:val="IndexLink"/>
                <w:caps w:val="false"/>
                <w:smallCaps w:val="false"/>
                <w:sz w:val="24"/>
                <w:szCs w:val="24"/>
                <w:lang w:val="de-CH" w:eastAsia="en-US"/>
              </w:rPr>
              <w:tab/>
            </w:r>
            <w:r>
              <w:rPr>
                <w:rStyle w:val="IndexLink"/>
                <w:lang w:val="en-GB" w:eastAsia="en-US"/>
              </w:rPr>
              <w:t>Qualifications and Training of Service Provider Personnel</w:t>
            </w:r>
            <w:r>
              <w:rPr>
                <w:rStyle w:val="IndexLink"/>
                <w:lang w:val="en-US" w:eastAsia="en-US"/>
              </w:rPr>
              <w:tab/>
              <w:t>5</w:t>
            </w:r>
          </w:hyperlink>
        </w:p>
        <w:p>
          <w:pPr>
            <w:pStyle w:val="TOC2"/>
            <w:tabs>
              <w:tab w:val="clear" w:pos="720"/>
              <w:tab w:val="left" w:pos="880" w:leader="none"/>
              <w:tab w:val="right" w:pos="10506" w:leader="dot"/>
            </w:tabs>
            <w:ind w:hanging="680" w:start="900" w:end="0"/>
            <w:rPr>
              <w:caps w:val="false"/>
              <w:smallCaps w:val="false"/>
              <w:sz w:val="24"/>
              <w:szCs w:val="24"/>
              <w:lang w:val="de-CH" w:eastAsia="en-US"/>
            </w:rPr>
          </w:pPr>
          <w:hyperlink w:anchor="__RefHeading___Toc157776133">
            <w:r>
              <w:rPr>
                <w:rStyle w:val="IndexLink"/>
                <w:lang w:val="en-GB" w:eastAsia="en-US"/>
              </w:rPr>
              <w:t>2.6.</w:t>
            </w:r>
            <w:r>
              <w:rPr>
                <w:rStyle w:val="IndexLink"/>
                <w:caps w:val="false"/>
                <w:smallCaps w:val="false"/>
                <w:sz w:val="24"/>
                <w:szCs w:val="24"/>
                <w:lang w:val="de-CH" w:eastAsia="en-US"/>
              </w:rPr>
              <w:tab/>
            </w:r>
            <w:r>
              <w:rPr>
                <w:rStyle w:val="IndexLink"/>
                <w:lang w:val="en-GB" w:eastAsia="en-US"/>
              </w:rPr>
              <w:t>Other Personnel Requirements</w:t>
            </w:r>
            <w:r>
              <w:rPr>
                <w:rStyle w:val="IndexLink"/>
                <w:lang w:val="en-US" w:eastAsia="en-US"/>
              </w:rPr>
              <w:tab/>
              <w:t>5</w:t>
            </w:r>
          </w:hyperlink>
        </w:p>
        <w:p>
          <w:pPr>
            <w:pStyle w:val="TOC2"/>
            <w:tabs>
              <w:tab w:val="clear" w:pos="720"/>
              <w:tab w:val="left" w:pos="880" w:leader="none"/>
              <w:tab w:val="right" w:pos="10506" w:leader="dot"/>
            </w:tabs>
            <w:ind w:hanging="680" w:start="900" w:end="0"/>
            <w:rPr>
              <w:caps w:val="false"/>
              <w:smallCaps w:val="false"/>
              <w:sz w:val="24"/>
              <w:szCs w:val="24"/>
              <w:lang w:val="de-CH" w:eastAsia="en-US"/>
            </w:rPr>
          </w:pPr>
          <w:hyperlink w:anchor="__RefHeading___Toc157776134">
            <w:r>
              <w:rPr>
                <w:rStyle w:val="IndexLink"/>
                <w:lang w:val="en-GB" w:eastAsia="en-US"/>
              </w:rPr>
              <w:t>2.7.</w:t>
            </w:r>
            <w:r>
              <w:rPr>
                <w:rStyle w:val="IndexLink"/>
                <w:caps w:val="false"/>
                <w:smallCaps w:val="false"/>
                <w:sz w:val="24"/>
                <w:szCs w:val="24"/>
                <w:lang w:val="de-CH" w:eastAsia="en-US"/>
              </w:rPr>
              <w:tab/>
            </w:r>
            <w:r>
              <w:rPr>
                <w:rStyle w:val="IndexLink"/>
                <w:lang w:val="en-GB" w:eastAsia="en-US"/>
              </w:rPr>
              <w:t>If Novartis Pharma believes that the Service Provider's turnover rate of Service Provider personnel performing the Services is excessive, the Service Provider will provide data to Novartis Pharma concerning the turnover rate; discuss the reasons for the turnover rate; submit its proposals for reducing the turnover rate; and agree on a program to reduce the rate at no cost to Novartis Pharma.</w:t>
            </w:r>
            <w:r>
              <w:rPr>
                <w:rStyle w:val="IndexLink"/>
                <w:lang w:val="en-US" w:eastAsia="en-US"/>
              </w:rPr>
              <w:tab/>
              <w:t>5</w:t>
            </w:r>
          </w:hyperlink>
        </w:p>
        <w:p>
          <w:pPr>
            <w:pStyle w:val="TOC2"/>
            <w:tabs>
              <w:tab w:val="clear" w:pos="720"/>
              <w:tab w:val="left" w:pos="880" w:leader="none"/>
              <w:tab w:val="right" w:pos="10506" w:leader="dot"/>
            </w:tabs>
            <w:ind w:hanging="680" w:start="900" w:end="0"/>
            <w:rPr>
              <w:caps w:val="false"/>
              <w:smallCaps w:val="false"/>
              <w:sz w:val="24"/>
              <w:szCs w:val="24"/>
              <w:lang w:val="de-CH" w:eastAsia="en-US"/>
            </w:rPr>
          </w:pPr>
          <w:hyperlink w:anchor="__RefHeading___Toc157776135">
            <w:r>
              <w:rPr>
                <w:rStyle w:val="IndexLink"/>
                <w:lang w:val="en-GB" w:eastAsia="en-US"/>
              </w:rPr>
              <w:t>2.8.</w:t>
            </w:r>
            <w:r>
              <w:rPr>
                <w:rStyle w:val="IndexLink"/>
                <w:caps w:val="false"/>
                <w:smallCaps w:val="false"/>
                <w:sz w:val="24"/>
                <w:szCs w:val="24"/>
                <w:lang w:val="de-CH" w:eastAsia="en-US"/>
              </w:rPr>
              <w:tab/>
            </w:r>
            <w:r>
              <w:rPr>
                <w:rStyle w:val="IndexLink"/>
                <w:lang w:val="en-GB" w:eastAsia="en-US"/>
              </w:rPr>
              <w:t>Service Provider personnel shall not be deemed to be employees of Novartis Pharma or members of the Novartis Pharma group.</w:t>
            </w:r>
            <w:r>
              <w:rPr>
                <w:rStyle w:val="IndexLink"/>
                <w:lang w:val="en-US" w:eastAsia="en-US"/>
              </w:rPr>
              <w:tab/>
              <w:t>5</w:t>
            </w:r>
          </w:hyperlink>
        </w:p>
        <w:p>
          <w:pPr>
            <w:pStyle w:val="TOC2"/>
            <w:tabs>
              <w:tab w:val="clear" w:pos="720"/>
              <w:tab w:val="left" w:pos="880" w:leader="none"/>
              <w:tab w:val="right" w:pos="10506" w:leader="dot"/>
            </w:tabs>
            <w:ind w:hanging="680" w:start="900" w:end="0"/>
            <w:rPr>
              <w:caps w:val="false"/>
              <w:smallCaps w:val="false"/>
              <w:sz w:val="24"/>
              <w:szCs w:val="24"/>
              <w:lang w:val="de-CH" w:eastAsia="en-US"/>
            </w:rPr>
          </w:pPr>
          <w:hyperlink w:anchor="__RefHeading___Toc157776136">
            <w:r>
              <w:rPr>
                <w:rStyle w:val="IndexLink"/>
                <w:lang w:val="en-GB" w:eastAsia="en-US"/>
              </w:rPr>
              <w:t>2.9.</w:t>
            </w:r>
            <w:r>
              <w:rPr>
                <w:rStyle w:val="IndexLink"/>
                <w:caps w:val="false"/>
                <w:smallCaps w:val="false"/>
                <w:sz w:val="24"/>
                <w:szCs w:val="24"/>
                <w:lang w:val="de-CH" w:eastAsia="en-US"/>
              </w:rPr>
              <w:tab/>
            </w:r>
            <w:r>
              <w:rPr>
                <w:rStyle w:val="IndexLink"/>
                <w:lang w:val="en-GB" w:eastAsia="en-US"/>
              </w:rPr>
              <w:t>The Service Provider, not Novartis Pharma, shall have the right, power, authority and duty to supervise and direct the activities of Service Provider personnel and to compensate them for work performed on Novartis Pharma’s behalf pursuant to the Agreement.</w:t>
            </w:r>
            <w:r>
              <w:rPr>
                <w:rStyle w:val="IndexLink"/>
                <w:lang w:val="en-US" w:eastAsia="en-US"/>
              </w:rPr>
              <w:tab/>
              <w:t>5</w:t>
            </w:r>
          </w:hyperlink>
        </w:p>
        <w:p>
          <w:pPr>
            <w:pStyle w:val="TOC1"/>
            <w:tabs>
              <w:tab w:val="clear" w:pos="720"/>
              <w:tab w:val="left" w:pos="440" w:leader="none"/>
              <w:tab w:val="right" w:pos="10506" w:leader="dot"/>
            </w:tabs>
            <w:rPr>
              <w:b w:val="false"/>
              <w:bCs w:val="false"/>
              <w:caps w:val="false"/>
              <w:smallCaps w:val="false"/>
              <w:sz w:val="24"/>
              <w:szCs w:val="24"/>
              <w:lang w:val="de-CH" w:eastAsia="en-US"/>
            </w:rPr>
          </w:pPr>
          <w:hyperlink w:anchor="__RefHeading___Toc157776137">
            <w:r>
              <w:rPr>
                <w:rStyle w:val="IndexLink"/>
                <w:lang w:val="en-GB" w:eastAsia="en-US"/>
              </w:rPr>
              <w:t>3.</w:t>
            </w:r>
            <w:r>
              <w:rPr>
                <w:rStyle w:val="IndexLink"/>
                <w:b w:val="false"/>
                <w:bCs w:val="false"/>
                <w:caps w:val="false"/>
                <w:smallCaps w:val="false"/>
                <w:sz w:val="24"/>
                <w:szCs w:val="24"/>
                <w:lang w:val="de-CH" w:eastAsia="en-US"/>
              </w:rPr>
              <w:tab/>
            </w:r>
            <w:r>
              <w:rPr>
                <w:rStyle w:val="IndexLink"/>
                <w:lang w:val="en-GB" w:eastAsia="en-US"/>
              </w:rPr>
              <w:t>Service Provider Approach</w:t>
            </w:r>
            <w:r>
              <w:rPr>
                <w:rStyle w:val="IndexLink"/>
                <w:lang w:val="en-US" w:eastAsia="en-US"/>
              </w:rPr>
              <w:tab/>
              <w:t>5</w:t>
            </w:r>
          </w:hyperlink>
        </w:p>
        <w:p>
          <w:pPr>
            <w:pStyle w:val="TOC2"/>
            <w:tabs>
              <w:tab w:val="clear" w:pos="720"/>
              <w:tab w:val="left" w:pos="880" w:leader="none"/>
              <w:tab w:val="right" w:pos="10506" w:leader="dot"/>
            </w:tabs>
            <w:rPr>
              <w:caps w:val="false"/>
              <w:smallCaps w:val="false"/>
              <w:sz w:val="24"/>
              <w:szCs w:val="24"/>
              <w:lang w:val="de-CH" w:eastAsia="en-US"/>
            </w:rPr>
          </w:pPr>
          <w:hyperlink w:anchor="__RefHeading___Toc157776138">
            <w:r>
              <w:rPr>
                <w:rStyle w:val="IndexLink"/>
                <w:lang w:val="en-US" w:eastAsia="en-US"/>
              </w:rPr>
              <w:t>3.1.</w:t>
            </w:r>
            <w:r>
              <w:rPr>
                <w:rStyle w:val="IndexLink"/>
                <w:caps w:val="false"/>
                <w:smallCaps w:val="false"/>
                <w:sz w:val="24"/>
                <w:szCs w:val="24"/>
                <w:lang w:val="de-CH" w:eastAsia="en-US"/>
              </w:rPr>
              <w:tab/>
            </w:r>
            <w:r>
              <w:rPr>
                <w:rStyle w:val="IndexLink"/>
                <w:lang w:val="en-US" w:eastAsia="en-US"/>
              </w:rPr>
              <w:t>The Service Provider’s responsibilities include, but are not limited to:</w:t>
              <w:tab/>
              <w:t>5</w:t>
            </w:r>
          </w:hyperlink>
        </w:p>
        <w:p>
          <w:pPr>
            <w:pStyle w:val="TOC2"/>
            <w:tabs>
              <w:tab w:val="clear" w:pos="720"/>
              <w:tab w:val="left" w:pos="880" w:leader="none"/>
              <w:tab w:val="right" w:pos="10506" w:leader="dot"/>
            </w:tabs>
            <w:rPr>
              <w:sz w:val="24"/>
              <w:szCs w:val="24"/>
              <w:lang w:val="de-CH" w:eastAsia="en-US"/>
            </w:rPr>
          </w:pPr>
          <w:hyperlink w:anchor="__RefHeading___Toc157776139">
            <w:r>
              <w:rPr>
                <w:rStyle w:val="IndexLink"/>
                <w:caps w:val="false"/>
                <w:smallCaps w:val="false"/>
                <w:lang w:val="en-GB" w:eastAsia="en-US"/>
              </w:rPr>
              <w:t>3.2.</w:t>
            </w:r>
            <w:r>
              <w:rPr>
                <w:rStyle w:val="IndexLink"/>
                <w:caps w:val="false"/>
                <w:smallCaps w:val="false"/>
                <w:sz w:val="24"/>
                <w:szCs w:val="24"/>
                <w:lang w:val="de-CH" w:eastAsia="en-US"/>
              </w:rPr>
              <w:tab/>
            </w:r>
            <w:r>
              <w:rPr>
                <w:rStyle w:val="IndexLink"/>
                <w:caps w:val="false"/>
                <w:smallCaps w:val="false"/>
                <w:lang w:val="en-GB" w:eastAsia="en-US"/>
              </w:rPr>
              <w:t>Staffing Deployment and Organization</w:t>
            </w:r>
            <w:r>
              <w:rPr>
                <w:rStyle w:val="IndexLink"/>
                <w:caps w:val="false"/>
                <w:smallCaps w:val="false"/>
                <w:lang w:val="en-US" w:eastAsia="en-US"/>
              </w:rPr>
              <w:tab/>
              <w:t>5</w:t>
            </w:r>
          </w:hyperlink>
          <w:r>
            <w:rPr>
              <w:rStyle w:val="IndexLink"/>
              <w:smallCaps w:val="false"/>
              <w:caps w:val="false"/>
              <w:lang w:val="en-US" w:eastAsia="en-US"/>
            </w:rPr>
            <w:fldChar w:fldCharType="end"/>
          </w:r>
        </w:p>
      </w:sdtContent>
    </w:sdt>
    <w:p>
      <w:pPr>
        <w:pStyle w:val="Normal"/>
        <w:tabs>
          <w:tab w:val="left" w:pos="360" w:leader="none"/>
          <w:tab w:val="left" w:pos="680" w:leader="none"/>
          <w:tab w:val="left" w:pos="720" w:leader="none"/>
        </w:tabs>
        <w:jc w:val="both"/>
        <w:rPr>
          <w:b/>
          <w:bCs/>
          <w:caps/>
          <w:sz w:val="20"/>
          <w:szCs w:val="20"/>
          <w:lang w:val="de-CH" w:eastAsia="en-US"/>
        </w:rPr>
      </w:pPr>
      <w:r>
        <w:rPr>
          <w:b/>
          <w:bCs/>
          <w:caps/>
          <w:sz w:val="20"/>
          <w:szCs w:val="20"/>
          <w:lang w:val="de-CH" w:eastAsia="en-US"/>
        </w:rPr>
      </w:r>
      <w:r>
        <w:br w:type="page"/>
      </w:r>
    </w:p>
    <w:p>
      <w:pPr>
        <w:pStyle w:val="Heading1"/>
        <w:numPr>
          <w:ilvl w:val="0"/>
          <w:numId w:val="18"/>
        </w:numPr>
        <w:ind w:hanging="0" w:start="0"/>
        <w:rPr/>
      </w:pPr>
      <w:bookmarkStart w:id="0" w:name="__RefHeading___Toc157776117"/>
      <w:bookmarkEnd w:id="0"/>
      <w:r>
        <w:rPr/>
        <w:t>Introduction</w:t>
      </w:r>
    </w:p>
    <w:p>
      <w:pPr>
        <w:pStyle w:val="Heading2"/>
        <w:numPr>
          <w:ilvl w:val="1"/>
          <w:numId w:val="18"/>
        </w:numPr>
        <w:ind w:hanging="0" w:start="0"/>
        <w:rPr/>
      </w:pPr>
      <w:bookmarkStart w:id="1" w:name="__RefHeading___Toc157776118"/>
      <w:bookmarkEnd w:id="1"/>
      <w:r>
        <w:rPr/>
        <w:t>General</w:t>
      </w:r>
    </w:p>
    <w:p>
      <w:pPr>
        <w:pStyle w:val="Heading3"/>
        <w:numPr>
          <w:ilvl w:val="2"/>
          <w:numId w:val="18"/>
        </w:numPr>
        <w:ind w:hanging="0" w:start="0"/>
        <w:rPr/>
      </w:pPr>
      <w:r>
        <w:rPr/>
        <w:t>The Service Provider’s responsibilities include, but are not limited to:</w:t>
      </w:r>
    </w:p>
    <w:p>
      <w:pPr>
        <w:pStyle w:val="Heading3"/>
        <w:numPr>
          <w:ilvl w:val="2"/>
          <w:numId w:val="18"/>
        </w:numPr>
        <w:ind w:hanging="0" w:start="0"/>
        <w:rPr/>
      </w:pPr>
      <w:r>
        <w:rPr/>
        <w:t>Perform all services, tasks, obligations and responsibilities described in this Exhibit at or above applicable Service Levels and in accordance with the terms of the Agreement as of the Commencement Date unless otherwise specified.</w:t>
      </w:r>
    </w:p>
    <w:p>
      <w:pPr>
        <w:pStyle w:val="Heading3"/>
        <w:numPr>
          <w:ilvl w:val="2"/>
          <w:numId w:val="18"/>
        </w:numPr>
        <w:ind w:hanging="0" w:start="0"/>
        <w:rPr/>
      </w:pPr>
      <w:r>
        <w:rPr/>
        <w:t xml:space="preserve">As part of the Services and the Base Charges, and at no additional charge, fee, cost or expense to GlobalPharma, the Service Provider shall provide all of the services described in this Exhibit including all in-scope activities performed by Affected Employees as detailed in the policies and procedures for each process. </w:t>
      </w:r>
    </w:p>
    <w:p>
      <w:pPr>
        <w:pStyle w:val="Heading2"/>
        <w:numPr>
          <w:ilvl w:val="1"/>
          <w:numId w:val="18"/>
        </w:numPr>
        <w:ind w:hanging="0" w:start="0"/>
        <w:rPr>
          <w:lang w:val="en-GB"/>
        </w:rPr>
      </w:pPr>
      <w:bookmarkStart w:id="2" w:name="__RefHeading___Toc157776120"/>
      <w:bookmarkEnd w:id="2"/>
      <w:r>
        <w:rPr>
          <w:lang w:val="en-GB"/>
        </w:rPr>
        <w:t>Transfer of personnel</w:t>
      </w:r>
    </w:p>
    <w:p>
      <w:pPr>
        <w:pStyle w:val="Heading3"/>
        <w:numPr>
          <w:ilvl w:val="2"/>
          <w:numId w:val="18"/>
        </w:numPr>
        <w:ind w:hanging="0" w:start="0"/>
        <w:rPr/>
      </w:pPr>
      <w:r>
        <w:rPr/>
        <w:t>It is not intended by the Parties that any employee of GlobalPharma or its Affiliates shall transfer to the Service Provider or its subcontractors pursuant to the Transfer Legislation in connection with the provision of the Services. If any employee transfers or alleges that they transfer to the Service Provider or its subcontractors or any sub-contractor in connection with the provision of the Services the Parties will co-operate with each other and use all reasonable endeavours to resolve the situation. In the absence of any agreement the Service Provider or relevant subcontractor may dismiss any such staff.</w:t>
      </w:r>
    </w:p>
    <w:p>
      <w:pPr>
        <w:pStyle w:val="Heading3"/>
        <w:numPr>
          <w:ilvl w:val="2"/>
          <w:numId w:val="18"/>
        </w:numPr>
        <w:ind w:hanging="0" w:start="0"/>
        <w:rPr/>
      </w:pPr>
      <w:r>
        <w:rPr/>
        <w:t>GlobalPharma shall indemnify and keep indemnified the Service Provider and any relevant subcontractor from all Employment Liabilities which the Service Provider or a relevant subcontractor may incur as a result of the Transfer Legislation applying or being alleged to apply including any Employment Liabilities arising out of or in connection with any dismissal pursuant to section 1.2.1. GlobalPharma shall not indemnify the Service Provider or a relevant subcontractor for any Employment liabilities that arise and became due after the date upon which the employment relationship could have been validly terminated.</w:t>
      </w:r>
    </w:p>
    <w:p>
      <w:pPr>
        <w:pStyle w:val="Heading3"/>
        <w:numPr>
          <w:ilvl w:val="2"/>
          <w:numId w:val="18"/>
        </w:numPr>
        <w:ind w:hanging="0" w:start="0"/>
        <w:rPr/>
      </w:pPr>
      <w:r>
        <w:rPr/>
        <w:t>If any employees of the Service Provider or a relevant subcontractor transfers or alleges that they transfer to GlobalPharma or successor as a result of the cessation of all or part of the Services for whatever reason the Parties will co-operate with each other and use all reasonable endeavours to resolve the situation. In the absence of any agreement GlobalPharma or Successor may dismiss any such employees.</w:t>
      </w:r>
    </w:p>
    <w:p>
      <w:pPr>
        <w:pStyle w:val="Heading3"/>
        <w:numPr>
          <w:ilvl w:val="2"/>
          <w:numId w:val="18"/>
        </w:numPr>
        <w:ind w:hanging="0" w:start="0"/>
        <w:rPr/>
      </w:pPr>
      <w:r>
        <w:rPr/>
        <w:t>The Service Provider shall indemnify and keep indemnified GlobalPharma and/or successor from all Employment Liabilities which GlobalPharma and/or the relevant successor may incur as a result of the Transfer Legislation applying or being alleged to apply including any Employment Liabilities arising out of or in connection with any dismissal pursuant to section 1.2.3. Service Provider shall not indemnify the GlobalPharma and/ or successor for any Employment Liabilities that arise and became due after the date upon which the employment relationship could have been validly terminated.</w:t>
      </w:r>
    </w:p>
    <w:p>
      <w:pPr>
        <w:pStyle w:val="Heading3"/>
        <w:numPr>
          <w:ilvl w:val="2"/>
          <w:numId w:val="18"/>
        </w:numPr>
        <w:ind w:hanging="0" w:start="0"/>
        <w:rPr/>
      </w:pPr>
      <w:r>
        <w:rPr/>
        <w:t>For the purposes of this section 1.2 "Employment Liabilities" means all liabilities, compensation, awards, penalties, costs (including legal costs), or other payments connected with or arising from all and any laws, including, without limitation, directives, statutes, secondary legislation, orders, codes of practice and common law, whether of the European Community, Switzerland or any other relevant jurisdiction, relating to or connected with the employment of employees or the engagement of other workers, including in each case their health and safety at work; and (b) "Transfer Legislation" means any law implementing in any relevant jurisdiction the European Council Directive 2001/23/EC on the approximation of laws of European member states relating to the safeguarding of employees' rights in the event of transfers of undertakings, businesses or parts of undertakings or businesses, in each case as amended or replaced from time to time as well as the Directive itself.</w:t>
      </w:r>
    </w:p>
    <w:p>
      <w:pPr>
        <w:pStyle w:val="Heading1"/>
        <w:numPr>
          <w:ilvl w:val="0"/>
          <w:numId w:val="18"/>
        </w:numPr>
        <w:ind w:hanging="0" w:start="0"/>
        <w:rPr/>
      </w:pPr>
      <w:bookmarkStart w:id="3" w:name="__RefHeading___Toc157776127"/>
      <w:bookmarkEnd w:id="3"/>
      <w:r>
        <w:rPr/>
        <w:t>Personnel Requirements</w:t>
      </w:r>
    </w:p>
    <w:p>
      <w:pPr>
        <w:pStyle w:val="Heading2"/>
        <w:numPr>
          <w:ilvl w:val="1"/>
          <w:numId w:val="18"/>
        </w:numPr>
        <w:ind w:hanging="0" w:start="0"/>
        <w:rPr/>
      </w:pPr>
      <w:bookmarkStart w:id="4" w:name="__RefHeading___Toc157776128"/>
      <w:bookmarkEnd w:id="4"/>
      <w:r>
        <w:rPr/>
        <w:t>The Service Provider’s responsibilities include, but are not limited to:</w:t>
      </w:r>
    </w:p>
    <w:p>
      <w:pPr>
        <w:pStyle w:val="Heading2"/>
        <w:numPr>
          <w:ilvl w:val="1"/>
          <w:numId w:val="18"/>
        </w:numPr>
        <w:ind w:hanging="0" w:start="0"/>
        <w:rPr>
          <w:lang w:val="en-GB"/>
        </w:rPr>
      </w:pPr>
      <w:bookmarkStart w:id="5" w:name="__RefHeading___Toc157776129"/>
      <w:bookmarkEnd w:id="5"/>
      <w:r>
        <w:rPr>
          <w:lang w:val="en-GB"/>
        </w:rPr>
        <w:t>GlobalPharma will identify GlobalPharma Affected Personnel, which includes:</w:t>
      </w:r>
    </w:p>
    <w:p>
      <w:pPr>
        <w:pStyle w:val="Heading3"/>
        <w:numPr>
          <w:ilvl w:val="2"/>
          <w:numId w:val="18"/>
        </w:numPr>
        <w:ind w:hanging="0" w:start="0"/>
        <w:rPr>
          <w:lang w:val="en-GB"/>
        </w:rPr>
      </w:pPr>
      <w:r>
        <w:rPr>
          <w:lang w:val="en-GB"/>
        </w:rPr>
        <w:t>GlobalPharma Affected Employees.</w:t>
      </w:r>
    </w:p>
    <w:p>
      <w:pPr>
        <w:pStyle w:val="Heading3"/>
        <w:numPr>
          <w:ilvl w:val="2"/>
          <w:numId w:val="18"/>
        </w:numPr>
        <w:ind w:hanging="0" w:start="0"/>
        <w:rPr>
          <w:lang w:val="en-GB"/>
        </w:rPr>
      </w:pPr>
      <w:r>
        <w:rPr>
          <w:lang w:val="en-GB"/>
        </w:rPr>
        <w:t>GlobalPharma Affected Contractors.</w:t>
      </w:r>
    </w:p>
    <w:p>
      <w:pPr>
        <w:pStyle w:val="Heading2"/>
        <w:numPr>
          <w:ilvl w:val="1"/>
          <w:numId w:val="18"/>
        </w:numPr>
        <w:ind w:hanging="0" w:start="0"/>
        <w:rPr>
          <w:lang w:val="en-GB"/>
        </w:rPr>
      </w:pPr>
      <w:bookmarkStart w:id="6" w:name="__RefHeading___Toc157776130"/>
      <w:bookmarkEnd w:id="6"/>
      <w:r>
        <w:rPr>
          <w:lang w:val="en-GB"/>
        </w:rPr>
        <w:t>Prior to the Effective Date, GlobalPharma will identify a number of their Key Personnel, whose involvement is critical during the transition period.</w:t>
      </w:r>
    </w:p>
    <w:p>
      <w:pPr>
        <w:pStyle w:val="Heading3"/>
        <w:numPr>
          <w:ilvl w:val="2"/>
          <w:numId w:val="18"/>
        </w:numPr>
        <w:ind w:hanging="0" w:start="0"/>
        <w:rPr/>
      </w:pPr>
      <w:r>
        <w:rPr>
          <w:lang w:val="en-GB"/>
        </w:rPr>
        <w:t>GlobalPharma will indemnify the retention of their Key Personnel.</w:t>
      </w:r>
    </w:p>
    <w:p>
      <w:pPr>
        <w:pStyle w:val="Heading3"/>
        <w:numPr>
          <w:ilvl w:val="2"/>
          <w:numId w:val="18"/>
        </w:numPr>
        <w:ind w:hanging="0" w:start="0"/>
        <w:rPr/>
      </w:pPr>
      <w:r>
        <w:rPr>
          <w:lang w:val="en-GB"/>
        </w:rPr>
        <w:t>GlobalPharma will provide reasonable access for the Service Provider to their Key Personnel during the transition period.</w:t>
      </w:r>
    </w:p>
    <w:p>
      <w:pPr>
        <w:pStyle w:val="Heading2"/>
        <w:numPr>
          <w:ilvl w:val="1"/>
          <w:numId w:val="18"/>
        </w:numPr>
        <w:ind w:hanging="0" w:start="0"/>
        <w:rPr>
          <w:lang w:val="en-GB"/>
        </w:rPr>
      </w:pPr>
      <w:bookmarkStart w:id="7" w:name="__RefHeading___Toc157776131"/>
      <w:bookmarkEnd w:id="7"/>
      <w:r>
        <w:rPr>
          <w:lang w:val="en-GB"/>
        </w:rPr>
        <w:t>Hiring and Staffing Projections</w:t>
      </w:r>
    </w:p>
    <w:p>
      <w:pPr>
        <w:pStyle w:val="Heading3"/>
        <w:numPr>
          <w:ilvl w:val="2"/>
          <w:numId w:val="18"/>
        </w:numPr>
        <w:ind w:hanging="0" w:start="0"/>
        <w:rPr>
          <w:lang w:val="en-GB"/>
        </w:rPr>
      </w:pPr>
      <w:r>
        <w:rPr>
          <w:lang w:val="en-GB"/>
        </w:rPr>
        <w:t>In any case, any proposed changes to the staffing plan during this period are subject to GlobalPharma’s approval, which will be based on GlobalPharma’s reasonable satisfaction that such changes will not have an adverse impact on the Service Provider’s ability to perform its obligations under the Agreement. The Parties agree that this review and approval does not constitute joint employment.</w:t>
      </w:r>
    </w:p>
    <w:p>
      <w:pPr>
        <w:pStyle w:val="Heading2"/>
        <w:numPr>
          <w:ilvl w:val="1"/>
          <w:numId w:val="18"/>
        </w:numPr>
        <w:ind w:hanging="0" w:start="0"/>
        <w:rPr>
          <w:lang w:val="en-GB"/>
        </w:rPr>
      </w:pPr>
      <w:bookmarkStart w:id="8" w:name="__RefHeading___Toc157776132"/>
      <w:bookmarkEnd w:id="8"/>
      <w:r>
        <w:rPr>
          <w:lang w:val="en-GB"/>
        </w:rPr>
        <w:t>Qualifications and Training of Service Provider Personnel</w:t>
      </w:r>
    </w:p>
    <w:p>
      <w:pPr>
        <w:pStyle w:val="Heading3"/>
        <w:numPr>
          <w:ilvl w:val="2"/>
          <w:numId w:val="18"/>
        </w:numPr>
        <w:ind w:hanging="0" w:start="0"/>
        <w:rPr>
          <w:lang w:val="en-GB"/>
        </w:rPr>
      </w:pPr>
      <w:r>
        <w:rPr>
          <w:lang w:val="en-GB"/>
        </w:rPr>
        <w:t>The personnel that the Service Provider assigns to perform the Services will be properly educated, trained and qualified for the services they are to perform.</w:t>
      </w:r>
    </w:p>
    <w:p>
      <w:pPr>
        <w:pStyle w:val="Heading2"/>
        <w:numPr>
          <w:ilvl w:val="1"/>
          <w:numId w:val="18"/>
        </w:numPr>
        <w:ind w:hanging="0" w:start="0"/>
        <w:rPr>
          <w:lang w:val="en-GB"/>
        </w:rPr>
      </w:pPr>
      <w:bookmarkStart w:id="9" w:name="__RefHeading___Toc157776133"/>
      <w:bookmarkEnd w:id="9"/>
      <w:r>
        <w:rPr>
          <w:lang w:val="en-GB"/>
        </w:rPr>
        <w:t>Other Personnel Requirements</w:t>
      </w:r>
    </w:p>
    <w:p>
      <w:pPr>
        <w:pStyle w:val="Heading3"/>
        <w:numPr>
          <w:ilvl w:val="2"/>
          <w:numId w:val="18"/>
        </w:numPr>
        <w:ind w:hanging="0" w:start="0"/>
        <w:rPr>
          <w:lang w:val="en-GB"/>
        </w:rPr>
      </w:pPr>
      <w:r>
        <w:rPr>
          <w:lang w:val="en-GB"/>
        </w:rPr>
        <w:t>The Service Provider is responsible for all necessary recruiting and hiring costs associated with employing appropriate staff.</w:t>
      </w:r>
    </w:p>
    <w:p>
      <w:pPr>
        <w:pStyle w:val="Heading3"/>
        <w:numPr>
          <w:ilvl w:val="2"/>
          <w:numId w:val="18"/>
        </w:numPr>
        <w:ind w:hanging="0" w:start="0"/>
        <w:rPr>
          <w:lang w:val="en-GB"/>
        </w:rPr>
      </w:pPr>
      <w:r>
        <w:rPr>
          <w:lang w:val="en-GB"/>
        </w:rPr>
        <w:t>The Service Provider will use commercially reasonable efforts to keep the turnover rate of personnel performing the Services to a level comparable or better than the industry average for large, well-managed Financial IT Enabled services companies.</w:t>
      </w:r>
    </w:p>
    <w:p>
      <w:pPr>
        <w:pStyle w:val="Heading2"/>
        <w:numPr>
          <w:ilvl w:val="1"/>
          <w:numId w:val="18"/>
        </w:numPr>
        <w:ind w:hanging="0" w:start="0"/>
        <w:rPr>
          <w:lang w:val="en-GB"/>
        </w:rPr>
      </w:pPr>
      <w:bookmarkStart w:id="10" w:name="__RefHeading___Toc157776134"/>
      <w:bookmarkEnd w:id="10"/>
      <w:r>
        <w:rPr>
          <w:lang w:val="en-GB"/>
        </w:rPr>
        <w:t>If GlobalPharma believes that the Service Provider's turnover rate of Service Provider personnel performing the Services is excessive, the Service Provider will provide data to GlobalPharma concerning the turnover rate; discuss the reasons for the turnover rate; submit its proposals for reducing the turnover rate; and agree on a program to reduce the rate at no cost to GlobalPharma.</w:t>
      </w:r>
    </w:p>
    <w:p>
      <w:pPr>
        <w:pStyle w:val="Heading2"/>
        <w:numPr>
          <w:ilvl w:val="1"/>
          <w:numId w:val="18"/>
        </w:numPr>
        <w:ind w:hanging="0" w:start="0"/>
        <w:rPr>
          <w:lang w:val="en-GB"/>
        </w:rPr>
      </w:pPr>
      <w:bookmarkStart w:id="11" w:name="__RefHeading___Toc157776135"/>
      <w:bookmarkEnd w:id="11"/>
      <w:r>
        <w:rPr>
          <w:lang w:val="en-GB"/>
        </w:rPr>
        <w:t>Service Provider personnel shall not be deemed to be employees of GlobalPharma or members of the GlobalPharma group.</w:t>
      </w:r>
    </w:p>
    <w:p>
      <w:pPr>
        <w:pStyle w:val="Heading2"/>
        <w:numPr>
          <w:ilvl w:val="1"/>
          <w:numId w:val="18"/>
        </w:numPr>
        <w:ind w:hanging="0" w:start="0"/>
        <w:rPr>
          <w:lang w:val="en-GB"/>
        </w:rPr>
      </w:pPr>
      <w:bookmarkStart w:id="12" w:name="__RefHeading___Toc157776136"/>
      <w:bookmarkEnd w:id="12"/>
      <w:r>
        <w:rPr>
          <w:lang w:val="en-GB"/>
        </w:rPr>
        <w:t>The Service Provider, not GlobalPharma, shall have the right, power, authority and duty to supervise and direct the activities of Service Provider personnel and to compensate them for work performed on GlobalPharma’s behalf pursuant to the Agreement.</w:t>
      </w:r>
    </w:p>
    <w:p>
      <w:pPr>
        <w:pStyle w:val="Heading1"/>
        <w:numPr>
          <w:ilvl w:val="0"/>
          <w:numId w:val="18"/>
        </w:numPr>
        <w:ind w:hanging="0" w:start="0"/>
        <w:rPr>
          <w:lang w:val="en-GB"/>
        </w:rPr>
      </w:pPr>
      <w:bookmarkStart w:id="13" w:name="__RefHeading___Toc157776137"/>
      <w:bookmarkEnd w:id="13"/>
      <w:r>
        <w:rPr>
          <w:lang w:val="en-GB"/>
        </w:rPr>
        <w:t>Service Provider Approach</w:t>
      </w:r>
    </w:p>
    <w:p>
      <w:pPr>
        <w:pStyle w:val="Heading2"/>
        <w:numPr>
          <w:ilvl w:val="1"/>
          <w:numId w:val="18"/>
        </w:numPr>
        <w:ind w:hanging="0" w:start="0"/>
        <w:rPr/>
      </w:pPr>
      <w:bookmarkStart w:id="14" w:name="__RefHeading___Toc157776138"/>
      <w:bookmarkEnd w:id="14"/>
      <w:r>
        <w:rPr/>
        <w:t>The Service Provider’s responsibilities include, but are not limited to:</w:t>
      </w:r>
    </w:p>
    <w:p>
      <w:pPr>
        <w:pStyle w:val="Heading2"/>
        <w:numPr>
          <w:ilvl w:val="1"/>
          <w:numId w:val="18"/>
        </w:numPr>
        <w:ind w:hanging="0" w:start="0"/>
        <w:rPr>
          <w:lang w:val="en-GB"/>
        </w:rPr>
      </w:pPr>
      <w:bookmarkStart w:id="15" w:name="__RefHeading___Toc157776139"/>
      <w:bookmarkEnd w:id="15"/>
      <w:r>
        <w:rPr>
          <w:lang w:val="en-GB"/>
        </w:rPr>
        <w:t>Staffing Deployment and Organization</w:t>
      </w:r>
    </w:p>
    <w:p>
      <w:pPr>
        <w:pStyle w:val="Heading3"/>
        <w:numPr>
          <w:ilvl w:val="2"/>
          <w:numId w:val="18"/>
        </w:numPr>
        <w:ind w:hanging="0" w:start="0"/>
        <w:rPr>
          <w:lang w:val="en-GB"/>
        </w:rPr>
      </w:pPr>
      <w:r>
        <w:rPr>
          <w:lang w:val="en-GB"/>
        </w:rPr>
        <w:t>The Service Provider will provide a proposed personnel organization chart and high-level staffing deployment plan for overall management and service delivery to GlobalPharma that reveals its staffing approach for each class of Service covered by the Agreement. The staffing plan should also identify numbers of staff, geographical location(s), and high-level functions of the categories of personnel.</w:t>
      </w:r>
    </w:p>
    <w:p>
      <w:pPr>
        <w:pStyle w:val="Heading3"/>
        <w:numPr>
          <w:ilvl w:val="2"/>
          <w:numId w:val="18"/>
        </w:numPr>
        <w:ind w:hanging="0" w:start="0"/>
        <w:rPr>
          <w:lang w:val="en-GB"/>
        </w:rPr>
      </w:pPr>
      <w:r>
        <w:rPr>
          <w:lang w:val="en-GB"/>
        </w:rPr>
        <w:t>The staffing plan is to address the Service Provider’s approach to:</w:t>
      </w:r>
    </w:p>
    <w:p>
      <w:pPr>
        <w:pStyle w:val="Heading3"/>
        <w:numPr>
          <w:ilvl w:val="2"/>
          <w:numId w:val="18"/>
        </w:numPr>
        <w:ind w:hanging="0" w:start="0"/>
        <w:rPr>
          <w:lang w:val="en-GB"/>
        </w:rPr>
      </w:pPr>
      <w:r>
        <w:rPr>
          <w:lang w:val="en-GB"/>
        </w:rPr>
        <w:t>Recruiting sufficient staff to provide the Services as of the Effective Date without disruption to GlobalPharma operations or degradation in quality of the Services.</w:t>
      </w:r>
    </w:p>
    <w:p>
      <w:pPr>
        <w:pStyle w:val="Heading3"/>
        <w:numPr>
          <w:ilvl w:val="2"/>
          <w:numId w:val="18"/>
        </w:numPr>
        <w:ind w:hanging="0" w:start="0"/>
        <w:rPr>
          <w:lang w:val="en-GB"/>
        </w:rPr>
      </w:pPr>
      <w:r>
        <w:rPr>
          <w:lang w:val="en-GB"/>
        </w:rPr>
        <w:t>Assigning Service Provider personnel who have experience in the Service Provider’s organization to the GlobalPharma account, to include:</w:t>
      </w:r>
    </w:p>
    <w:p>
      <w:pPr>
        <w:pStyle w:val="Heading3"/>
        <w:numPr>
          <w:ilvl w:val="2"/>
          <w:numId w:val="18"/>
        </w:numPr>
        <w:ind w:hanging="0" w:start="0"/>
        <w:rPr>
          <w:lang w:val="en-GB"/>
        </w:rPr>
      </w:pPr>
      <w:r>
        <w:rPr>
          <w:lang w:val="en-GB"/>
        </w:rPr>
        <w:t>Number, function(s), and average years of experience in Service Provider’s organization for Service Provider personnel assigned and performing short-term functions (less than one (1) year).</w:t>
      </w:r>
    </w:p>
    <w:p>
      <w:pPr>
        <w:pStyle w:val="Heading3"/>
        <w:numPr>
          <w:ilvl w:val="2"/>
          <w:numId w:val="18"/>
        </w:numPr>
        <w:ind w:hanging="0" w:start="0"/>
        <w:rPr>
          <w:lang w:val="en-GB"/>
        </w:rPr>
      </w:pPr>
      <w:r>
        <w:rPr>
          <w:lang w:val="en-GB"/>
        </w:rPr>
        <w:t>Number, function(s), and average years of experience in Service Provider’s organization for Service Provider personnel assigned and performing long-term functions (one (1) year or more).</w:t>
      </w:r>
    </w:p>
    <w:p>
      <w:pPr>
        <w:pStyle w:val="Heading3"/>
        <w:numPr>
          <w:ilvl w:val="2"/>
          <w:numId w:val="18"/>
        </w:numPr>
        <w:ind w:hanging="0" w:start="0"/>
        <w:rPr>
          <w:lang w:val="en-GB"/>
        </w:rPr>
      </w:pPr>
      <w:r>
        <w:rPr>
          <w:lang w:val="en-GB"/>
        </w:rPr>
        <w:t>Retain an adequate number of properly educated, qualified and experienced personnel throughout the Term in order to provide the Services, and minimize unplanned turnover.</w:t>
      </w:r>
    </w:p>
    <w:p>
      <w:pPr>
        <w:pStyle w:val="Heading3"/>
        <w:numPr>
          <w:ilvl w:val="2"/>
          <w:numId w:val="18"/>
        </w:numPr>
        <w:ind w:hanging="0" w:start="0"/>
        <w:rPr>
          <w:color w:val="000000"/>
          <w:kern w:val="2"/>
          <w:szCs w:val="22"/>
        </w:rPr>
      </w:pPr>
      <w:r>
        <w:rPr>
          <w:kern w:val="2"/>
        </w:rPr>
        <w:t>Enhance skills and competencies as well as personal growth and development of all its employees. The same rigor and commitment will be extended to personnel serving GlobalPharma as well.</w:t>
      </w:r>
    </w:p>
    <w:p>
      <w:pPr>
        <w:pStyle w:val="Heading3"/>
        <w:numPr>
          <w:ilvl w:val="2"/>
          <w:numId w:val="18"/>
        </w:numPr>
        <w:ind w:hanging="0" w:start="0"/>
        <w:rPr>
          <w:color w:val="000000"/>
          <w:kern w:val="2"/>
          <w:szCs w:val="22"/>
        </w:rPr>
      </w:pPr>
      <w:r>
        <w:rPr>
          <w:color w:val="000000"/>
          <w:kern w:val="2"/>
          <w:szCs w:val="22"/>
        </w:rPr>
        <w:t>Train all employees on the industry and client they service.</w:t>
      </w:r>
    </w:p>
    <w:p>
      <w:pPr>
        <w:pStyle w:val="Heading3"/>
        <w:numPr>
          <w:ilvl w:val="2"/>
          <w:numId w:val="18"/>
        </w:numPr>
        <w:ind w:hanging="0" w:start="0"/>
        <w:rPr>
          <w:kern w:val="2"/>
        </w:rPr>
      </w:pPr>
      <w:r>
        <w:rPr>
          <w:kern w:val="2"/>
        </w:rPr>
        <w:t>Develop training materials on the industry and GlobalPharma with the help of the customer and obtain approval for all training materials that are used for training from GlobalPharma.</w:t>
      </w:r>
    </w:p>
    <w:p>
      <w:pPr>
        <w:pStyle w:val="Heading3"/>
        <w:numPr>
          <w:ilvl w:val="2"/>
          <w:numId w:val="18"/>
        </w:numPr>
        <w:ind w:hanging="0" w:start="0"/>
        <w:rPr>
          <w:kern w:val="2"/>
        </w:rPr>
      </w:pPr>
      <w:r>
        <w:rPr>
          <w:kern w:val="2"/>
        </w:rPr>
        <w:t>Perform up-skill / developmental training (certification programs, behavioral and leadership skills) for all your employees on an ongoing basis.</w:t>
      </w:r>
    </w:p>
    <w:p>
      <w:pPr>
        <w:pStyle w:val="Heading3"/>
        <w:numPr>
          <w:ilvl w:val="2"/>
          <w:numId w:val="18"/>
        </w:numPr>
        <w:ind w:hanging="0" w:start="0"/>
        <w:rPr>
          <w:kern w:val="2"/>
        </w:rPr>
      </w:pPr>
      <w:r>
        <w:rPr>
          <w:kern w:val="2"/>
        </w:rPr>
        <w:t>Create clear learning paths for everyone on the basis of the developmental and learning needs identified.</w:t>
      </w:r>
    </w:p>
    <w:p>
      <w:pPr>
        <w:pStyle w:val="Heading3"/>
        <w:numPr>
          <w:ilvl w:val="2"/>
          <w:numId w:val="18"/>
        </w:numPr>
        <w:ind w:hanging="0" w:start="0"/>
        <w:rPr>
          <w:color w:val="000000"/>
          <w:kern w:val="2"/>
          <w:szCs w:val="22"/>
        </w:rPr>
      </w:pPr>
      <w:r>
        <w:rPr>
          <w:kern w:val="2"/>
        </w:rPr>
        <w:t>Work in close conjunction with GlobalPharma to design and develop training modules to suite GlobalPharma’s business and process requirements. Obtain signoff from GlobalPharma process owner before proceeding with actual training.</w:t>
      </w:r>
    </w:p>
    <w:p>
      <w:pPr>
        <w:pStyle w:val="Heading3"/>
        <w:numPr>
          <w:ilvl w:val="2"/>
          <w:numId w:val="18"/>
        </w:numPr>
        <w:ind w:hanging="0" w:start="0"/>
        <w:rPr>
          <w:color w:val="000000"/>
          <w:kern w:val="2"/>
          <w:szCs w:val="22"/>
        </w:rPr>
      </w:pPr>
      <w:r>
        <w:rPr>
          <w:color w:val="000000"/>
          <w:kern w:val="2"/>
        </w:rPr>
        <w:t>P</w:t>
      </w:r>
      <w:r>
        <w:rPr>
          <w:color w:val="000000"/>
          <w:kern w:val="2"/>
          <w:szCs w:val="22"/>
        </w:rPr>
        <w:t>rovide people with the opportunity to enroll for world-class leadership development programs.</w:t>
      </w:r>
    </w:p>
    <w:p>
      <w:pPr>
        <w:pStyle w:val="Heading3"/>
        <w:numPr>
          <w:ilvl w:val="2"/>
          <w:numId w:val="18"/>
        </w:numPr>
        <w:ind w:hanging="0" w:start="0"/>
        <w:rPr>
          <w:color w:val="000000"/>
          <w:kern w:val="2"/>
          <w:szCs w:val="22"/>
        </w:rPr>
      </w:pPr>
      <w:r>
        <w:rPr>
          <w:kern w:val="2"/>
        </w:rPr>
        <w:t>Encourage cross-functional movement of its people across jobs - within the same customer organization so that domain and customer expertise is retained - after employees have gained expertise in their area of work (by spending a minimum period of time in each job) in order to provide the employees a great career path.</w:t>
      </w:r>
    </w:p>
    <w:p>
      <w:pPr>
        <w:pStyle w:val="Heading3"/>
        <w:numPr>
          <w:ilvl w:val="2"/>
          <w:numId w:val="18"/>
        </w:numPr>
        <w:ind w:hanging="0" w:start="0"/>
        <w:rPr>
          <w:color w:val="000000"/>
          <w:kern w:val="2"/>
          <w:szCs w:val="22"/>
        </w:rPr>
      </w:pPr>
      <w:r>
        <w:rPr>
          <w:kern w:val="2"/>
        </w:rPr>
        <w:t xml:space="preserve">Hold </w:t>
      </w:r>
      <w:r>
        <w:rPr>
          <w:color w:val="000000"/>
          <w:kern w:val="2"/>
          <w:szCs w:val="22"/>
        </w:rPr>
        <w:t>assessment centers periodically to identify high potential candidates in order to develop skills for higher responsibilities through structured Service Provider development programs.</w:t>
      </w:r>
    </w:p>
    <w:p>
      <w:pPr>
        <w:pStyle w:val="Heading3"/>
        <w:numPr>
          <w:ilvl w:val="2"/>
          <w:numId w:val="18"/>
        </w:numPr>
        <w:ind w:hanging="0" w:start="0"/>
        <w:rPr>
          <w:kern w:val="2"/>
        </w:rPr>
      </w:pPr>
      <w:r>
        <w:rPr>
          <w:kern w:val="2"/>
        </w:rPr>
        <w:t>Provide horizontal growth opportunities in terms of job rotations and job enrichments.</w:t>
      </w:r>
    </w:p>
    <w:p>
      <w:pPr>
        <w:pStyle w:val="Heading3"/>
        <w:numPr>
          <w:ilvl w:val="2"/>
          <w:numId w:val="18"/>
        </w:numPr>
        <w:ind w:hanging="0" w:start="0"/>
        <w:rPr>
          <w:color w:val="000000"/>
          <w:kern w:val="2"/>
          <w:szCs w:val="22"/>
        </w:rPr>
      </w:pPr>
      <w:r>
        <w:rPr>
          <w:kern w:val="2"/>
        </w:rPr>
        <w:t>Allows employees to pursue higher education and to enroll for enhanced training modules while continuing to work with Service Provider at the ServicePro University, the in-house university which has collaboration with leading institutes and offers courses on management, computers, IT areas, accounting, and actuarial development programs.</w:t>
      </w:r>
      <w:r>
        <w:rPr>
          <w:color w:val="000000"/>
          <w:kern w:val="2"/>
          <w:szCs w:val="22"/>
        </w:rPr>
      </w:r>
      <w:r>
        <w:rPr>
          <w:kern w:val="2"/>
        </w:rPr>
      </w:r>
    </w:p>
    <w:p>
      <w:pPr>
        <w:pStyle w:val="Heading3"/>
        <w:numPr>
          <w:ilvl w:val="2"/>
          <w:numId w:val="18"/>
        </w:numPr>
        <w:ind w:hanging="0" w:start="0"/>
        <w:rPr>
          <w:lang w:val="en-GB"/>
        </w:rPr>
      </w:pPr>
      <w:r>
        <w:rPr>
          <w:lang w:val="en-GB"/>
        </w:rPr>
        <w:t>Define and execute learning path that will give an  activity plan for new hires. This plan will clearly articulate what is to be learnt in the day and the organizational expectations in terms of proficiency gained</w:t>
      </w:r>
    </w:p>
    <w:p>
      <w:pPr>
        <w:pStyle w:val="Heading3"/>
        <w:numPr>
          <w:ilvl w:val="2"/>
          <w:numId w:val="18"/>
        </w:numPr>
        <w:ind w:hanging="0" w:start="0"/>
        <w:rPr>
          <w:rFonts w:ascii="Arial" w:hAnsi="Arial" w:cs="Arial"/>
          <w:color w:val="000000"/>
          <w:szCs w:val="22"/>
        </w:rPr>
      </w:pPr>
      <w:r>
        <w:rPr/>
        <w:t>Perform structured assessment at the end of each logical module of training to assess proficiency of new joinee in the process. This assessment will be done in conjunction with the GlobalPharma trainer. The associate will start production only after successful completion of all training requirements</w:t>
      </w:r>
    </w:p>
    <w:p>
      <w:pPr>
        <w:pStyle w:val="Heading3"/>
        <w:numPr>
          <w:ilvl w:val="2"/>
          <w:numId w:val="18"/>
        </w:numPr>
        <w:ind w:hanging="0" w:start="0"/>
        <w:rPr>
          <w:color w:val="000000"/>
          <w:szCs w:val="22"/>
        </w:rPr>
      </w:pPr>
      <w:r>
        <w:rPr/>
        <w:t>Conduct a two-day orientation program for all new employees joining the company. This training is mandatory for employees across all levels and includes sessions on an overview of ServicePro, company values, HR policies and employee benefits, interaction with the leadership, Integrity.</w:t>
      </w:r>
      <w:r>
        <w:rPr>
          <w:color w:val="000000"/>
          <w:szCs w:val="22"/>
        </w:rPr>
      </w:r>
    </w:p>
    <w:p>
      <w:pPr>
        <w:pStyle w:val="Heading3"/>
        <w:numPr>
          <w:ilvl w:val="2"/>
          <w:numId w:val="18"/>
        </w:numPr>
        <w:ind w:hanging="0" w:start="0"/>
        <w:rPr>
          <w:color w:val="000000"/>
          <w:szCs w:val="22"/>
        </w:rPr>
      </w:pPr>
      <w:r>
        <w:rPr/>
        <w:t xml:space="preserve">Conduct technical training using self-study modules, instructor-led classroom sessions, </w:t>
      </w:r>
      <w:r>
        <w:rPr>
          <w:color w:val="000000"/>
          <w:szCs w:val="22"/>
        </w:rPr>
        <w:t>web-based trainings, simulations (calls and applications) including:</w:t>
      </w:r>
    </w:p>
    <w:p>
      <w:pPr>
        <w:pStyle w:val="Heading4"/>
        <w:numPr>
          <w:ilvl w:val="3"/>
          <w:numId w:val="18"/>
        </w:numPr>
        <w:ind w:hanging="0" w:start="0"/>
        <w:rPr>
          <w:rFonts w:ascii="Arial" w:hAnsi="Arial" w:cs="Arial"/>
          <w:b/>
          <w:color w:val="000000"/>
          <w:szCs w:val="22"/>
        </w:rPr>
      </w:pPr>
      <w:r>
        <w:rPr/>
        <w:t>Industry Overview: This training provides required information about the industry that the new hires need to know, so as to be able to provide the appropriate services. Specific contextual modules will be designed in conjunction with GlobalPharma. All compliance Training - FDCPA, privacy policies, any specific GlobalPharma compliance policies will also be covered as part of this training module.</w:t>
      </w:r>
    </w:p>
    <w:p>
      <w:pPr>
        <w:pStyle w:val="Heading4"/>
        <w:numPr>
          <w:ilvl w:val="3"/>
          <w:numId w:val="18"/>
        </w:numPr>
        <w:ind w:hanging="0" w:start="0"/>
        <w:rPr>
          <w:rFonts w:ascii="Arial" w:hAnsi="Arial" w:cs="Arial"/>
          <w:b/>
          <w:color w:val="000000"/>
          <w:szCs w:val="22"/>
        </w:rPr>
      </w:pPr>
      <w:r>
        <w:rPr/>
        <w:t>Business Overview: This training imparts knowledge about the business that the associates will service and helps associates develop a complete understanding of the business. Service Provider will apply a systematic approach to transfer knowledge from existing team of client associates to Service Provider associates. This stage could involve both onsite and offshore training and shall also include implementation of a technology solution (identified during remote process design) for delivering the work from an offshore location. In addition to this, Service Provider applies developed access to subject matter experts (SMEs).</w:t>
      </w:r>
    </w:p>
    <w:p>
      <w:pPr>
        <w:pStyle w:val="Heading4"/>
        <w:numPr>
          <w:ilvl w:val="3"/>
          <w:numId w:val="18"/>
        </w:numPr>
        <w:ind w:hanging="0" w:start="0"/>
        <w:rPr>
          <w:rFonts w:ascii="Arial" w:hAnsi="Arial" w:cs="Arial"/>
          <w:b/>
          <w:color w:val="000000"/>
          <w:szCs w:val="22"/>
        </w:rPr>
      </w:pPr>
      <w:r>
        <w:rPr/>
        <w:t>Contextual and Cultural Training: This training provides contextual (product-related) and cultural alignment to the associates to handle their tasks efficiently. Some of the areas covered in detail to provide in-depth cultural alignment to our people include work culture and general awareness of across culture, history and geography.</w:t>
      </w:r>
    </w:p>
    <w:p>
      <w:pPr>
        <w:pStyle w:val="Heading4"/>
        <w:numPr>
          <w:ilvl w:val="3"/>
          <w:numId w:val="18"/>
        </w:numPr>
        <w:ind w:hanging="0" w:start="0"/>
        <w:rPr>
          <w:rFonts w:ascii="Arial" w:hAnsi="Arial" w:cs="Arial"/>
          <w:b/>
          <w:color w:val="000000"/>
          <w:szCs w:val="22"/>
        </w:rPr>
      </w:pPr>
      <w:r>
        <w:rPr/>
        <w:t>Systems Training: This training provides information about the systems that associates will use while handling transactions.</w:t>
      </w:r>
    </w:p>
    <w:p>
      <w:pPr>
        <w:pStyle w:val="Heading4"/>
        <w:numPr>
          <w:ilvl w:val="3"/>
          <w:numId w:val="18"/>
        </w:numPr>
        <w:ind w:hanging="0" w:start="0"/>
        <w:rPr>
          <w:b/>
        </w:rPr>
      </w:pPr>
      <w:r>
        <w:rPr/>
        <w:t>Standard Operating Procedures (SOP) Training: This training is a part of the process training where associates are trained on the procedures of handling various transactions and calls. It gives the associates a step-by-step understanding of tracking each work/call type.</w:t>
      </w:r>
    </w:p>
    <w:p>
      <w:pPr>
        <w:pStyle w:val="Heading4"/>
        <w:numPr>
          <w:ilvl w:val="3"/>
          <w:numId w:val="18"/>
        </w:numPr>
        <w:ind w:hanging="0" w:start="0"/>
        <w:rPr/>
      </w:pPr>
      <w:r>
        <w:rPr/>
        <w:t>Finance Induction Program: This is a one-day training program, which gives all new finance and accounting hires an overview of the finance function.</w:t>
      </w:r>
    </w:p>
    <w:p>
      <w:pPr>
        <w:pStyle w:val="Heading4"/>
        <w:numPr>
          <w:ilvl w:val="3"/>
          <w:numId w:val="18"/>
        </w:numPr>
        <w:ind w:hanging="0" w:start="0"/>
        <w:rPr>
          <w:rFonts w:ascii="Arial" w:hAnsi="Arial" w:cs="Arial"/>
          <w:b/>
          <w:bCs/>
          <w:color w:val="000000"/>
          <w:szCs w:val="22"/>
        </w:rPr>
      </w:pPr>
      <w:r>
        <w:rPr/>
        <w:t>Overview of finance processes: This training will cover concepts required to manage finance processes such as AP. AR, reconciliation etc.</w:t>
      </w:r>
    </w:p>
    <w:p>
      <w:pPr>
        <w:pStyle w:val="Heading4"/>
        <w:numPr>
          <w:ilvl w:val="3"/>
          <w:numId w:val="18"/>
        </w:numPr>
        <w:ind w:hanging="0" w:start="0"/>
        <w:rPr>
          <w:rFonts w:ascii="Arial" w:hAnsi="Arial" w:cs="Arial"/>
          <w:b/>
          <w:bCs/>
          <w:color w:val="000000"/>
          <w:szCs w:val="22"/>
        </w:rPr>
      </w:pPr>
      <w:r>
        <w:rPr/>
        <w:t>Contextual and Business Knowledge Training: This training helps the agents develop contextual knowledge and increase knowledge about the business that they will service. This will be based on training material available with GlobalPharma. The same will be customized as per Service Provider’s requirements and a learning path developed to ensure that all knowledge gets transferred to new hires.</w:t>
      </w:r>
    </w:p>
    <w:p>
      <w:pPr>
        <w:pStyle w:val="Heading4"/>
        <w:numPr>
          <w:ilvl w:val="3"/>
          <w:numId w:val="18"/>
        </w:numPr>
        <w:ind w:hanging="0" w:start="0"/>
        <w:rPr/>
      </w:pPr>
      <w:r>
        <w:rPr/>
        <w:t>Process Training: This is the most critical part of the learning path. The agents are trained on accounting foundations, process standard operating procedures, Systems, US GAAP etc.</w:t>
      </w:r>
    </w:p>
    <w:p>
      <w:pPr>
        <w:pStyle w:val="Heading4"/>
        <w:numPr>
          <w:ilvl w:val="3"/>
          <w:numId w:val="18"/>
        </w:numPr>
        <w:ind w:hanging="0" w:start="0"/>
        <w:rPr/>
      </w:pPr>
      <w:r>
        <w:rPr/>
        <w:t>Compliance Training: The compliance training includes important training sessions on controllership and Sarbanes Oxley.</w:t>
      </w:r>
    </w:p>
    <w:p>
      <w:pPr>
        <w:pStyle w:val="Heading4"/>
        <w:numPr>
          <w:ilvl w:val="3"/>
          <w:numId w:val="18"/>
        </w:numPr>
        <w:ind w:hanging="0" w:start="0"/>
        <w:rPr/>
      </w:pPr>
      <w:r>
        <w:rPr/>
        <w:t>Language/accent as well as cultural requirements specific to the customer: In addition to the accent neutralization training we ensure all employees undergo soft skills and etiquette training as well.</w:t>
      </w:r>
    </w:p>
    <w:p>
      <w:pPr>
        <w:pStyle w:val="Heading4"/>
        <w:numPr>
          <w:ilvl w:val="3"/>
          <w:numId w:val="18"/>
        </w:numPr>
        <w:ind w:hanging="0" w:start="0"/>
        <w:rPr/>
      </w:pPr>
      <w:r>
        <w:rPr/>
        <w:t>Developmental Training: Refresher training – audit and monitor the associates on the floor on an ongoing basis to ensure that existing employees maintain performance levels and constantly work towards improving their knowledge and skills through training needs identification (TNI). Inputs from TNI are used to plan refresher trainings. Advanced training – conduct up skill/ developmental training (certification programs, technology management skills and leadership skills) for all Service Provider’s employees on an ongoing basis.</w:t>
      </w:r>
    </w:p>
    <w:p>
      <w:pPr>
        <w:pStyle w:val="Heading3"/>
        <w:numPr>
          <w:ilvl w:val="2"/>
          <w:numId w:val="18"/>
        </w:numPr>
        <w:ind w:hanging="0" w:start="0"/>
        <w:rPr>
          <w:color w:val="000000"/>
          <w:kern w:val="2"/>
          <w:szCs w:val="22"/>
        </w:rPr>
      </w:pPr>
      <w:r>
        <w:rPr>
          <w:color w:val="000000"/>
          <w:kern w:val="2"/>
          <w:szCs w:val="22"/>
        </w:rPr>
        <w:t>Reward and provide incentives to Service Provider’s employees through a robust rewards and recognition program and other performance incentive programs for employees.</w:t>
      </w:r>
    </w:p>
    <w:p>
      <w:pPr>
        <w:pStyle w:val="Heading3"/>
        <w:numPr>
          <w:ilvl w:val="2"/>
          <w:numId w:val="18"/>
        </w:numPr>
        <w:ind w:hanging="0" w:start="0"/>
        <w:rPr>
          <w:kern w:val="2"/>
        </w:rPr>
      </w:pPr>
      <w:r>
        <w:rPr>
          <w:kern w:val="2"/>
        </w:rPr>
        <w:t>Link performance incentives to agreed service level metrics based on the monthly performance of an individual or a team.</w:t>
      </w:r>
    </w:p>
    <w:p>
      <w:pPr>
        <w:pStyle w:val="Heading3"/>
        <w:numPr>
          <w:ilvl w:val="2"/>
          <w:numId w:val="18"/>
        </w:numPr>
        <w:spacing w:before="240" w:after="240"/>
        <w:ind w:hanging="0" w:start="0"/>
        <w:rPr>
          <w:lang w:val="en-GB"/>
        </w:rPr>
      </w:pPr>
      <w:r>
        <w:rPr>
          <w:kern w:val="2"/>
        </w:rPr>
        <w:t>Reward outstanding contributions over a period of time including sustained performance in areas like end-user satisfaction, call quality, and compliance through non-monetary programs.</w:t>
      </w:r>
    </w:p>
    <w:sectPr>
      <w:headerReference w:type="default" r:id="rId2"/>
      <w:footerReference w:type="default" r:id="rId3"/>
      <w:type w:val="nextPage"/>
      <w:pgSz w:w="12240" w:h="15840"/>
      <w:pgMar w:left="862" w:right="862" w:gutter="0" w:header="720" w:top="2516" w:footer="329" w:bottom="1418"/>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Verdan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jc w:val="center"/>
      <w:rPr>
        <w:rFonts w:ascii="Arial" w:hAnsi="Arial" w:cs="Arial"/>
        <w:sz w:val="20"/>
        <w:szCs w:val="22"/>
      </w:rPr>
    </w:pPr>
    <w:r>
      <w:rPr>
        <w:rFonts w:cs="Arial" w:ascii="Arial" w:hAnsi="Arial"/>
        <w:sz w:val="20"/>
        <w:szCs w:val="22"/>
      </w:rPr>
      <w:t>GlobalPharma and ServicePro Confidential</w:t>
    </w:r>
  </w:p>
  <w:p>
    <w:pPr>
      <w:pStyle w:val="Footer"/>
      <w:spacing w:before="120" w:after="120"/>
      <w:jc w:val="center"/>
      <w:rPr>
        <w:rFonts w:ascii="Arial" w:hAnsi="Arial" w:cs="Arial"/>
        <w:sz w:val="20"/>
        <w:szCs w:val="22"/>
      </w:rPr>
    </w:pPr>
    <w:r>
      <w:rPr>
        <w:rFonts w:cs="Arial" w:ascii="Arial" w:hAnsi="Arial"/>
        <w:sz w:val="20"/>
        <w:szCs w:val="22"/>
      </w:rPr>
      <w:fldChar w:fldCharType="begin"/>
    </w:r>
    <w:r>
      <w:rPr>
        <w:sz w:val="20"/>
        <w:szCs w:val="22"/>
        <w:rFonts w:cs="Arial" w:ascii="Arial" w:hAnsi="Arial"/>
      </w:rPr>
      <w:instrText xml:space="preserve"> PAGE </w:instrText>
    </w:r>
    <w:r>
      <w:rPr>
        <w:sz w:val="20"/>
        <w:szCs w:val="22"/>
        <w:rFonts w:cs="Arial" w:ascii="Arial" w:hAnsi="Arial"/>
      </w:rPr>
      <w:fldChar w:fldCharType="separate"/>
    </w:r>
    <w:r>
      <w:rPr>
        <w:sz w:val="20"/>
        <w:szCs w:val="22"/>
        <w:rFonts w:cs="Arial" w:ascii="Arial" w:hAnsi="Arial"/>
      </w:rPr>
      <w:t>9</w:t>
    </w:r>
    <w:r>
      <w:rPr>
        <w:sz w:val="20"/>
        <w:szCs w:val="22"/>
        <w:rFonts w:cs="Arial" w:ascii="Arial" w:hAnsi="Arial"/>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120"/>
      <w:rPr/>
    </w:pPr>
    <w:r>
      <w:rPr/>
      <w:drawing>
        <wp:anchor behindDoc="1" distT="0" distB="0" distL="114935" distR="114935" simplePos="0" locked="0" layoutInCell="1" allowOverlap="1" relativeHeight="19">
          <wp:simplePos x="0" y="0"/>
          <wp:positionH relativeFrom="column">
            <wp:posOffset>7886700</wp:posOffset>
          </wp:positionH>
          <wp:positionV relativeFrom="paragraph">
            <wp:posOffset>45720</wp:posOffset>
          </wp:positionV>
          <wp:extent cx="1028700" cy="385445"/>
          <wp:effectExtent l="0" t="0" r="0" b="0"/>
          <wp:wrapNone/>
          <wp:docPr id="1"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title=""/>
                  <pic:cNvPicPr>
                    <a:picLocks noChangeAspect="1" noChangeArrowheads="1"/>
                  </pic:cNvPicPr>
                </pic:nvPicPr>
                <pic:blipFill>
                  <a:blip r:embed="rId1"/>
                  <a:srcRect l="-36" t="-93" r="-36" b="-93"/>
                  <a:stretch>
                    <a:fillRect/>
                  </a:stretch>
                </pic:blipFill>
                <pic:spPr bwMode="auto">
                  <a:xfrm>
                    <a:off x="0" y="0"/>
                    <a:ext cx="1028700" cy="385445"/>
                  </a:xfrm>
                  <a:prstGeom prst="rect">
                    <a:avLst/>
                  </a:prstGeom>
                  <a:noFill/>
                </pic:spPr>
              </pic:pic>
            </a:graphicData>
          </a:graphic>
        </wp:anchor>
      </w:drawing>
      <w:drawing>
        <wp:anchor behindDoc="1" distT="0" distB="0" distL="114935" distR="114935" simplePos="0" locked="0" layoutInCell="1" allowOverlap="1" relativeHeight="28">
          <wp:simplePos x="0" y="0"/>
          <wp:positionH relativeFrom="column">
            <wp:posOffset>5666740</wp:posOffset>
          </wp:positionH>
          <wp:positionV relativeFrom="paragraph">
            <wp:posOffset>-19050</wp:posOffset>
          </wp:positionV>
          <wp:extent cx="1028700" cy="385445"/>
          <wp:effectExtent l="0" t="0" r="0" b="0"/>
          <wp:wrapNone/>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2"/>
                  <a:srcRect l="-36" t="-93" r="-36" b="-93"/>
                  <a:stretch>
                    <a:fillRect/>
                  </a:stretch>
                </pic:blipFill>
                <pic:spPr bwMode="auto">
                  <a:xfrm>
                    <a:off x="0" y="0"/>
                    <a:ext cx="1028700" cy="385445"/>
                  </a:xfrm>
                  <a:prstGeom prst="rect">
                    <a:avLst/>
                  </a:prstGeom>
                  <a:noFill/>
                </pic:spPr>
              </pic:pic>
            </a:graphicData>
          </a:graphic>
        </wp:anchor>
      </w:drawing>
      <w:drawing>
        <wp:inline distT="0" distB="0" distL="0" distR="0">
          <wp:extent cx="1371600" cy="347980"/>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3"/>
                  <a:srcRect l="-24" t="-104" r="-24" b="-104"/>
                  <a:stretch>
                    <a:fillRect/>
                  </a:stretch>
                </pic:blipFill>
                <pic:spPr bwMode="auto">
                  <a:xfrm>
                    <a:off x="0" y="0"/>
                    <a:ext cx="1371600" cy="347980"/>
                  </a:xfrm>
                  <a:prstGeom prst="rect">
                    <a:avLst/>
                  </a:prstGeom>
                  <a:noFill/>
                </pic:spPr>
              </pic:pic>
            </a:graphicData>
          </a:graphic>
        </wp:inline>
      </w:drawing>
    </w:r>
  </w:p>
  <w:p>
    <w:pPr>
      <w:pStyle w:val="Header"/>
      <w:pBdr>
        <w:bottom w:val="single" w:sz="4" w:space="1" w:color="000000"/>
      </w:pBdr>
      <w:tabs>
        <w:tab w:val="clear" w:pos="14400"/>
        <w:tab w:val="right" w:pos="9360" w:leader="none"/>
        <w:tab w:val="right" w:pos="14760" w:leader="none"/>
      </w:tabs>
      <w:spacing w:before="120" w:after="120"/>
      <w:rPr/>
    </w:pPr>
    <w:r>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1440"/>
        </w:tabs>
        <w:ind w:start="1440" w:hanging="360"/>
      </w:pPr>
    </w:lvl>
  </w:abstractNum>
  <w:abstractNum w:abstractNumId="3">
    <w:lvl w:ilvl="0">
      <w:start w:val="1"/>
      <w:numFmt w:val="decimal"/>
      <w:lvlText w:val="%1."/>
      <w:lvlJc w:val="start"/>
      <w:pPr>
        <w:tabs>
          <w:tab w:val="num" w:pos="1080"/>
        </w:tabs>
        <w:ind w:start="1080" w:hanging="360"/>
      </w:pPr>
    </w:lvl>
  </w:abstractNum>
  <w:abstractNum w:abstractNumId="4">
    <w:lvl w:ilvl="0">
      <w:start w:val="1"/>
      <w:numFmt w:val="decimal"/>
      <w:lvlText w:val="%1."/>
      <w:lvlJc w:val="start"/>
      <w:pPr>
        <w:tabs>
          <w:tab w:val="num" w:pos="720"/>
        </w:tabs>
        <w:ind w:start="720" w:hanging="360"/>
      </w:pPr>
    </w:lvl>
  </w:abstractNum>
  <w:abstractNum w:abstractNumId="5">
    <w:lvl w:ilvl="0">
      <w:start w:val="1"/>
      <w:numFmt w:val="bullet"/>
      <w:lvlText w:val=""/>
      <w:lvlJc w:val="start"/>
      <w:pPr>
        <w:tabs>
          <w:tab w:val="num" w:pos="1440"/>
        </w:tabs>
        <w:ind w:start="1440" w:hanging="360"/>
      </w:pPr>
      <w:rPr>
        <w:rFonts w:ascii="Symbol" w:hAnsi="Symbol" w:cs="Symbol" w:hint="default"/>
      </w:rPr>
    </w:lvl>
  </w:abstractNum>
  <w:abstractNum w:abstractNumId="6">
    <w:lvl w:ilvl="0">
      <w:start w:val="1"/>
      <w:numFmt w:val="bullet"/>
      <w:lvlText w:val=""/>
      <w:lvlJc w:val="start"/>
      <w:pPr>
        <w:tabs>
          <w:tab w:val="num" w:pos="1080"/>
        </w:tabs>
        <w:ind w:start="1080" w:hanging="360"/>
      </w:pPr>
      <w:rPr>
        <w:rFonts w:ascii="Symbol" w:hAnsi="Symbol" w:cs="Symbol" w:hint="default"/>
      </w:rPr>
    </w:lvl>
  </w:abstractNum>
  <w:abstractNum w:abstractNumId="7">
    <w:lvl w:ilvl="0">
      <w:start w:val="1"/>
      <w:numFmt w:val="decimal"/>
      <w:lvlText w:val="%1."/>
      <w:lvlJc w:val="start"/>
      <w:pPr>
        <w:tabs>
          <w:tab w:val="num" w:pos="360"/>
        </w:tabs>
        <w:ind w:start="360" w:hanging="360"/>
      </w:pPr>
    </w:lvl>
  </w:abstractNum>
  <w:abstractNum w:abstractNumId="8">
    <w:lvl w:ilvl="0">
      <w:start w:val="1"/>
      <w:numFmt w:val="decimal"/>
      <w:lvlText w:val="%1.0"/>
      <w:lvlJc w:val="start"/>
      <w:pPr>
        <w:tabs>
          <w:tab w:val="num" w:pos="720"/>
        </w:tabs>
        <w:ind w:start="720" w:hanging="720"/>
      </w:pPr>
      <w:rPr>
        <w:sz w:val="28"/>
        <w:i w:val="false"/>
        <w:b/>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i w:val="false"/>
        <w:b/>
        <w:rFonts w:ascii="Times New Roman Bold;Times New Roman" w:hAnsi="Times New Roman Bold;Times New Roman" w:cs="Times New Roman Bold;Times New Roman"/>
      </w:rPr>
    </w:lvl>
    <w:lvl w:ilvl="2">
      <w:start w:val="1"/>
      <w:numFmt w:val="decimal"/>
      <w:lvlText w:val="%1.%2.%3"/>
      <w:lvlJc w:val="start"/>
      <w:pPr>
        <w:tabs>
          <w:tab w:val="num" w:pos="720"/>
        </w:tabs>
        <w:ind w:start="720" w:hanging="720"/>
      </w:pPr>
      <w:rPr>
        <w:sz w:val="24"/>
        <w:i w:val="false"/>
        <w:b/>
        <w:rFonts w:ascii="Times New Roman" w:hAnsi="Times New Roman" w:cs="Times New Roman"/>
      </w:rPr>
    </w:lvl>
    <w:lvl w:ilvl="3">
      <w:start w:val="1"/>
      <w:numFmt w:val="decimal"/>
      <w:lvlText w:val="%1.%2.%3.%4"/>
      <w:lvlJc w:val="start"/>
      <w:pPr>
        <w:tabs>
          <w:tab w:val="num" w:pos="720"/>
        </w:tabs>
        <w:ind w:start="720" w:hanging="720"/>
      </w:pPr>
      <w:rPr>
        <w:sz w:val="24"/>
        <w:i w:val="false"/>
        <w:b/>
        <w:rFonts w:ascii="Times New Roman" w:hAnsi="Times New Roman" w:cs="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9">
    <w:lvl w:ilvl="0">
      <w:start w:val="1"/>
      <w:numFmt w:val="decimal"/>
      <w:lvlText w:val="%1."/>
      <w:lvlJc w:val="start"/>
      <w:pPr>
        <w:tabs>
          <w:tab w:val="num" w:pos="720"/>
        </w:tabs>
        <w:ind w:start="720" w:hanging="504"/>
      </w:pPr>
      <w:rPr>
        <w:sz w:val="22"/>
        <w:i w:val="false"/>
        <w:b w:val="false"/>
        <w:rFonts w:ascii="Times New Roman" w:hAnsi="Times New Roman" w:cs="Times New Roman"/>
        <w:color w:val="000000"/>
      </w:rPr>
    </w:lvl>
    <w:lvl w:ilvl="1">
      <w:start w:val="1"/>
      <w:numFmt w:val="decimal"/>
      <w:lvlText w:val="%1.%2."/>
      <w:lvlJc w:val="start"/>
      <w:pPr>
        <w:tabs>
          <w:tab w:val="num" w:pos="720"/>
        </w:tabs>
        <w:ind w:start="720" w:hanging="504"/>
      </w:pPr>
      <w:rPr>
        <w:sz w:val="22"/>
        <w:i w:val="false"/>
        <w:b w:val="false"/>
        <w:rFonts w:ascii="Times New Roman" w:hAnsi="Times New Roman" w:cs="Times New Roman"/>
      </w:rPr>
    </w:lvl>
    <w:lvl w:ilvl="2">
      <w:start w:val="1"/>
      <w:numFmt w:val="decimal"/>
      <w:lvlText w:val="%1.%2.%3."/>
      <w:lvlJc w:val="start"/>
      <w:pPr>
        <w:tabs>
          <w:tab w:val="num" w:pos="1296"/>
        </w:tabs>
        <w:ind w:start="1296" w:hanging="1080"/>
      </w:pPr>
      <w:rPr>
        <w:sz w:val="22"/>
        <w:i w:val="false"/>
        <w:b w:val="false"/>
        <w:rFonts w:ascii="Times New Roman" w:hAnsi="Times New Roman" w:cs="Times New Roman"/>
      </w:rPr>
    </w:lvl>
    <w:lvl w:ilvl="3">
      <w:start w:val="1"/>
      <w:numFmt w:val="decimal"/>
      <w:lvlText w:val="%1.%2.%3.%4."/>
      <w:lvlJc w:val="start"/>
      <w:pPr>
        <w:tabs>
          <w:tab w:val="num" w:pos="1296"/>
        </w:tabs>
        <w:ind w:start="1296" w:hanging="1080"/>
      </w:pPr>
      <w:rPr>
        <w:sz w:val="22"/>
        <w:i w:val="false"/>
        <w:b w:val="false"/>
        <w:rFonts w:ascii="Times New Roman" w:hAnsi="Times New Roman" w:cs="Times New Roman"/>
      </w:rPr>
    </w:lvl>
    <w:lvl w:ilvl="4">
      <w:start w:val="1"/>
      <w:numFmt w:val="upperLetter"/>
      <w:lvlText w:val="%5."/>
      <w:lvlJc w:val="start"/>
      <w:pPr>
        <w:tabs>
          <w:tab w:val="num" w:pos="1296"/>
        </w:tabs>
        <w:ind w:start="1296" w:hanging="576"/>
      </w:pPr>
      <w:rPr/>
    </w:lvl>
    <w:lvl w:ilvl="5">
      <w:start w:val="1"/>
      <w:numFmt w:val="decimal"/>
      <w:lvlText w:val="%6."/>
      <w:lvlJc w:val="start"/>
      <w:pPr>
        <w:tabs>
          <w:tab w:val="num" w:pos="1296"/>
        </w:tabs>
        <w:ind w:start="1296" w:hanging="576"/>
      </w:pPr>
      <w:rPr/>
    </w:lvl>
    <w:lvl w:ilvl="6">
      <w:start w:val="1"/>
      <w:numFmt w:val="lowerLetter"/>
      <w:lvlText w:val="%7."/>
      <w:lvlJc w:val="start"/>
      <w:pPr>
        <w:tabs>
          <w:tab w:val="num" w:pos="1728"/>
        </w:tabs>
        <w:ind w:start="1728" w:hanging="432"/>
      </w:pPr>
      <w:rPr/>
    </w:lvl>
    <w:lvl w:ilvl="7">
      <w:start w:val="1"/>
      <w:numFmt w:val="lowerRoman"/>
      <w:lvlText w:val="%8.)"/>
      <w:lvlJc w:val="start"/>
      <w:pPr>
        <w:tabs>
          <w:tab w:val="num" w:pos="1728"/>
        </w:tabs>
        <w:ind w:start="1728" w:hanging="432"/>
      </w:pPr>
      <w:rPr/>
    </w:lvl>
    <w:lvl w:ilvl="8">
      <w:start w:val="1"/>
      <w:numFmt w:val="none"/>
      <w:suff w:val="nothing"/>
      <w:lvlText w:val=""/>
      <w:lvlJc w:val="start"/>
      <w:pPr>
        <w:tabs>
          <w:tab w:val="num" w:pos="360"/>
        </w:tabs>
        <w:ind w:start="0" w:hanging="0"/>
      </w:pPr>
      <w:rPr/>
    </w:lvl>
  </w:abstractNum>
  <w:abstractNum w:abstractNumId="10">
    <w:lvl w:ilvl="0">
      <w:start w:val="1"/>
      <w:numFmt w:val="bullet"/>
      <w:lvlText w:val=""/>
      <w:lvlJc w:val="start"/>
      <w:pPr>
        <w:tabs>
          <w:tab w:val="num" w:pos="1800"/>
        </w:tabs>
        <w:ind w:start="1800" w:hanging="360"/>
      </w:pPr>
      <w:rPr>
        <w:rFonts w:ascii="Symbol" w:hAnsi="Symbol" w:cs="Symbol" w:hint="default"/>
      </w:rPr>
    </w:lvl>
  </w:abstractNum>
  <w:abstractNum w:abstractNumId="11">
    <w:lvl w:ilvl="0">
      <w:start w:val="1"/>
      <w:numFmt w:val="decimal"/>
      <w:lvlText w:val="%1."/>
      <w:lvlJc w:val="start"/>
      <w:pPr>
        <w:tabs>
          <w:tab w:val="num" w:pos="1627"/>
        </w:tabs>
        <w:ind w:start="1627" w:hanging="547"/>
      </w:pPr>
      <w:rPr>
        <w:sz w:val="22"/>
        <w:i w:val="false"/>
        <w:b w:val="false"/>
        <w:rFonts w:ascii="Times New Roman" w:hAnsi="Times New Roman" w:cs="Times New Roman"/>
        <w:color w:val="000000"/>
      </w:rPr>
    </w:lvl>
    <w:lvl w:ilvl="1">
      <w:start w:val="1"/>
      <w:numFmt w:val="decimal"/>
      <w:lvlText w:val="%1.%2."/>
      <w:lvlJc w:val="start"/>
      <w:pPr>
        <w:tabs>
          <w:tab w:val="num" w:pos="2160"/>
        </w:tabs>
        <w:ind w:start="2160" w:hanging="893"/>
      </w:pPr>
      <w:rPr>
        <w:sz w:val="22"/>
        <w:i w:val="false"/>
        <w:b w:val="false"/>
        <w:rFonts w:ascii="Times New Roman" w:hAnsi="Times New Roman" w:cs="Times New Roman"/>
      </w:rPr>
    </w:lvl>
    <w:lvl w:ilvl="2">
      <w:start w:val="1"/>
      <w:numFmt w:val="decimal"/>
      <w:lvlText w:val="%1.%2.%3."/>
      <w:lvlJc w:val="start"/>
      <w:pPr>
        <w:tabs>
          <w:tab w:val="num" w:pos="2707"/>
        </w:tabs>
        <w:ind w:start="2707" w:hanging="1080"/>
      </w:pPr>
      <w:rPr>
        <w:sz w:val="22"/>
        <w:i w:val="false"/>
        <w:b w:val="false"/>
        <w:rFonts w:ascii="Times New Roman" w:hAnsi="Times New Roman" w:cs="Times New Roman"/>
      </w:rPr>
    </w:lvl>
    <w:lvl w:ilvl="3">
      <w:start w:val="1"/>
      <w:numFmt w:val="decimal"/>
      <w:lvlText w:val="%1.%2.%3.%4"/>
      <w:lvlJc w:val="start"/>
      <w:pPr>
        <w:tabs>
          <w:tab w:val="num" w:pos="3240"/>
        </w:tabs>
        <w:ind w:start="3240" w:hanging="1613"/>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12">
    <w:lvl w:ilvl="0">
      <w:start w:val="1"/>
      <w:numFmt w:val="bullet"/>
      <w:lvlText w:val=""/>
      <w:lvlJc w:val="start"/>
      <w:pPr>
        <w:tabs>
          <w:tab w:val="num" w:pos="1800"/>
        </w:tabs>
        <w:ind w:start="1800" w:hanging="360"/>
      </w:pPr>
      <w:rPr>
        <w:rFonts w:ascii="Symbol" w:hAnsi="Symbol" w:cs="Symbol" w:hint="default"/>
      </w:rPr>
    </w:lvl>
  </w:abstractNum>
  <w:abstractNum w:abstractNumId="13">
    <w:lvl w:ilvl="0">
      <w:start w:val="1"/>
      <w:numFmt w:val="bullet"/>
      <w:lvlText w:val=""/>
      <w:lvlJc w:val="start"/>
      <w:pPr>
        <w:tabs>
          <w:tab w:val="num" w:pos="1080"/>
        </w:tabs>
        <w:ind w:start="1080" w:hanging="360"/>
      </w:pPr>
      <w:rPr>
        <w:rFonts w:ascii="Symbol" w:hAnsi="Symbol" w:cs="Symbol" w:hint="default"/>
      </w:rPr>
    </w:lvl>
  </w:abstractNum>
  <w:abstractNum w:abstractNumId="14">
    <w:lvl w:ilvl="0">
      <w:start w:val="1"/>
      <w:numFmt w:val="decimal"/>
      <w:lvlText w:val="%1.0"/>
      <w:lvlJc w:val="start"/>
      <w:pPr>
        <w:tabs>
          <w:tab w:val="num" w:pos="720"/>
        </w:tabs>
        <w:ind w:start="720" w:hanging="720"/>
      </w:pPr>
      <w:rPr>
        <w:sz w:val="28"/>
        <w:i w:val="false"/>
        <w:b/>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4"/>
        <w:i w:val="false"/>
        <w:b/>
        <w:rFonts w:ascii="Times New Roman Bold;Times New Roman" w:hAnsi="Times New Roman Bold;Times New Roman" w:cs="Times New Roman Bold;Times New Roman"/>
        <w:lang w:val="en-US"/>
      </w:rPr>
    </w:lvl>
    <w:lvl w:ilvl="2">
      <w:start w:val="1"/>
      <w:numFmt w:val="decimal"/>
      <w:lvlText w:val="%1.%2.%3"/>
      <w:lvlJc w:val="start"/>
      <w:pPr>
        <w:tabs>
          <w:tab w:val="num" w:pos="1080"/>
        </w:tabs>
        <w:ind w:start="1080" w:hanging="1080"/>
      </w:pPr>
      <w:rPr>
        <w:sz w:val="24"/>
        <w:i w:val="false"/>
        <w:b/>
        <w:rFonts w:ascii="Times New Roman" w:hAnsi="Times New Roman" w:cs="Times New Roman"/>
      </w:rPr>
    </w:lvl>
    <w:lvl w:ilvl="3">
      <w:start w:val="1"/>
      <w:numFmt w:val="decimal"/>
      <w:lvlText w:val="%1.%2.%3.%4"/>
      <w:lvlJc w:val="start"/>
      <w:pPr>
        <w:tabs>
          <w:tab w:val="num" w:pos="1296"/>
        </w:tabs>
        <w:ind w:start="1296" w:hanging="1296"/>
      </w:pPr>
      <w:rPr>
        <w:sz w:val="24"/>
        <w:i w:val="false"/>
        <w:b/>
        <w:rFonts w:ascii="Times New Roman" w:hAnsi="Times New Roman" w:cs="Times New Roman"/>
      </w:rPr>
    </w:lvl>
    <w:lvl w:ilvl="4">
      <w:start w:val="1"/>
      <w:numFmt w:val="decimal"/>
      <w:lvlText w:val="%1.%2.%3.%4.%5"/>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15">
    <w:lvl w:ilvl="0">
      <w:start w:val="1"/>
      <w:numFmt w:val="bullet"/>
      <w:lvlText w:val=""/>
      <w:lvlJc w:val="start"/>
      <w:pPr>
        <w:tabs>
          <w:tab w:val="num" w:pos="2707"/>
        </w:tabs>
        <w:ind w:start="2707" w:hanging="547"/>
      </w:pPr>
      <w:rPr>
        <w:rFonts w:ascii="Symbol" w:hAnsi="Symbol" w:cs="Symbol" w:hint="default"/>
      </w:rPr>
    </w:lvl>
  </w:abstractNum>
  <w:abstractNum w:abstractNumId="16">
    <w:lvl w:ilvl="0">
      <w:start w:val="1"/>
      <w:numFmt w:val="decimal"/>
      <w:lvlText w:val="%1.0"/>
      <w:lvlJc w:val="start"/>
      <w:pPr>
        <w:tabs>
          <w:tab w:val="num" w:pos="720"/>
        </w:tabs>
        <w:ind w:start="720" w:hanging="720"/>
      </w:pPr>
      <w:rPr>
        <w:sz w:val="28"/>
        <w:i w:val="false"/>
        <w:b/>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i w:val="false"/>
        <w:b/>
        <w:rFonts w:ascii="Times New Roman Bold;Times New Roman" w:hAnsi="Times New Roman Bold;Times New Roman" w:cs="Times New Roman Bold;Times New Roman"/>
      </w:rPr>
    </w:lvl>
    <w:lvl w:ilvl="2">
      <w:start w:val="1"/>
      <w:numFmt w:val="decimal"/>
      <w:lvlText w:val="%1.%2.%3"/>
      <w:lvlJc w:val="start"/>
      <w:pPr>
        <w:tabs>
          <w:tab w:val="num" w:pos="1080"/>
        </w:tabs>
        <w:ind w:start="1080" w:hanging="1080"/>
      </w:pPr>
      <w:rPr>
        <w:sz w:val="24"/>
        <w:i w:val="false"/>
        <w:b/>
        <w:rFonts w:ascii="Times New Roman" w:hAnsi="Times New Roman" w:cs="Times New Roman"/>
      </w:rPr>
    </w:lvl>
    <w:lvl w:ilvl="3">
      <w:start w:val="1"/>
      <w:numFmt w:val="decimal"/>
      <w:lvlText w:val="%1.%2.%3.%4"/>
      <w:lvlJc w:val="start"/>
      <w:pPr>
        <w:tabs>
          <w:tab w:val="num" w:pos="1296"/>
        </w:tabs>
        <w:ind w:start="1296" w:hanging="1296"/>
      </w:pPr>
      <w:rPr>
        <w:sz w:val="24"/>
        <w:i w:val="false"/>
        <w:b/>
        <w:rFonts w:ascii="Times New Roman" w:hAnsi="Times New Roman" w:cs="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17">
    <w:lvl w:ilvl="0">
      <w:start w:val="1"/>
      <w:numFmt w:val="bullet"/>
      <w:lvlText w:val=""/>
      <w:lvlJc w:val="start"/>
      <w:pPr>
        <w:tabs>
          <w:tab w:val="num" w:pos="720"/>
        </w:tabs>
        <w:ind w:start="720" w:hanging="360"/>
      </w:pPr>
      <w:rPr>
        <w:rFonts w:ascii="Symbol" w:hAnsi="Symbol" w:cs="Symbol" w:hint="default"/>
      </w:rPr>
    </w:lvl>
  </w:abstractNum>
  <w:abstractNum w:abstractNumId="18">
    <w:lvl w:ilvl="0">
      <w:start w:val="1"/>
      <w:numFmt w:val="decimal"/>
      <w:lvlText w:val="%1."/>
      <w:lvlJc w:val="start"/>
      <w:pPr>
        <w:tabs>
          <w:tab w:val="num" w:pos="504"/>
        </w:tabs>
        <w:ind w:start="504" w:hanging="504"/>
      </w:pPr>
      <w:rPr>
        <w:sz w:val="24"/>
        <w:i w:val="false"/>
        <w:b/>
        <w:rFonts w:ascii="Times New Roman Bold;Times New Roman" w:hAnsi="Times New Roman Bold;Times New Roman" w:cs="Times New Roman"/>
        <w:color w:val="000000"/>
      </w:rPr>
    </w:lvl>
    <w:lvl w:ilvl="1">
      <w:start w:val="1"/>
      <w:numFmt w:val="decimal"/>
      <w:lvlText w:val="%1.%2."/>
      <w:lvlJc w:val="start"/>
      <w:pPr>
        <w:tabs>
          <w:tab w:val="num" w:pos="1224"/>
        </w:tabs>
        <w:ind w:start="1224" w:hanging="504"/>
      </w:pPr>
      <w:rPr>
        <w:sz w:val="24"/>
        <w:i w:val="false"/>
        <w:b/>
        <w:rFonts w:ascii="Times New Roman Bold;Times New Roman" w:hAnsi="Times New Roman Bold;Times New Roman" w:cs="Times New Roman"/>
      </w:rPr>
    </w:lvl>
    <w:lvl w:ilvl="2">
      <w:start w:val="1"/>
      <w:numFmt w:val="decimal"/>
      <w:lvlText w:val="%1.%2.%3."/>
      <w:lvlJc w:val="start"/>
      <w:pPr>
        <w:tabs>
          <w:tab w:val="num" w:pos="1440"/>
        </w:tabs>
        <w:ind w:start="1440" w:hanging="1080"/>
      </w:pPr>
      <w:rPr>
        <w:sz w:val="22"/>
        <w:i w:val="false"/>
        <w:b w:val="false"/>
        <w:rFonts w:ascii="Times New Roman" w:hAnsi="Times New Roman" w:cs="Times New Roman"/>
        <w:lang w:val="en-US"/>
      </w:rPr>
    </w:lvl>
    <w:lvl w:ilvl="3">
      <w:start w:val="1"/>
      <w:numFmt w:val="decimal"/>
      <w:lvlText w:val="%1.%2.%3.%4."/>
      <w:lvlJc w:val="start"/>
      <w:pPr>
        <w:tabs>
          <w:tab w:val="num" w:pos="1620"/>
        </w:tabs>
        <w:ind w:start="1620" w:hanging="1080"/>
      </w:pPr>
      <w:rPr>
        <w:sz w:val="22"/>
        <w:i/>
        <w:b w:val="false"/>
        <w:rFonts w:ascii="Times New Roman" w:hAnsi="Times New Roman" w:cs="Times New Roman"/>
      </w:rPr>
    </w:lvl>
    <w:lvl w:ilvl="4">
      <w:start w:val="1"/>
      <w:numFmt w:val="upperLetter"/>
      <w:lvlText w:val="%5."/>
      <w:lvlJc w:val="start"/>
      <w:pPr>
        <w:tabs>
          <w:tab w:val="num" w:pos="1080"/>
        </w:tabs>
        <w:ind w:start="1080" w:hanging="576"/>
      </w:pPr>
      <w:rPr/>
    </w:lvl>
    <w:lvl w:ilvl="5">
      <w:start w:val="1"/>
      <w:numFmt w:val="decimal"/>
      <w:lvlText w:val="%6."/>
      <w:lvlJc w:val="start"/>
      <w:pPr>
        <w:tabs>
          <w:tab w:val="num" w:pos="1080"/>
        </w:tabs>
        <w:ind w:start="1080" w:hanging="576"/>
      </w:pPr>
      <w:rPr/>
    </w:lvl>
    <w:lvl w:ilvl="6">
      <w:start w:val="1"/>
      <w:numFmt w:val="lowerLetter"/>
      <w:lvlText w:val="%7."/>
      <w:lvlJc w:val="start"/>
      <w:pPr>
        <w:tabs>
          <w:tab w:val="num" w:pos="1512"/>
        </w:tabs>
        <w:ind w:start="1512" w:hanging="432"/>
      </w:pPr>
      <w:rPr/>
    </w:lvl>
    <w:lvl w:ilvl="7">
      <w:start w:val="1"/>
      <w:numFmt w:val="lowerRoman"/>
      <w:lvlText w:val="%8.)"/>
      <w:lvlJc w:val="start"/>
      <w:pPr>
        <w:tabs>
          <w:tab w:val="num" w:pos="1512"/>
        </w:tabs>
        <w:ind w:start="1512" w:hanging="432"/>
      </w:pPr>
      <w:rPr/>
    </w:lvl>
    <w:lvl w:ilvl="8">
      <w:start w:val="1"/>
      <w:numFmt w:val="none"/>
      <w:suff w:val="nothing"/>
      <w:lvlText w:val=""/>
      <w:lvlJc w:val="start"/>
      <w:pPr>
        <w:tabs>
          <w:tab w:val="num" w:pos="144"/>
        </w:tabs>
        <w:ind w:start="216" w:hanging="0"/>
      </w:pPr>
      <w:rPr/>
    </w:lvl>
  </w:abstractNum>
  <w:abstractNum w:abstractNumId="19">
    <w:lvl w:ilvl="0">
      <w:start w:val="1"/>
      <w:numFmt w:val="bullet"/>
      <w:lvlText w:val=""/>
      <w:lvlJc w:val="start"/>
      <w:pPr>
        <w:tabs>
          <w:tab w:val="num" w:pos="1440"/>
        </w:tabs>
        <w:ind w:start="1440" w:hanging="360"/>
      </w:pPr>
      <w:rPr>
        <w:rFonts w:ascii="Symbol" w:hAnsi="Symbol" w:cs="Symbol" w:hint="default"/>
      </w:rPr>
    </w:lvl>
  </w:abstractNum>
  <w:abstractNum w:abstractNumId="20">
    <w:lvl w:ilvl="0">
      <w:start w:val="1"/>
      <w:numFmt w:val="bullet"/>
      <w:lvlText w:val=""/>
      <w:lvlJc w:val="start"/>
      <w:pPr>
        <w:tabs>
          <w:tab w:val="num" w:pos="1627"/>
        </w:tabs>
        <w:ind w:start="1627" w:hanging="547"/>
      </w:pPr>
      <w:rPr>
        <w:rFonts w:ascii="Symbol" w:hAnsi="Symbol" w:cs="Symbol" w:hint="default"/>
      </w:rPr>
    </w:lvl>
  </w:abstractNum>
  <w:abstractNum w:abstractNumId="21">
    <w:lvl w:ilvl="0">
      <w:start w:val="1"/>
      <w:numFmt w:val="bullet"/>
      <w:lvlText w:val=""/>
      <w:lvlJc w:val="start"/>
      <w:pPr>
        <w:tabs>
          <w:tab w:val="num" w:pos="2160"/>
        </w:tabs>
        <w:ind w:start="2160" w:hanging="533"/>
      </w:pPr>
      <w:rPr>
        <w:rFonts w:ascii="Symbol" w:hAnsi="Symbol" w:cs="Symbol" w:hint="default"/>
      </w:rPr>
    </w:lvl>
  </w:abstractNum>
  <w:abstractNum w:abstractNumId="22">
    <w:lvl w:ilvl="0">
      <w:start w:val="1"/>
      <w:isLgl/>
      <w:numFmt w:val="decimal"/>
      <w:lvlText w:val="%1.0"/>
      <w:lvlJc w:val="start"/>
      <w:pPr>
        <w:tabs>
          <w:tab w:val="num" w:pos="0"/>
        </w:tabs>
        <w:ind w:start="0" w:hanging="0"/>
      </w:pPr>
      <w:rPr>
        <w:sz w:val="28"/>
        <w:i w:val="false"/>
        <w:b/>
        <w:szCs w:val="28"/>
        <w:rFonts w:ascii="Times New Roman Bold;Times New Roman" w:hAnsi="Times New Roman Bold;Times New Roman" w:cs="Times New Roman Bold;Times New Roman"/>
        <w:color w:val="000000"/>
      </w:rPr>
    </w:lvl>
    <w:lvl w:ilvl="1">
      <w:start w:val="1"/>
      <w:numFmt w:val="decimal"/>
      <w:lvlText w:val="%1.%2."/>
      <w:lvlJc w:val="start"/>
      <w:pPr>
        <w:tabs>
          <w:tab w:val="num" w:pos="288"/>
        </w:tabs>
        <w:ind w:start="288" w:hanging="619"/>
      </w:pPr>
      <w:rPr>
        <w:sz w:val="22"/>
        <w:i w:val="false"/>
        <w:b w:val="false"/>
        <w:rFonts w:ascii="Times New Roman" w:hAnsi="Times New Roman" w:cs="Times New Roman"/>
      </w:rPr>
    </w:lvl>
    <w:lvl w:ilvl="2">
      <w:start w:val="1"/>
      <w:numFmt w:val="decimal"/>
      <w:lvlText w:val="%1.%2.%3."/>
      <w:lvlJc w:val="start"/>
      <w:pPr>
        <w:tabs>
          <w:tab w:val="num" w:pos="576"/>
        </w:tabs>
        <w:ind w:start="576" w:hanging="878"/>
      </w:pPr>
      <w:rPr>
        <w:sz w:val="22"/>
        <w:i w:val="false"/>
        <w:b w:val="false"/>
        <w:rFonts w:ascii="Times New Roman" w:hAnsi="Times New Roman" w:cs="Times New Roman"/>
      </w:rPr>
    </w:lvl>
    <w:lvl w:ilvl="3">
      <w:start w:val="1"/>
      <w:numFmt w:val="decimal"/>
      <w:lvlText w:val="%1.%2.%3.%4."/>
      <w:lvlJc w:val="start"/>
      <w:pPr>
        <w:tabs>
          <w:tab w:val="num" w:pos="720"/>
        </w:tabs>
        <w:ind w:start="720" w:hanging="994"/>
      </w:pPr>
      <w:rPr>
        <w:sz w:val="22"/>
        <w:i w:val="false"/>
        <w:b w:val="false"/>
        <w:rFonts w:ascii="Times New Roman" w:hAnsi="Times New Roman" w:cs="Times New Roman"/>
      </w:rPr>
    </w:lvl>
    <w:lvl w:ilvl="4">
      <w:start w:val="1"/>
      <w:numFmt w:val="none"/>
      <w:suff w:val="nothing"/>
      <w:lvlText w:val=""/>
      <w:lvlJc w:val="start"/>
      <w:pPr>
        <w:ind w:start="720" w:hanging="0"/>
      </w:pPr>
      <w:rPr/>
    </w:lvl>
    <w:lvl w:ilvl="5">
      <w:start w:val="1"/>
      <w:numFmt w:val="none"/>
      <w:suff w:val="nothing"/>
      <w:lvlText w:val=""/>
      <w:lvlJc w:val="start"/>
      <w:pPr>
        <w:ind w:start="720" w:hanging="0"/>
      </w:pPr>
      <w:rPr/>
    </w:lvl>
    <w:lvl w:ilvl="6">
      <w:start w:val="1"/>
      <w:numFmt w:val="none"/>
      <w:suff w:val="nothing"/>
      <w:lvlText w:val=""/>
      <w:lvlJc w:val="start"/>
      <w:pPr>
        <w:ind w:start="720" w:hanging="0"/>
      </w:pPr>
      <w:rPr/>
    </w:lvl>
    <w:lvl w:ilvl="7">
      <w:start w:val="1"/>
      <w:numFmt w:val="none"/>
      <w:suff w:val="nothing"/>
      <w:lvlText w:val=""/>
      <w:lvlJc w:val="start"/>
      <w:pPr>
        <w:ind w:start="720" w:hanging="0"/>
      </w:pPr>
      <w:rPr/>
    </w:lvl>
    <w:lvl w:ilvl="8">
      <w:start w:val="1"/>
      <w:numFmt w:val="none"/>
      <w:suff w:val="nothing"/>
      <w:lvlText w:val=""/>
      <w:lvlJc w:val="start"/>
      <w:pPr>
        <w:ind w:start="720" w:hanging="0"/>
      </w:pPr>
      <w:rPr/>
    </w:lvl>
  </w:abstractNum>
  <w:abstractNum w:abstractNumId="23">
    <w:lvl w:ilvl="0">
      <w:start w:val="1"/>
      <w:numFmt w:val="decimal"/>
      <w:lvlText w:val="%1."/>
      <w:lvlJc w:val="start"/>
      <w:pPr>
        <w:tabs>
          <w:tab w:val="num" w:pos="720"/>
        </w:tabs>
        <w:ind w:start="720" w:hanging="360"/>
      </w:pPr>
      <w:rPr>
        <w:sz w:val="22"/>
        <w:i w:val="false"/>
        <w:b w:val="false"/>
        <w:rFonts w:ascii="Times New Roman" w:hAnsi="Times New Roman" w:cs="Times New Roman"/>
        <w:color w:val="000000"/>
      </w:rPr>
    </w:lvl>
    <w:lvl w:ilvl="1">
      <w:start w:val="1"/>
      <w:numFmt w:val="decimal"/>
      <w:lvlText w:val="4.%2"/>
      <w:lvlJc w:val="start"/>
      <w:pPr>
        <w:tabs>
          <w:tab w:val="num" w:pos="1008"/>
        </w:tabs>
        <w:ind w:start="1008" w:hanging="619"/>
      </w:pPr>
      <w:rPr>
        <w:sz w:val="28"/>
        <w:i w:val="false"/>
        <w:b/>
        <w:szCs w:val="28"/>
        <w:rFonts w:ascii="Times New Roman Bold;Times New Roman" w:hAnsi="Times New Roman Bold;Times New Roman" w:cs="Times New Roman Bold;Times New Roman"/>
      </w:rPr>
    </w:lvl>
    <w:lvl w:ilvl="2">
      <w:start w:val="1"/>
      <w:numFmt w:val="decimal"/>
      <w:lvlText w:val="%1.%2.%3."/>
      <w:lvlJc w:val="start"/>
      <w:pPr>
        <w:tabs>
          <w:tab w:val="num" w:pos="1296"/>
        </w:tabs>
        <w:ind w:start="1296" w:hanging="878"/>
      </w:pPr>
      <w:rPr>
        <w:sz w:val="22"/>
        <w:i w:val="false"/>
        <w:b w:val="false"/>
        <w:rFonts w:ascii="Times New Roman" w:hAnsi="Times New Roman" w:cs="Times New Roman"/>
      </w:rPr>
    </w:lvl>
    <w:lvl w:ilvl="3">
      <w:start w:val="1"/>
      <w:numFmt w:val="decimal"/>
      <w:lvlText w:val="%1.%2.%3.%4."/>
      <w:lvlJc w:val="start"/>
      <w:pPr>
        <w:tabs>
          <w:tab w:val="num" w:pos="1440"/>
        </w:tabs>
        <w:ind w:start="1440" w:hanging="994"/>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24">
    <w:lvl w:ilvl="0">
      <w:start w:val="1"/>
      <w:numFmt w:val="bullet"/>
      <w:lvlText w:val=""/>
      <w:lvlJc w:val="start"/>
      <w:pPr>
        <w:tabs>
          <w:tab w:val="num" w:pos="3240"/>
        </w:tabs>
        <w:ind w:start="3240" w:hanging="53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w="http://schemas.openxmlformats.org/wordprocessingml/2006/main">
  <w:zoom w:val="bestFit" w:percent="2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TableText"/>
    <w:qFormat/>
    <w:pPr>
      <w:keepNext w:val="true"/>
      <w:keepLines/>
      <w:numPr>
        <w:ilvl w:val="0"/>
        <w:numId w:val="18"/>
      </w:numPr>
      <w:spacing w:before="48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TableText"/>
    <w:qFormat/>
    <w:pPr>
      <w:keepNext w:val="false"/>
      <w:numPr>
        <w:ilvl w:val="0"/>
        <w:numId w:val="18"/>
      </w:numPr>
      <w:tabs>
        <w:tab w:val="clear" w:pos="720"/>
        <w:tab w:val="left" w:pos="1134" w:leader="none"/>
      </w:tabs>
      <w:outlineLvl w:val="1"/>
    </w:pPr>
    <w:rPr>
      <w:bCs w:val="false"/>
      <w:iCs/>
      <w:caps w:val="false"/>
      <w:smallCaps w:val="false"/>
      <w:sz w:val="24"/>
      <w:szCs w:val="28"/>
    </w:rPr>
  </w:style>
  <w:style w:type="paragraph" w:styleId="Heading3">
    <w:name w:val="heading 3"/>
    <w:basedOn w:val="Heading2"/>
    <w:next w:val="TableText"/>
    <w:qFormat/>
    <w:pPr>
      <w:keepLines w:val="false"/>
      <w:numPr>
        <w:ilvl w:val="0"/>
        <w:numId w:val="18"/>
      </w:numPr>
      <w:spacing w:before="240" w:after="240"/>
      <w:outlineLvl w:val="2"/>
    </w:pPr>
    <w:rPr>
      <w:rFonts w:ascii="Times New Roman" w:hAnsi="Times New Roman" w:cs="Times New Roman"/>
      <w:b w:val="false"/>
      <w:bCs/>
      <w:szCs w:val="26"/>
    </w:rPr>
  </w:style>
  <w:style w:type="paragraph" w:styleId="Heading4">
    <w:name w:val="heading 4"/>
    <w:basedOn w:val="Heading3"/>
    <w:next w:val="TableText"/>
    <w:qFormat/>
    <w:pPr>
      <w:numPr>
        <w:ilvl w:val="0"/>
        <w:numId w:val="18"/>
      </w:numPr>
      <w:spacing w:before="120" w:after="0"/>
      <w:outlineLvl w:val="3"/>
    </w:pPr>
    <w:rPr>
      <w:bCs w:val="false"/>
      <w:i/>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Cs w:val="22"/>
    </w:rPr>
  </w:style>
  <w:style w:type="paragraph" w:styleId="Heading7">
    <w:name w:val="heading 7"/>
    <w:basedOn w:val="Normal"/>
    <w:next w:val="Normal"/>
    <w:qFormat/>
    <w:pPr>
      <w:numPr>
        <w:ilvl w:val="6"/>
        <w:numId w:val="1"/>
      </w:numPr>
      <w:spacing w:before="240" w:after="60"/>
      <w:outlineLvl w:val="6"/>
    </w:pPr>
    <w:rPr>
      <w:sz w:val="24"/>
    </w:rPr>
  </w:style>
  <w:style w:type="paragraph" w:styleId="Heading8">
    <w:name w:val="heading 8"/>
    <w:basedOn w:val="Normal"/>
    <w:next w:val="Normal"/>
    <w:qFormat/>
    <w:pPr>
      <w:numPr>
        <w:ilvl w:val="7"/>
        <w:numId w:val="1"/>
      </w:numPr>
      <w:spacing w:before="240" w:after="60"/>
      <w:outlineLvl w:val="7"/>
    </w:pPr>
    <w:rPr>
      <w:i/>
      <w:iCs/>
      <w:sz w:val="24"/>
    </w:rPr>
  </w:style>
  <w:style w:type="paragraph" w:styleId="Heading9">
    <w:name w:val="heading 9"/>
    <w:basedOn w:val="Normal"/>
    <w:next w:val="Normal"/>
    <w:qFormat/>
    <w:pPr>
      <w:numPr>
        <w:ilvl w:val="8"/>
        <w:numId w:val="1"/>
      </w:numPr>
      <w:spacing w:before="240" w:after="60"/>
      <w:outlineLvl w:val="8"/>
    </w:pPr>
    <w:rPr>
      <w:rFonts w:ascii="Arial" w:hAnsi="Arial" w:cs="Arial"/>
      <w:szCs w:val="22"/>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7z0">
    <w:name w:val="WW8Num7z0"/>
    <w:qFormat/>
    <w:rPr>
      <w:rFonts w:ascii="Times New Roman Bold;Times New Roman" w:hAnsi="Times New Roman Bold;Times New Roman" w:cs="Times New Roman Bold;Times New Roman"/>
      <w:b/>
      <w:i w:val="false"/>
      <w:sz w:val="28"/>
    </w:rPr>
  </w:style>
  <w:style w:type="character" w:styleId="WW8Num7z2">
    <w:name w:val="WW8Num7z2"/>
    <w:qFormat/>
    <w:rPr>
      <w:rFonts w:ascii="Times New Roman" w:hAnsi="Times New Roman" w:cs="Times New Roman"/>
      <w:b/>
      <w:i w:val="false"/>
      <w:sz w:val="24"/>
    </w:rPr>
  </w:style>
  <w:style w:type="character" w:styleId="WW8Num7z4">
    <w:name w:val="WW8Num7z4"/>
    <w:qFormat/>
    <w:rPr>
      <w:rFonts w:ascii="Times New Roman" w:hAnsi="Times New Roman" w:cs="Times New Roman"/>
      <w:b w:val="false"/>
      <w:i w:val="false"/>
      <w:sz w:val="22"/>
    </w:rPr>
  </w:style>
  <w:style w:type="character" w:styleId="WW8Num7z8">
    <w:name w:val="WW8Num7z8"/>
    <w:qFormat/>
    <w:rPr/>
  </w:style>
  <w:style w:type="character" w:styleId="WW8Num8z0">
    <w:name w:val="WW8Num8z0"/>
    <w:qFormat/>
    <w:rPr>
      <w:rFonts w:ascii="Times New Roman" w:hAnsi="Times New Roman" w:cs="Times New Roman"/>
      <w:b w:val="false"/>
      <w:i w:val="false"/>
      <w:color w:val="000000"/>
      <w:sz w:val="22"/>
    </w:rPr>
  </w:style>
  <w:style w:type="character" w:styleId="WW8Num8z1">
    <w:name w:val="WW8Num8z1"/>
    <w:qFormat/>
    <w:rPr>
      <w:rFonts w:ascii="Times New Roman" w:hAnsi="Times New Roman" w:cs="Times New Roman"/>
      <w:b w:val="false"/>
      <w:i w:val="false"/>
      <w:sz w:val="22"/>
    </w:rPr>
  </w:style>
  <w:style w:type="character" w:styleId="WW8Num8z4">
    <w:name w:val="WW8Num8z4"/>
    <w:qFormat/>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Times New Roman" w:hAnsi="Times New Roman" w:cs="Times New Roman"/>
      <w:b w:val="false"/>
      <w:i w:val="false"/>
      <w:color w:val="000000"/>
      <w:sz w:val="22"/>
    </w:rPr>
  </w:style>
  <w:style w:type="character" w:styleId="WW8Num10z1">
    <w:name w:val="WW8Num10z1"/>
    <w:qFormat/>
    <w:rPr>
      <w:rFonts w:ascii="Times New Roman" w:hAnsi="Times New Roman" w:cs="Times New Roman"/>
      <w:b w:val="false"/>
      <w:i w:val="false"/>
      <w:sz w:val="22"/>
    </w:rPr>
  </w:style>
  <w:style w:type="character" w:styleId="WW8Num10z4">
    <w:name w:val="WW8Num10z4"/>
    <w:qFormat/>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style>
  <w:style w:type="character" w:styleId="WW8Num12z1">
    <w:name w:val="WW8Num12z1"/>
    <w:qFormat/>
    <w:rPr>
      <w:sz w:val="18"/>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Times New Roman Bold;Times New Roman" w:hAnsi="Times New Roman Bold;Times New Roman" w:cs="Times New Roman Bold;Times New Roman"/>
      <w:b/>
      <w:i w:val="false"/>
      <w:sz w:val="28"/>
    </w:rPr>
  </w:style>
  <w:style w:type="character" w:styleId="WW8Num14z1">
    <w:name w:val="WW8Num14z1"/>
    <w:qFormat/>
    <w:rPr>
      <w:rFonts w:ascii="Times New Roman Bold;Times New Roman" w:hAnsi="Times New Roman Bold;Times New Roman" w:cs="Times New Roman Bold;Times New Roman"/>
      <w:b/>
      <w:i w:val="false"/>
      <w:sz w:val="24"/>
      <w:lang w:val="en-US"/>
    </w:rPr>
  </w:style>
  <w:style w:type="character" w:styleId="WW8Num14z2">
    <w:name w:val="WW8Num14z2"/>
    <w:qFormat/>
    <w:rPr>
      <w:rFonts w:ascii="Times New Roman" w:hAnsi="Times New Roman" w:cs="Times New Roman"/>
      <w:b/>
      <w:i w:val="false"/>
      <w:sz w:val="24"/>
    </w:rPr>
  </w:style>
  <w:style w:type="character" w:styleId="WW8Num14z4">
    <w:name w:val="WW8Num14z4"/>
    <w:qFormat/>
    <w:rPr>
      <w:rFonts w:ascii="Times New Roman Bold;Times New Roman" w:hAnsi="Times New Roman Bold;Times New Roman" w:cs="Times New Roman Bold;Times New Roman"/>
      <w:b/>
      <w:i w:val="false"/>
      <w:sz w:val="22"/>
      <w:szCs w:val="22"/>
    </w:rPr>
  </w:style>
  <w:style w:type="character" w:styleId="WW8Num14z5">
    <w:name w:val="WW8Num14z5"/>
    <w:qFormat/>
    <w:rPr>
      <w:rFonts w:ascii="Times New Roman" w:hAnsi="Times New Roman" w:cs="Times New Roman"/>
      <w:b w:val="false"/>
      <w:i w:val="false"/>
      <w:sz w:val="22"/>
    </w:rPr>
  </w:style>
  <w:style w:type="character" w:styleId="WW8Num14z8">
    <w:name w:val="WW8Num14z8"/>
    <w:qFormat/>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Times New Roman Bold;Times New Roman" w:hAnsi="Times New Roman Bold;Times New Roman" w:cs="Times New Roman Bold;Times New Roman"/>
      <w:b/>
      <w:i w:val="false"/>
      <w:sz w:val="28"/>
    </w:rPr>
  </w:style>
  <w:style w:type="character" w:styleId="WW8Num16z2">
    <w:name w:val="WW8Num16z2"/>
    <w:qFormat/>
    <w:rPr>
      <w:rFonts w:ascii="Times New Roman" w:hAnsi="Times New Roman" w:cs="Times New Roman"/>
      <w:b/>
      <w:i w:val="false"/>
      <w:sz w:val="24"/>
    </w:rPr>
  </w:style>
  <w:style w:type="character" w:styleId="WW8Num16z4">
    <w:name w:val="WW8Num16z4"/>
    <w:qFormat/>
    <w:rPr>
      <w:rFonts w:ascii="Times New Roman" w:hAnsi="Times New Roman" w:cs="Times New Roman"/>
      <w:b w:val="false"/>
      <w:i w:val="false"/>
      <w:sz w:val="22"/>
    </w:rPr>
  </w:style>
  <w:style w:type="character" w:styleId="WW8Num16z8">
    <w:name w:val="WW8Num16z8"/>
    <w:qFormat/>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Times New Roman Bold;Times New Roman" w:hAnsi="Times New Roman Bold;Times New Roman" w:cs="Times New Roman"/>
      <w:b/>
      <w:i w:val="false"/>
      <w:color w:val="000000"/>
      <w:sz w:val="24"/>
    </w:rPr>
  </w:style>
  <w:style w:type="character" w:styleId="WW8Num18z1">
    <w:name w:val="WW8Num18z1"/>
    <w:qFormat/>
    <w:rPr>
      <w:rFonts w:ascii="Times New Roman Bold;Times New Roman" w:hAnsi="Times New Roman Bold;Times New Roman" w:cs="Times New Roman"/>
      <w:b/>
      <w:i w:val="false"/>
      <w:sz w:val="24"/>
    </w:rPr>
  </w:style>
  <w:style w:type="character" w:styleId="WW8Num18z2">
    <w:name w:val="WW8Num18z2"/>
    <w:qFormat/>
    <w:rPr>
      <w:rFonts w:ascii="Times New Roman" w:hAnsi="Times New Roman" w:cs="Times New Roman"/>
      <w:b w:val="false"/>
      <w:i w:val="false"/>
      <w:sz w:val="22"/>
      <w:lang w:val="en-US"/>
    </w:rPr>
  </w:style>
  <w:style w:type="character" w:styleId="WW8Num18z3">
    <w:name w:val="WW8Num18z3"/>
    <w:qFormat/>
    <w:rPr>
      <w:rFonts w:ascii="Times New Roman" w:hAnsi="Times New Roman" w:cs="Times New Roman"/>
      <w:b w:val="false"/>
      <w:i/>
      <w:sz w:val="22"/>
    </w:rPr>
  </w:style>
  <w:style w:type="character" w:styleId="WW8Num18z4">
    <w:name w:val="WW8Num18z4"/>
    <w:qFormat/>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sz w:val="18"/>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Times New Roman Bold;Times New Roman" w:hAnsi="Times New Roman Bold;Times New Roman" w:cs="Times New Roman Bold;Times New Roman"/>
      <w:b/>
      <w:i w:val="false"/>
      <w:color w:val="000000"/>
      <w:sz w:val="28"/>
      <w:szCs w:val="28"/>
    </w:rPr>
  </w:style>
  <w:style w:type="character" w:styleId="WW8Num23z1">
    <w:name w:val="WW8Num23z1"/>
    <w:qFormat/>
    <w:rPr>
      <w:rFonts w:ascii="Times New Roman" w:hAnsi="Times New Roman" w:cs="Times New Roman"/>
      <w:b w:val="false"/>
      <w:i w:val="false"/>
      <w:sz w:val="22"/>
    </w:rPr>
  </w:style>
  <w:style w:type="character" w:styleId="WW8Num23z4">
    <w:name w:val="WW8Num23z4"/>
    <w:qFormat/>
    <w:rPr/>
  </w:style>
  <w:style w:type="character" w:styleId="WW8Num24z0">
    <w:name w:val="WW8Num24z0"/>
    <w:qFormat/>
    <w:rPr/>
  </w:style>
  <w:style w:type="character" w:styleId="WW8Num24z1">
    <w:name w:val="WW8Num24z1"/>
    <w:qFormat/>
    <w:rPr>
      <w:sz w:val="18"/>
    </w:rPr>
  </w:style>
  <w:style w:type="character" w:styleId="WW8Num26z0">
    <w:name w:val="WW8Num26z0"/>
    <w:qFormat/>
    <w:rPr>
      <w:rFonts w:ascii="Times New Roman" w:hAnsi="Times New Roman" w:cs="Times New Roman"/>
      <w:b w:val="false"/>
      <w:i w:val="false"/>
      <w:color w:val="000000"/>
      <w:sz w:val="22"/>
    </w:rPr>
  </w:style>
  <w:style w:type="character" w:styleId="WW8Num26z1">
    <w:name w:val="WW8Num26z1"/>
    <w:qFormat/>
    <w:rPr>
      <w:rFonts w:ascii="Times New Roman Bold;Times New Roman" w:hAnsi="Times New Roman Bold;Times New Roman" w:cs="Times New Roman Bold;Times New Roman"/>
      <w:b/>
      <w:i w:val="false"/>
      <w:sz w:val="28"/>
      <w:szCs w:val="28"/>
    </w:rPr>
  </w:style>
  <w:style w:type="character" w:styleId="WW8Num26z2">
    <w:name w:val="WW8Num26z2"/>
    <w:qFormat/>
    <w:rPr>
      <w:rFonts w:ascii="Times New Roman" w:hAnsi="Times New Roman" w:cs="Times New Roman"/>
      <w:b w:val="false"/>
      <w:i w:val="false"/>
      <w:sz w:val="22"/>
    </w:rPr>
  </w:style>
  <w:style w:type="character" w:styleId="WW8Num26z4">
    <w:name w:val="WW8Num26z4"/>
    <w:qFormat/>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Absatz-Standardschriftart">
    <w:name w:val="Absatz-Standardschriftart"/>
    <w:qFormat/>
    <w:rPr/>
  </w:style>
  <w:style w:type="character" w:styleId="Hyperlink">
    <w:name w:val="Hyperlink"/>
    <w:basedOn w:val="Absatz-Standardschriftart"/>
    <w:rPr>
      <w:color w:val="0000FF"/>
      <w:u w:val="single"/>
    </w:rPr>
  </w:style>
  <w:style w:type="character" w:styleId="Char3">
    <w:name w:val=" Char3"/>
    <w:basedOn w:val="Absatz-Standardschriftart"/>
    <w:qFormat/>
    <w:rPr>
      <w:rFonts w:ascii="Times New Roman Bold;Times New Roman" w:hAnsi="Times New Roman Bold;Times New Roman" w:cs="Arial"/>
      <w:b/>
      <w:bCs/>
      <w:caps/>
      <w:kern w:val="2"/>
      <w:sz w:val="28"/>
      <w:szCs w:val="32"/>
      <w:lang w:val="en-US" w:bidi="ar-SA"/>
    </w:rPr>
  </w:style>
  <w:style w:type="character" w:styleId="Char2">
    <w:name w:val=" Char2"/>
    <w:basedOn w:val="Char3"/>
    <w:qFormat/>
    <w:rPr>
      <w:iCs/>
      <w:sz w:val="24"/>
      <w:szCs w:val="28"/>
    </w:rPr>
  </w:style>
  <w:style w:type="character" w:styleId="TableTextCharCharChar">
    <w:name w:val="Table Text Char Char Char"/>
    <w:basedOn w:val="Absatz-Standardschriftart"/>
    <w:qFormat/>
    <w:rPr>
      <w:sz w:val="22"/>
      <w:szCs w:val="24"/>
      <w:lang w:val="en-US" w:bidi="ar-SA"/>
    </w:rPr>
  </w:style>
  <w:style w:type="character" w:styleId="PageNumber">
    <w:name w:val="page number"/>
    <w:basedOn w:val="Absatz-Standardschriftart"/>
    <w:rPr/>
  </w:style>
  <w:style w:type="character" w:styleId="strikeout">
    <w:name w:val="strikeout"/>
    <w:basedOn w:val="Absatz-Standardschriftart"/>
    <w:qFormat/>
    <w:rPr>
      <w:strike w:val="false"/>
      <w:dstrike w:val="false"/>
      <w:color w:val="FF0000"/>
    </w:rPr>
  </w:style>
  <w:style w:type="character" w:styleId="Revised-NewChar">
    <w:name w:val="Revised - New Char"/>
    <w:basedOn w:val="Absatz-Standardschriftart"/>
    <w:qFormat/>
    <w:rPr>
      <w:rFonts w:ascii="Arial" w:hAnsi="Arial" w:cs="Arial"/>
      <w:b/>
      <w:color w:val="333399"/>
      <w:sz w:val="22"/>
      <w:szCs w:val="22"/>
      <w:lang w:val="en-US" w:bidi="ar-SA"/>
    </w:rPr>
  </w:style>
  <w:style w:type="character" w:styleId="TableTextChar">
    <w:name w:val="Table Text Char"/>
    <w:basedOn w:val="Absatz-Standardschriftart"/>
    <w:qFormat/>
    <w:rPr>
      <w:sz w:val="22"/>
      <w:szCs w:val="24"/>
      <w:lang w:val="en-US" w:bidi="ar-SA"/>
    </w:rPr>
  </w:style>
  <w:style w:type="character" w:styleId="Char1">
    <w:name w:val=" Char1"/>
    <w:basedOn w:val="Char2"/>
    <w:qFormat/>
    <w:rPr>
      <w:bCs/>
      <w:szCs w:val="26"/>
    </w:rPr>
  </w:style>
  <w:style w:type="character" w:styleId="CharChar1">
    <w:name w:val=" Char Char1"/>
    <w:basedOn w:val="Absatz-Standardschriftart"/>
    <w:qFormat/>
    <w:rPr>
      <w:rFonts w:ascii="Times New Roman Bold;Times New Roman" w:hAnsi="Times New Roman Bold;Times New Roman" w:cs="Arial"/>
      <w:b/>
      <w:bCs/>
      <w:caps/>
      <w:kern w:val="2"/>
      <w:sz w:val="28"/>
      <w:szCs w:val="32"/>
      <w:lang w:val="en-US" w:bidi="ar-SA"/>
    </w:rPr>
  </w:style>
  <w:style w:type="character" w:styleId="CharChar">
    <w:name w:val=" Char Char"/>
    <w:basedOn w:val="CharChar1"/>
    <w:qFormat/>
    <w:rPr>
      <w:iCs/>
      <w:szCs w:val="28"/>
    </w:rPr>
  </w:style>
  <w:style w:type="character" w:styleId="Kommentarzeichen">
    <w:name w:val="Kommentarzeichen"/>
    <w:basedOn w:val="Absatz-Standardschriftart"/>
    <w:qFormat/>
    <w:rPr>
      <w:sz w:val="16"/>
      <w:szCs w:val="16"/>
    </w:rPr>
  </w:style>
  <w:style w:type="character" w:styleId="IndexLink">
    <w:name w:val="Index Link"/>
    <w:qFormat/>
    <w:rPr/>
  </w:style>
  <w:style w:type="paragraph" w:styleId="Heading">
    <w:name w:val="Heading"/>
    <w:basedOn w:val="Normal"/>
    <w:next w:val="Normal"/>
    <w:qFormat/>
    <w:pPr>
      <w:spacing w:before="240" w:after="240"/>
      <w:jc w:val="center"/>
      <w:outlineLvl w:val="0"/>
    </w:pPr>
    <w:rPr>
      <w:rFonts w:cs="Arial"/>
      <w:b/>
      <w:bCs/>
      <w:caps/>
      <w:kern w:val="2"/>
      <w:sz w:val="32"/>
      <w:szCs w:val="32"/>
    </w:rPr>
  </w:style>
  <w:style w:type="paragraph" w:styleId="BodyText">
    <w:name w:val="Body Text"/>
    <w:basedOn w:val="Normal"/>
    <w:pPr>
      <w:spacing w:before="180" w:after="18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680" w:leader="none"/>
        <w:tab w:val="center" w:pos="7200" w:leader="none"/>
        <w:tab w:val="right" w:pos="14400" w:leader="none"/>
      </w:tabs>
    </w:pPr>
    <w:rPr>
      <w:i/>
      <w:sz w:val="18"/>
    </w:rPr>
  </w:style>
  <w:style w:type="paragraph" w:styleId="Header">
    <w:name w:val="header"/>
    <w:basedOn w:val="Normal"/>
    <w:pPr>
      <w:tabs>
        <w:tab w:val="clear" w:pos="720"/>
        <w:tab w:val="right" w:pos="9360" w:leader="none"/>
        <w:tab w:val="right" w:pos="14400" w:leader="none"/>
      </w:tabs>
    </w:pPr>
    <w:rPr>
      <w:i/>
      <w:sz w:val="18"/>
    </w:rPr>
  </w:style>
  <w:style w:type="paragraph" w:styleId="Heading1Numbered">
    <w:name w:val="Heading 1 Numbered"/>
    <w:basedOn w:val="Normal"/>
    <w:qFormat/>
    <w:pPr>
      <w:numPr>
        <w:ilvl w:val="0"/>
        <w:numId w:val="8"/>
      </w:numPr>
      <w:spacing w:before="480" w:after="240"/>
    </w:pPr>
    <w:rPr>
      <w:rFonts w:ascii="Times New Roman Bold;Times New Roman" w:hAnsi="Times New Roman Bold;Times New Roman" w:cs="Times New Roman Bold;Times New Roman"/>
      <w:b/>
      <w:caps/>
      <w:sz w:val="2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OC1">
    <w:name w:val="toc 1"/>
    <w:basedOn w:val="Normal"/>
    <w:next w:val="Normal"/>
    <w:pPr/>
    <w:rPr>
      <w:b/>
      <w:bCs/>
      <w:caps/>
      <w:sz w:val="20"/>
      <w:szCs w:val="20"/>
    </w:rPr>
  </w:style>
  <w:style w:type="paragraph" w:styleId="TOC2">
    <w:name w:val="toc 2"/>
    <w:basedOn w:val="Normal"/>
    <w:next w:val="Normal"/>
    <w:pPr>
      <w:spacing w:before="0" w:after="0"/>
      <w:ind w:hanging="0" w:start="220" w:end="0"/>
    </w:pPr>
    <w:rPr>
      <w:smallCaps/>
      <w:sz w:val="20"/>
      <w:szCs w:val="20"/>
    </w:rPr>
  </w:style>
  <w:style w:type="paragraph" w:styleId="TOC3">
    <w:name w:val="toc 3"/>
    <w:basedOn w:val="Normal"/>
    <w:next w:val="Normal"/>
    <w:pPr>
      <w:spacing w:before="0" w:after="0"/>
      <w:ind w:hanging="0" w:start="440" w:end="0"/>
    </w:pPr>
    <w:rPr>
      <w:i/>
      <w:iCs/>
      <w:sz w:val="20"/>
      <w:szCs w:val="20"/>
    </w:rPr>
  </w:style>
  <w:style w:type="paragraph" w:styleId="TOC4">
    <w:name w:val="toc 4"/>
    <w:basedOn w:val="Normal"/>
    <w:next w:val="Normal"/>
    <w:pPr>
      <w:spacing w:before="0" w:after="0"/>
      <w:ind w:hanging="0" w:start="660" w:end="0"/>
    </w:pPr>
    <w:rPr>
      <w:sz w:val="18"/>
      <w:szCs w:val="18"/>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OC5">
    <w:name w:val="toc 5"/>
    <w:basedOn w:val="Normal"/>
    <w:next w:val="Normal"/>
    <w:pPr>
      <w:spacing w:before="0" w:after="0"/>
      <w:ind w:hanging="0" w:start="880" w:end="0"/>
    </w:pPr>
    <w:rPr>
      <w:sz w:val="18"/>
      <w:szCs w:val="18"/>
    </w:rPr>
  </w:style>
  <w:style w:type="paragraph" w:styleId="TOC6">
    <w:name w:val="toc 6"/>
    <w:basedOn w:val="Normal"/>
    <w:next w:val="Normal"/>
    <w:pPr>
      <w:spacing w:before="0" w:after="0"/>
      <w:ind w:hanging="0" w:start="1100" w:end="0"/>
    </w:pPr>
    <w:rPr>
      <w:sz w:val="18"/>
      <w:szCs w:val="18"/>
    </w:rPr>
  </w:style>
  <w:style w:type="paragraph" w:styleId="TOC7">
    <w:name w:val="toc 7"/>
    <w:basedOn w:val="Normal"/>
    <w:next w:val="Normal"/>
    <w:pPr>
      <w:spacing w:before="0" w:after="0"/>
      <w:ind w:hanging="0" w:start="1320" w:end="0"/>
    </w:pPr>
    <w:rPr>
      <w:sz w:val="18"/>
      <w:szCs w:val="18"/>
    </w:rPr>
  </w:style>
  <w:style w:type="paragraph" w:styleId="TOC8">
    <w:name w:val="toc 8"/>
    <w:basedOn w:val="Normal"/>
    <w:next w:val="Normal"/>
    <w:pPr>
      <w:spacing w:before="0" w:after="0"/>
      <w:ind w:hanging="0" w:start="1540" w:end="0"/>
    </w:pPr>
    <w:rPr>
      <w:sz w:val="18"/>
      <w:szCs w:val="18"/>
    </w:rPr>
  </w:style>
  <w:style w:type="paragraph" w:styleId="TOC9">
    <w:name w:val="toc 9"/>
    <w:basedOn w:val="Normal"/>
    <w:next w:val="Normal"/>
    <w:pPr>
      <w:spacing w:before="0" w:after="0"/>
      <w:ind w:hanging="0" w:start="1760" w:end="0"/>
    </w:pPr>
    <w:rPr>
      <w:sz w:val="18"/>
      <w:szCs w:val="18"/>
    </w:rPr>
  </w:style>
  <w:style w:type="paragraph" w:styleId="Bullet1BodyText">
    <w:name w:val="Bullet 1 Body Text"/>
    <w:basedOn w:val="Normal"/>
    <w:qFormat/>
    <w:pPr>
      <w:numPr>
        <w:ilvl w:val="0"/>
        <w:numId w:val="10"/>
      </w:numPr>
      <w:spacing w:before="240" w:after="240"/>
    </w:pPr>
    <w:rPr/>
  </w:style>
  <w:style w:type="paragraph" w:styleId="TableLevel1Numbered">
    <w:name w:val="Table Level 1 Numbered"/>
    <w:basedOn w:val="Normal"/>
    <w:qFormat/>
    <w:pPr>
      <w:numPr>
        <w:ilvl w:val="0"/>
        <w:numId w:val="9"/>
      </w:numPr>
    </w:pPr>
    <w:rPr/>
  </w:style>
  <w:style w:type="paragraph" w:styleId="TableTextBullet">
    <w:name w:val="Table Text Bullet"/>
    <w:basedOn w:val="Normal"/>
    <w:qFormat/>
    <w:pPr>
      <w:numPr>
        <w:ilvl w:val="0"/>
        <w:numId w:val="17"/>
      </w:numPr>
    </w:pPr>
    <w:rPr/>
  </w:style>
  <w:style w:type="paragraph" w:styleId="Bullet1Table">
    <w:name w:val="Bullet 1 Table"/>
    <w:basedOn w:val="TableTextBullet"/>
    <w:next w:val="TableTextBullet"/>
    <w:qFormat/>
    <w:pPr/>
    <w:rPr/>
  </w:style>
  <w:style w:type="paragraph" w:styleId="Heading2Numbered">
    <w:name w:val="Heading 2 Numbered"/>
    <w:basedOn w:val="Normal"/>
    <w:qFormat/>
    <w:pPr>
      <w:numPr>
        <w:ilvl w:val="0"/>
        <w:numId w:val="8"/>
      </w:numPr>
      <w:spacing w:before="240" w:after="240"/>
    </w:pPr>
    <w:rPr>
      <w:rFonts w:ascii="Times New Roman Bold;Times New Roman" w:hAnsi="Times New Roman Bold;Times New Roman" w:cs="Times New Roman Bold;Times New Roman"/>
      <w:b/>
      <w:sz w:val="28"/>
    </w:rPr>
  </w:style>
  <w:style w:type="paragraph" w:styleId="Heading3Numbered">
    <w:name w:val="Heading 3 Numbered"/>
    <w:basedOn w:val="Normal"/>
    <w:qFormat/>
    <w:pPr>
      <w:numPr>
        <w:ilvl w:val="0"/>
        <w:numId w:val="8"/>
      </w:numPr>
      <w:spacing w:before="240" w:after="240"/>
    </w:pPr>
    <w:rPr>
      <w:rFonts w:ascii="Times New Roman Bold;Times New Roman" w:hAnsi="Times New Roman Bold;Times New Roman" w:cs="Times New Roman Bold;Times New Roman"/>
      <w:b/>
      <w:sz w:val="24"/>
    </w:rPr>
  </w:style>
  <w:style w:type="paragraph" w:styleId="Heading4Numbered">
    <w:name w:val="Heading 4 Numbered"/>
    <w:basedOn w:val="Normal"/>
    <w:qFormat/>
    <w:pPr>
      <w:numPr>
        <w:ilvl w:val="0"/>
        <w:numId w:val="8"/>
      </w:numPr>
      <w:spacing w:before="240" w:after="240"/>
    </w:pPr>
    <w:rPr>
      <w:rFonts w:ascii="Times New Roman Bold;Times New Roman" w:hAnsi="Times New Roman Bold;Times New Roman" w:cs="Times New Roman Bold;Times New Roman"/>
      <w:b/>
      <w:sz w:val="24"/>
    </w:rPr>
  </w:style>
  <w:style w:type="paragraph" w:styleId="TableText">
    <w:name w:val="Table Text"/>
    <w:basedOn w:val="Normal"/>
    <w:qFormat/>
    <w:pPr/>
    <w:rPr/>
  </w:style>
  <w:style w:type="paragraph" w:styleId="TableLevel2Numbered">
    <w:name w:val="Table Level 2 Numbered"/>
    <w:basedOn w:val="Normal"/>
    <w:qFormat/>
    <w:pPr>
      <w:numPr>
        <w:ilvl w:val="0"/>
        <w:numId w:val="9"/>
      </w:numPr>
    </w:pPr>
    <w:rPr/>
  </w:style>
  <w:style w:type="paragraph" w:styleId="TableLevel3Numbered">
    <w:name w:val="Table Level 3 Numbered"/>
    <w:basedOn w:val="Normal"/>
    <w:qFormat/>
    <w:pPr>
      <w:numPr>
        <w:ilvl w:val="0"/>
        <w:numId w:val="9"/>
      </w:numPr>
    </w:pPr>
    <w:rPr/>
  </w:style>
  <w:style w:type="paragraph" w:styleId="TableLevel4Numbered">
    <w:name w:val="Table Level 4 Numbered"/>
    <w:basedOn w:val="Normal"/>
    <w:qFormat/>
    <w:pPr>
      <w:numPr>
        <w:ilvl w:val="0"/>
        <w:numId w:val="9"/>
      </w:numPr>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numPr>
        <w:ilvl w:val="0"/>
        <w:numId w:val="11"/>
      </w:numPr>
      <w:spacing w:before="180" w:after="180"/>
    </w:pPr>
    <w:rPr/>
  </w:style>
  <w:style w:type="paragraph" w:styleId="BodyLevel2Numbered">
    <w:name w:val="Body Level 2 Numbered"/>
    <w:basedOn w:val="Normal"/>
    <w:qFormat/>
    <w:pPr>
      <w:numPr>
        <w:ilvl w:val="0"/>
        <w:numId w:val="11"/>
      </w:numPr>
      <w:spacing w:before="180" w:after="180"/>
    </w:pPr>
    <w:rPr/>
  </w:style>
  <w:style w:type="paragraph" w:styleId="BodyLevel3Numbered">
    <w:name w:val="Body Level 3 Numbered"/>
    <w:basedOn w:val="Normal"/>
    <w:qFormat/>
    <w:pPr>
      <w:numPr>
        <w:ilvl w:val="0"/>
        <w:numId w:val="11"/>
      </w:numPr>
      <w:spacing w:before="180" w:after="180"/>
    </w:pPr>
    <w:rPr/>
  </w:style>
  <w:style w:type="paragraph" w:styleId="BodyLevel4Numbered">
    <w:name w:val="Body Level 4 Numbered"/>
    <w:basedOn w:val="Normal"/>
    <w:qFormat/>
    <w:pPr>
      <w:numPr>
        <w:ilvl w:val="0"/>
        <w:numId w:val="11"/>
      </w:numPr>
      <w:spacing w:before="180" w:after="180"/>
    </w:pPr>
    <w:rPr/>
  </w:style>
  <w:style w:type="paragraph" w:styleId="BodyLevel1Text">
    <w:name w:val="Body Level 1 Text"/>
    <w:basedOn w:val="BodyText"/>
    <w:qFormat/>
    <w:pPr>
      <w:ind w:hanging="0" w:start="1620" w:end="0"/>
    </w:pPr>
    <w:rPr/>
  </w:style>
  <w:style w:type="paragraph" w:styleId="BodyLevel2Text">
    <w:name w:val="Body Level 2 Text"/>
    <w:basedOn w:val="BodyText"/>
    <w:qFormat/>
    <w:pPr>
      <w:ind w:hanging="0" w:start="2160" w:end="0"/>
    </w:pPr>
    <w:rPr/>
  </w:style>
  <w:style w:type="paragraph" w:styleId="BodyLevel3Text">
    <w:name w:val="Body Level 3 Text"/>
    <w:basedOn w:val="BodyText"/>
    <w:qFormat/>
    <w:pPr>
      <w:ind w:hanging="0" w:start="2700" w:end="0"/>
    </w:pPr>
    <w:rPr/>
  </w:style>
  <w:style w:type="paragraph" w:styleId="BodyLevel4Text">
    <w:name w:val="Body Level 4 Text"/>
    <w:basedOn w:val="BodyText"/>
    <w:qFormat/>
    <w:pPr>
      <w:ind w:hanging="0" w:start="3240" w:end="0"/>
    </w:pPr>
    <w:rPr/>
  </w:style>
  <w:style w:type="paragraph" w:styleId="Bullet1Level1">
    <w:name w:val="Bullet 1 Level 1"/>
    <w:basedOn w:val="Normal"/>
    <w:qFormat/>
    <w:pPr>
      <w:numPr>
        <w:ilvl w:val="0"/>
        <w:numId w:val="13"/>
      </w:numPr>
    </w:pPr>
    <w:rPr/>
  </w:style>
  <w:style w:type="paragraph" w:styleId="Level1Numbered">
    <w:name w:val="Level 1 Numbered"/>
    <w:basedOn w:val="Normal"/>
    <w:qFormat/>
    <w:pPr>
      <w:numPr>
        <w:ilvl w:val="0"/>
        <w:numId w:val="23"/>
      </w:numPr>
    </w:pPr>
    <w:rPr>
      <w:bCs/>
    </w:rPr>
  </w:style>
  <w:style w:type="paragraph" w:styleId="Sprechblasentext">
    <w:name w:val="Sprechblasentext"/>
    <w:basedOn w:val="Normal"/>
    <w:qFormat/>
    <w:pPr/>
    <w:rPr>
      <w:rFonts w:ascii="Tahoma" w:hAnsi="Tahoma" w:cs="Tahoma"/>
      <w:sz w:val="16"/>
      <w:szCs w:val="16"/>
    </w:rPr>
  </w:style>
  <w:style w:type="paragraph" w:styleId="TableTextCharChar">
    <w:name w:val="Table Text Char Char"/>
    <w:basedOn w:val="Normal"/>
    <w:qFormat/>
    <w:pPr/>
    <w:rPr/>
  </w:style>
  <w:style w:type="paragraph" w:styleId="StyleHeading1NumberedJustified">
    <w:name w:val="Style Heading 1 Numbered + Justified"/>
    <w:basedOn w:val="Normal"/>
    <w:qFormat/>
    <w:pPr>
      <w:keepNext w:val="true"/>
      <w:keepLines/>
      <w:spacing w:before="480" w:after="240"/>
      <w:jc w:val="both"/>
    </w:pPr>
    <w:rPr>
      <w:rFonts w:ascii="Times New Roman Bold;Times New Roman" w:hAnsi="Times New Roman Bold;Times New Roman" w:cs="Times New Roman Bold;Times New Roman"/>
      <w:b/>
      <w:bCs/>
      <w:caps/>
      <w:sz w:val="28"/>
      <w:szCs w:val="20"/>
    </w:rPr>
  </w:style>
  <w:style w:type="paragraph" w:styleId="FootnoteText">
    <w:name w:val="footnote text"/>
    <w:basedOn w:val="Normal"/>
    <w:pPr>
      <w:keepLines/>
      <w:spacing w:before="0" w:after="240"/>
      <w:jc w:val="both"/>
    </w:pPr>
    <w:rPr>
      <w:sz w:val="20"/>
      <w:szCs w:val="20"/>
    </w:rPr>
  </w:style>
  <w:style w:type="paragraph" w:styleId="BodyTextBullet">
    <w:name w:val="Body Text Bullet"/>
    <w:basedOn w:val="Normal"/>
    <w:qFormat/>
    <w:pPr>
      <w:numPr>
        <w:ilvl w:val="0"/>
        <w:numId w:val="20"/>
      </w:numPr>
      <w:tabs>
        <w:tab w:val="clear" w:pos="720"/>
        <w:tab w:val="left" w:pos="1440" w:leader="none"/>
      </w:tabs>
      <w:ind w:hanging="360" w:start="1440" w:end="0"/>
    </w:pPr>
    <w:rPr/>
  </w:style>
  <w:style w:type="paragraph" w:styleId="BodyTextBulletL1">
    <w:name w:val="Body Text Bullet L1"/>
    <w:basedOn w:val="Normal"/>
    <w:qFormat/>
    <w:pPr>
      <w:numPr>
        <w:ilvl w:val="0"/>
        <w:numId w:val="21"/>
      </w:numPr>
      <w:ind w:hanging="360" w:start="0" w:end="0"/>
    </w:pPr>
    <w:rPr/>
  </w:style>
  <w:style w:type="paragraph" w:styleId="BodyTextBulletL2">
    <w:name w:val="Body Text Bullet L2"/>
    <w:basedOn w:val="Normal"/>
    <w:qFormat/>
    <w:pPr>
      <w:numPr>
        <w:ilvl w:val="0"/>
        <w:numId w:val="15"/>
      </w:numPr>
      <w:ind w:hanging="367" w:start="0" w:end="0"/>
    </w:pPr>
    <w:rPr/>
  </w:style>
  <w:style w:type="paragraph" w:styleId="BodyTextBulletL3">
    <w:name w:val="Body Text Bullet L3"/>
    <w:basedOn w:val="Normal"/>
    <w:qFormat/>
    <w:pPr>
      <w:numPr>
        <w:ilvl w:val="0"/>
        <w:numId w:val="24"/>
      </w:numPr>
      <w:ind w:hanging="360" w:start="0" w:end="0"/>
    </w:pPr>
    <w:rPr/>
  </w:style>
  <w:style w:type="paragraph" w:styleId="Datum">
    <w:name w:val="Datum"/>
    <w:basedOn w:val="Normal"/>
    <w:next w:val="Normal"/>
    <w:qFormat/>
    <w:pPr/>
    <w:rPr/>
  </w:style>
  <w:style w:type="paragraph" w:styleId="Head1-NoTOCor">
    <w:name w:val="Head 1 - No TOC or #"/>
    <w:basedOn w:val="Normal"/>
    <w:next w:val="TableText"/>
    <w:qFormat/>
    <w:pPr>
      <w:keepNext w:val="true"/>
      <w:keepLines/>
      <w:spacing w:before="240" w:after="240"/>
    </w:pPr>
    <w:rPr>
      <w:rFonts w:ascii="Times New Roman Bold;Times New Roman" w:hAnsi="Times New Roman Bold;Times New Roman" w:cs="Times New Roman Bold;Times New Roman"/>
      <w:b/>
      <w:caps/>
      <w:sz w:val="28"/>
      <w:szCs w:val="28"/>
    </w:rPr>
  </w:style>
  <w:style w:type="paragraph" w:styleId="Head1-NoTOC">
    <w:name w:val="Head 1 # - No TOC"/>
    <w:basedOn w:val="Normal"/>
    <w:next w:val="BodyText"/>
    <w:qFormat/>
    <w:pPr>
      <w:numPr>
        <w:ilvl w:val="0"/>
        <w:numId w:val="16"/>
      </w:numPr>
    </w:pPr>
    <w:rPr/>
  </w:style>
  <w:style w:type="paragraph" w:styleId="Head2-NoTOCor">
    <w:name w:val="Head 2 - No TOC or #"/>
    <w:basedOn w:val="Normal"/>
    <w:next w:val="TableText"/>
    <w:qFormat/>
    <w:pPr>
      <w:keepNext w:val="true"/>
      <w:keepLines/>
      <w:spacing w:before="240" w:after="240"/>
    </w:pPr>
    <w:rPr>
      <w:rFonts w:ascii="Times New Roman Bold;Times New Roman" w:hAnsi="Times New Roman Bold;Times New Roman" w:cs="Times New Roman Bold;Times New Roman"/>
      <w:b/>
      <w:sz w:val="28"/>
      <w:szCs w:val="28"/>
    </w:rPr>
  </w:style>
  <w:style w:type="paragraph" w:styleId="Head2-NoTOC">
    <w:name w:val="Head 2 # - No TOC"/>
    <w:basedOn w:val="Normal"/>
    <w:next w:val="BodyText"/>
    <w:qFormat/>
    <w:pPr>
      <w:numPr>
        <w:ilvl w:val="0"/>
        <w:numId w:val="16"/>
      </w:numPr>
    </w:pPr>
    <w:rPr/>
  </w:style>
  <w:style w:type="paragraph" w:styleId="Head3-NoTOCor">
    <w:name w:val="Head 3 - No TOC or #"/>
    <w:basedOn w:val="Normal"/>
    <w:next w:val="TableText"/>
    <w:qFormat/>
    <w:pPr>
      <w:keepNext w:val="true"/>
      <w:keepLines/>
      <w:spacing w:before="240" w:after="240"/>
    </w:pPr>
    <w:rPr>
      <w:rFonts w:ascii="Times New Roman Bold;Times New Roman" w:hAnsi="Times New Roman Bold;Times New Roman" w:cs="Times New Roman Bold;Times New Roman"/>
      <w:b/>
      <w:sz w:val="24"/>
    </w:rPr>
  </w:style>
  <w:style w:type="paragraph" w:styleId="Head3-NoTOC">
    <w:name w:val="Head 3 # - No TOC"/>
    <w:basedOn w:val="Normal"/>
    <w:next w:val="BodyText"/>
    <w:qFormat/>
    <w:pPr>
      <w:numPr>
        <w:ilvl w:val="0"/>
        <w:numId w:val="16"/>
      </w:numPr>
    </w:pPr>
    <w:rPr/>
  </w:style>
  <w:style w:type="paragraph" w:styleId="Head4-NoTOCor">
    <w:name w:val="Head 4 - No TOC or #"/>
    <w:basedOn w:val="Heading4"/>
    <w:next w:val="TableText"/>
    <w:qFormat/>
    <w:pPr>
      <w:numPr>
        <w:ilvl w:val="0"/>
        <w:numId w:val="18"/>
      </w:numPr>
    </w:pPr>
    <w:rPr/>
  </w:style>
  <w:style w:type="paragraph" w:styleId="Head4-NoTOC">
    <w:name w:val="Head 4 # - No TOC"/>
    <w:basedOn w:val="Normal"/>
    <w:next w:val="BodyText"/>
    <w:qFormat/>
    <w:pPr>
      <w:numPr>
        <w:ilvl w:val="0"/>
        <w:numId w:val="16"/>
      </w:numPr>
    </w:pPr>
    <w:rPr/>
  </w:style>
  <w:style w:type="paragraph" w:styleId="Aufzhlungszeichen">
    <w:name w:val="Aufzählungszeichen"/>
    <w:basedOn w:val="BodyTextBullet"/>
    <w:qFormat/>
    <w:pPr/>
    <w:rPr/>
  </w:style>
  <w:style w:type="paragraph" w:styleId="Aufzhlungszeichen2">
    <w:name w:val="Aufzählungszeichen 2"/>
    <w:basedOn w:val="BodyTextBulletL1"/>
    <w:qFormat/>
    <w:pPr/>
    <w:rPr/>
  </w:style>
  <w:style w:type="paragraph" w:styleId="TableLevel1-2Bullet">
    <w:name w:val="Table Level 1-2 Bullet"/>
    <w:basedOn w:val="Normal"/>
    <w:qFormat/>
    <w:pPr>
      <w:numPr>
        <w:ilvl w:val="0"/>
        <w:numId w:val="19"/>
      </w:numPr>
    </w:pPr>
    <w:rPr/>
  </w:style>
  <w:style w:type="paragraph" w:styleId="TableLevel1-2Indent">
    <w:name w:val="Table Level 1-2 Indent"/>
    <w:basedOn w:val="Normal"/>
    <w:qFormat/>
    <w:pPr>
      <w:ind w:hanging="0" w:start="720" w:end="0"/>
    </w:pPr>
    <w:rPr/>
  </w:style>
  <w:style w:type="paragraph" w:styleId="TableLevel5Numbered">
    <w:name w:val="Table Level 5 Numbered"/>
    <w:basedOn w:val="Normal"/>
    <w:qFormat/>
    <w:pPr>
      <w:numPr>
        <w:ilvl w:val="0"/>
        <w:numId w:val="9"/>
      </w:numPr>
    </w:pPr>
    <w:rPr/>
  </w:style>
  <w:style w:type="paragraph" w:styleId="TableLevel3-4Bullet">
    <w:name w:val="Table Level 3-4 Bullet"/>
    <w:basedOn w:val="Normal"/>
    <w:qFormat/>
    <w:pPr>
      <w:numPr>
        <w:ilvl w:val="0"/>
        <w:numId w:val="12"/>
      </w:numPr>
    </w:pPr>
    <w:rPr/>
  </w:style>
  <w:style w:type="paragraph" w:styleId="TableLevel3-4Indent">
    <w:name w:val="Table Level 3-4 Indent"/>
    <w:basedOn w:val="Normal"/>
    <w:qFormat/>
    <w:pPr>
      <w:ind w:hanging="0" w:start="1296" w:end="0"/>
    </w:pPr>
    <w:rPr/>
  </w:style>
  <w:style w:type="paragraph" w:styleId="Bullet1Body">
    <w:name w:val="Bullet 1 Body"/>
    <w:basedOn w:val="BodyTextBullet"/>
    <w:next w:val="BodyTextBullet"/>
    <w:qFormat/>
    <w:pPr/>
    <w:rPr/>
  </w:style>
  <w:style w:type="paragraph" w:styleId="TableLevel6Numbered">
    <w:name w:val="Table Level 6 Numbered"/>
    <w:basedOn w:val="Normal"/>
    <w:qFormat/>
    <w:pPr>
      <w:numPr>
        <w:ilvl w:val="0"/>
        <w:numId w:val="9"/>
      </w:numPr>
    </w:pPr>
    <w:rPr/>
  </w:style>
  <w:style w:type="paragraph" w:styleId="TableLevel7Numbered">
    <w:name w:val="Table Level 7 Numbered"/>
    <w:basedOn w:val="Normal"/>
    <w:qFormat/>
    <w:pPr>
      <w:numPr>
        <w:ilvl w:val="0"/>
        <w:numId w:val="9"/>
      </w:numPr>
    </w:pPr>
    <w:rPr/>
  </w:style>
  <w:style w:type="paragraph" w:styleId="TableLevel8Numbered">
    <w:name w:val="Table Level 8 Numbered"/>
    <w:basedOn w:val="Normal"/>
    <w:qFormat/>
    <w:pPr>
      <w:numPr>
        <w:ilvl w:val="0"/>
        <w:numId w:val="9"/>
      </w:numPr>
    </w:pPr>
    <w:rPr/>
  </w:style>
  <w:style w:type="paragraph" w:styleId="Listennummer">
    <w:name w:val="Listennummer"/>
    <w:basedOn w:val="Normal"/>
    <w:qFormat/>
    <w:pPr>
      <w:numPr>
        <w:ilvl w:val="0"/>
        <w:numId w:val="7"/>
      </w:numPr>
    </w:pPr>
    <w:rPr/>
  </w:style>
  <w:style w:type="paragraph" w:styleId="Listennummer2">
    <w:name w:val="Listennummer 2"/>
    <w:basedOn w:val="Normal"/>
    <w:qFormat/>
    <w:pPr>
      <w:numPr>
        <w:ilvl w:val="0"/>
        <w:numId w:val="4"/>
      </w:numPr>
    </w:pPr>
    <w:rPr/>
  </w:style>
  <w:style w:type="paragraph" w:styleId="Listennummer3">
    <w:name w:val="Listennummer 3"/>
    <w:basedOn w:val="Normal"/>
    <w:qFormat/>
    <w:pPr>
      <w:numPr>
        <w:ilvl w:val="0"/>
        <w:numId w:val="3"/>
      </w:numPr>
    </w:pPr>
    <w:rPr/>
  </w:style>
  <w:style w:type="paragraph" w:styleId="Listennummer4">
    <w:name w:val="Listennummer 4"/>
    <w:basedOn w:val="Normal"/>
    <w:qFormat/>
    <w:pPr>
      <w:numPr>
        <w:ilvl w:val="0"/>
        <w:numId w:val="2"/>
      </w:numPr>
    </w:pPr>
    <w:rPr/>
  </w:style>
  <w:style w:type="paragraph" w:styleId="Aufzhlungszeichen3">
    <w:name w:val="Aufzählungszeichen 3"/>
    <w:basedOn w:val="Normal"/>
    <w:qFormat/>
    <w:pPr>
      <w:numPr>
        <w:ilvl w:val="0"/>
        <w:numId w:val="6"/>
      </w:numPr>
    </w:pPr>
    <w:rPr/>
  </w:style>
  <w:style w:type="paragraph" w:styleId="Aufzhlungszeichen4">
    <w:name w:val="Aufzählungszeichen 4"/>
    <w:basedOn w:val="Normal"/>
    <w:qFormat/>
    <w:pPr>
      <w:numPr>
        <w:ilvl w:val="0"/>
        <w:numId w:val="5"/>
      </w:numPr>
    </w:pPr>
    <w:rPr/>
  </w:style>
  <w:style w:type="paragraph" w:styleId="Listenfortsetzung">
    <w:name w:val="Listenfortsetzung"/>
    <w:basedOn w:val="Normal"/>
    <w:qFormat/>
    <w:pPr>
      <w:ind w:hanging="0" w:start="360" w:end="0"/>
    </w:pPr>
    <w:rPr/>
  </w:style>
  <w:style w:type="paragraph" w:styleId="Listenfortsetzung2">
    <w:name w:val="Listenfortsetzung 2"/>
    <w:basedOn w:val="Normal"/>
    <w:qFormat/>
    <w:pPr>
      <w:ind w:hanging="0" w:start="720" w:end="0"/>
    </w:pPr>
    <w:rPr/>
  </w:style>
  <w:style w:type="paragraph" w:styleId="Listenfortsetzung3">
    <w:name w:val="Listenfortsetzung 3"/>
    <w:basedOn w:val="Normal"/>
    <w:qFormat/>
    <w:pPr>
      <w:ind w:hanging="0" w:start="1080" w:end="0"/>
    </w:pPr>
    <w:rPr/>
  </w:style>
  <w:style w:type="paragraph" w:styleId="Listenfortsetzung4">
    <w:name w:val="Listenfortsetzung 4"/>
    <w:basedOn w:val="Normal"/>
    <w:qFormat/>
    <w:pPr>
      <w:ind w:hanging="0" w:start="1440" w:end="0"/>
    </w:pPr>
    <w:rPr/>
  </w:style>
  <w:style w:type="paragraph" w:styleId="Revised-New">
    <w:name w:val="Revised - New"/>
    <w:basedOn w:val="Normal"/>
    <w:qFormat/>
    <w:pPr/>
    <w:rPr>
      <w:rFonts w:ascii="Arial" w:hAnsi="Arial" w:cs="Arial"/>
      <w:b/>
      <w:color w:val="333399"/>
      <w:szCs w:val="22"/>
    </w:rPr>
  </w:style>
  <w:style w:type="paragraph" w:styleId="Heading5Numbered">
    <w:name w:val="Heading 5 Numbered"/>
    <w:basedOn w:val="Normal"/>
    <w:qFormat/>
    <w:pPr>
      <w:numPr>
        <w:ilvl w:val="0"/>
        <w:numId w:val="14"/>
      </w:numPr>
    </w:pPr>
    <w:rPr>
      <w:b/>
    </w:rPr>
  </w:style>
  <w:style w:type="paragraph" w:styleId="TableRef">
    <w:name w:val="Table Ref #"/>
    <w:qFormat/>
    <w:pPr>
      <w:widowControl/>
      <w:bidi w:val="0"/>
      <w:spacing w:before="120" w:after="120"/>
    </w:pPr>
    <w:rPr>
      <w:rFonts w:ascii="Times New Roman" w:hAnsi="Times New Roman" w:eastAsia="Times New Roman" w:cs="Times New Roman"/>
      <w:color w:val="auto"/>
      <w:sz w:val="16"/>
      <w:szCs w:val="24"/>
      <w:lang w:val="en-US" w:bidi="ar-SA" w:eastAsia="zh-CN"/>
    </w:rPr>
  </w:style>
  <w:style w:type="paragraph" w:styleId="TableComplyColYN">
    <w:name w:val="Table Comply Col (Y/N)"/>
    <w:qFormat/>
    <w:pPr>
      <w:widowControl/>
      <w:bidi w:val="0"/>
      <w:spacing w:before="120" w:after="120"/>
      <w:jc w:val="center"/>
    </w:pPr>
    <w:rPr>
      <w:rFonts w:ascii="Times New Roman" w:hAnsi="Times New Roman" w:eastAsia="Times New Roman" w:cs="Times New Roman"/>
      <w:color w:val="auto"/>
      <w:sz w:val="22"/>
      <w:szCs w:val="24"/>
      <w:lang w:val="en-US" w:bidi="ar-SA" w:eastAsia="zh-CN"/>
    </w:rPr>
  </w:style>
  <w:style w:type="paragraph" w:styleId="TableTextItalic">
    <w:name w:val="Table Text Italic"/>
    <w:basedOn w:val="TableText"/>
    <w:qFormat/>
    <w:pPr/>
    <w:rPr>
      <w:i/>
    </w:rPr>
  </w:style>
  <w:style w:type="paragraph" w:styleId="ReverseIndent">
    <w:name w:val="Reverse Indent"/>
    <w:qFormat/>
    <w:pPr>
      <w:widowControl/>
      <w:bidi w:val="0"/>
      <w:spacing w:before="120" w:after="120"/>
      <w:ind w:hanging="504" w:start="720" w:end="0"/>
    </w:pPr>
    <w:rPr>
      <w:rFonts w:ascii="Times New Roman" w:hAnsi="Times New Roman" w:eastAsia="Times New Roman" w:cs="Times New Roman"/>
      <w:color w:val="auto"/>
      <w:sz w:val="22"/>
      <w:szCs w:val="24"/>
      <w:lang w:val="en-US" w:bidi="ar-SA" w:eastAsia="zh-CN"/>
    </w:rPr>
  </w:style>
  <w:style w:type="paragraph" w:styleId="CharCharCharChar">
    <w:name w:val=" Char Char Char Char"/>
    <w:basedOn w:val="Normal"/>
    <w:qFormat/>
    <w:pPr>
      <w:spacing w:lineRule="exact" w:line="240" w:before="0" w:after="160"/>
    </w:pPr>
    <w:rPr>
      <w:rFonts w:ascii="Verdana" w:hAnsi="Verdana" w:cs="Verdana"/>
      <w:sz w:val="20"/>
      <w:szCs w:val="20"/>
    </w:rPr>
  </w:style>
  <w:style w:type="paragraph" w:styleId="CharCharCharCharCharCharCharCharCharChar">
    <w:name w:val=" Char Char Char Char Char Char Char Char Char Char"/>
    <w:basedOn w:val="Normal"/>
    <w:qFormat/>
    <w:pPr>
      <w:spacing w:lineRule="exact" w:line="240" w:before="0" w:after="160"/>
      <w:jc w:val="both"/>
    </w:pPr>
    <w:rPr>
      <w:rFonts w:ascii="Arial" w:hAnsi="Arial" w:cs="Arial"/>
      <w:sz w:val="20"/>
      <w:szCs w:val="20"/>
    </w:rPr>
  </w:style>
  <w:style w:type="paragraph" w:styleId="TableRef1">
    <w:name w:val="Table Ref # +1"/>
    <w:basedOn w:val="TableRef"/>
    <w:qFormat/>
    <w:pPr/>
    <w:rPr>
      <w:lang w:val="en-GB"/>
    </w:rPr>
  </w:style>
  <w:style w:type="paragraph" w:styleId="TableRef11">
    <w:name w:val="Table Ref #+1"/>
    <w:basedOn w:val="TableRef"/>
    <w:qFormat/>
    <w:pPr/>
    <w:rPr>
      <w:lang w:val="en-GB"/>
    </w:rPr>
  </w:style>
  <w:style w:type="paragraph" w:styleId="StyleTableLevel1NumberedLeft102cm">
    <w:name w:val="Style Table Level 1 Numbered + Left:  102 cm"/>
    <w:basedOn w:val="TableLevel1Numbered"/>
    <w:qFormat/>
    <w:pPr>
      <w:numPr>
        <w:ilvl w:val="0"/>
        <w:numId w:val="22"/>
      </w:numPr>
    </w:pPr>
    <w:rPr>
      <w:szCs w:val="20"/>
    </w:rPr>
  </w:style>
  <w:style w:type="paragraph" w:styleId="Kommentartext">
    <w:name w:val="Kommentartext"/>
    <w:basedOn w:val="Normal"/>
    <w:qFormat/>
    <w:pPr/>
    <w:rPr>
      <w:sz w:val="20"/>
      <w:szCs w:val="20"/>
    </w:rPr>
  </w:style>
  <w:style w:type="paragraph" w:styleId="Kommentarthema">
    <w:name w:val="Kommentarthema"/>
    <w:basedOn w:val="Kommentartext"/>
    <w:next w:val="Kommentartext"/>
    <w:qFormat/>
    <w:pPr/>
    <w:rPr>
      <w:b/>
      <w:bCs/>
    </w:rPr>
  </w:style>
  <w:style w:type="paragraph" w:styleId="Char">
    <w:name w:val=" Char"/>
    <w:basedOn w:val="Normal"/>
    <w:qFormat/>
    <w:pPr>
      <w:spacing w:lineRule="exact" w:line="240" w:before="0" w:after="160"/>
      <w:jc w:val="both"/>
    </w:pPr>
    <w:rPr>
      <w:rFonts w:ascii="Arial" w:hAnsi="Arial" w:cs="Arial"/>
      <w:sz w:val="20"/>
      <w:szCs w:val="20"/>
    </w:rPr>
  </w:style>
  <w:style w:type="paragraph" w:styleId="Char1CharCharChar">
    <w:name w:val=" Char1 Char Char Char"/>
    <w:basedOn w:val="Normal"/>
    <w:qFormat/>
    <w:pPr>
      <w:spacing w:lineRule="exact" w:line="240" w:before="0" w:after="160"/>
      <w:jc w:val="both"/>
    </w:pPr>
    <w:rPr>
      <w:rFonts w:ascii="Arial" w:hAnsi="Arial" w:cs="Arial"/>
      <w:sz w:val="20"/>
      <w:szCs w:val="20"/>
    </w:rPr>
  </w:style>
  <w:style w:type="paragraph" w:styleId="StyleTableTextCentered">
    <w:name w:val="Style Table Text + Centered"/>
    <w:basedOn w:val="TableText"/>
    <w:qFormat/>
    <w:pPr>
      <w:jc w:val="center"/>
    </w:pPr>
    <w:rPr>
      <w:szCs w:val="20"/>
    </w:rPr>
  </w:style>
  <w:style w:type="paragraph" w:styleId="Legal2L4">
    <w:name w:val="Legal2_L4"/>
    <w:basedOn w:val="Normal"/>
    <w:next w:val="BodyText"/>
    <w:qFormat/>
    <w:pPr>
      <w:tabs>
        <w:tab w:val="clear" w:pos="720"/>
        <w:tab w:val="left" w:pos="2160" w:leader="none"/>
        <w:tab w:val="left" w:pos="2520" w:leader="none"/>
      </w:tabs>
      <w:spacing w:before="0" w:after="240"/>
      <w:ind w:firstLine="2160" w:start="2160" w:end="0"/>
      <w:jc w:val="both"/>
      <w:outlineLvl w:val="3"/>
    </w:pPr>
    <w:rPr>
      <w:sz w:val="24"/>
    </w:rPr>
  </w:style>
  <w:style w:type="paragraph" w:styleId="RPF-BodyText">
    <w:name w:val="RPF-BodyText"/>
    <w:qFormat/>
    <w:pPr>
      <w:widowControl/>
      <w:bidi w:val="0"/>
      <w:spacing w:before="120" w:after="120"/>
      <w:ind w:hanging="0" w:start="720" w:end="0"/>
      <w:jc w:val="both"/>
    </w:pPr>
    <w:rPr>
      <w:rFonts w:ascii="Arial" w:hAnsi="Arial" w:eastAsia="SimSun;宋体" w:cs="Arial"/>
      <w:bCs/>
      <w:color w:val="auto"/>
      <w:sz w:val="22"/>
      <w:szCs w:val="20"/>
      <w:lang w:val="en-US" w:bidi="he-IL" w:eastAsia="zh-CN"/>
    </w:rPr>
  </w:style>
  <w:style w:type="paragraph" w:styleId="RPF-BulletList">
    <w:name w:val="RPF-BulletList"/>
    <w:qFormat/>
    <w:pPr>
      <w:widowControl/>
      <w:bidi w:val="0"/>
      <w:spacing w:before="60" w:after="60"/>
      <w:jc w:val="both"/>
    </w:pPr>
    <w:rPr>
      <w:rFonts w:ascii="Arial" w:hAnsi="Arial" w:eastAsia="SimSun;宋体" w:cs="Arial"/>
      <w:color w:val="0000FF"/>
      <w:sz w:val="20"/>
      <w:szCs w:val="22"/>
      <w:lang w:val="en-GB" w:eastAsia="zh-CN"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 Id="rId2" Type="http://schemas.openxmlformats.org/officeDocument/2006/relationships/image" Target="media/image1.wmf"/><Relationship Id="rId3"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TPIRFP_v2A</Template>
  <TotalTime>0</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2007-01-29T19:56:00Z</dcterms:created>
  <dc:creator>Bob Szambelan</dc:creator>
  <dc:description/>
  <cp:keywords>General Accounting</cp:keywords>
  <dc:language>en-US</dc:language>
  <cp:lastModifiedBy>Wenger Plattner</cp:lastModifiedBy>
  <cp:lastPrinted>2005-10-31T15:43:00Z</cp:lastPrinted>
  <dcterms:modified xsi:type="dcterms:W3CDTF">2007-01-29T19:56:00Z</dcterms:modified>
  <cp:revision>2</cp:revision>
  <dc:subject>E2.8 - General Accounting</dc:subject>
  <dc:title>RFP8 - F&amp;A SOW</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
    <vt:lpwstr>G Woodstrom</vt:lpwstr>
  </property>
  <property fmtid="{D5CDD505-2E9C-101B-9397-08002B2CF9AE}" pid="3" name="Office">
    <vt:lpwstr>Houston, TX</vt:lpwstr>
  </property>
  <property fmtid="{D5CDD505-2E9C-101B-9397-08002B2CF9AE}" pid="4" name="Order">
    <vt:lpwstr>16000.0000000000</vt:lpwstr>
  </property>
  <property fmtid="{D5CDD505-2E9C-101B-9397-08002B2CF9AE}" pid="5" name="Project">
    <vt:lpwstr>RFP 8</vt:lpwstr>
  </property>
  <property fmtid="{D5CDD505-2E9C-101B-9397-08002B2CF9AE}" pid="6" name="Status">
    <vt:lpwstr>Draft</vt:lpwstr>
  </property>
  <property fmtid="{D5CDD505-2E9C-101B-9397-08002B2CF9AE}" pid="7" name="TPI_RefPrefix">
    <vt:lpwstr>E2.2 - A</vt:lpwstr>
  </property>
</Properties>
</file>