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6</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Governance Model</w:t>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tbl>
      <w:tblPr>
        <w:tblW w:w="6411" w:type="dxa"/>
        <w:jc w:val="start"/>
        <w:tblInd w:w="1890" w:type="dxa"/>
        <w:tblLayout w:type="fixed"/>
        <w:tblCellMar>
          <w:top w:w="0" w:type="dxa"/>
          <w:start w:w="108" w:type="dxa"/>
          <w:bottom w:w="0" w:type="dxa"/>
          <w:end w:w="108" w:type="dxa"/>
        </w:tblCellMar>
      </w:tblPr>
      <w:tblGrid>
        <w:gridCol w:w="6411"/>
      </w:tblGrid>
      <w:tr>
        <w:trPr/>
        <w:tc>
          <w:tcPr>
            <w:tcW w:w="64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rFonts w:ascii="Arial" w:hAnsi="Arial" w:cs="Arial"/>
              </w:rPr>
            </w:pPr>
            <w:r>
              <w:rPr>
                <w:rFonts w:cs="Arial" w:ascii="Arial" w:hAnsi="Arial"/>
              </w:rPr>
            </w:r>
          </w:p>
          <w:p>
            <w:pPr>
              <w:pStyle w:val="Normal"/>
              <w:jc w:val="center"/>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rFonts w:ascii="Arial" w:hAnsi="Arial" w:cs="Arial"/>
                <w:sz w:val="24"/>
              </w:rPr>
            </w:pPr>
            <w:r>
              <w:rPr>
                <w:rFonts w:cs="Arial" w:ascii="Arial" w:hAnsi="Arial"/>
                <w:sz w:val="24"/>
              </w:rPr>
            </w:r>
          </w:p>
        </w:tc>
      </w:tr>
    </w:tbl>
    <w:p>
      <w:pPr>
        <w:pStyle w:val="Normal"/>
        <w:rPr>
          <w:rFonts w:ascii="Arial" w:hAnsi="Arial" w:cs="Arial"/>
        </w:rPr>
      </w:pPr>
      <w:r>
        <w:rPr>
          <w:rFonts w:cs="Arial" w:ascii="Arial" w:hAnsi="Arial"/>
        </w:rPr>
      </w:r>
      <w:r>
        <w:br w:type="page"/>
      </w:r>
    </w:p>
    <w:p>
      <w:pPr>
        <w:pStyle w:val="Titel"/>
        <w:rPr>
          <w:rFonts w:ascii="Arial" w:hAnsi="Arial" w:cs="Arial"/>
          <w:lang w:val="de-CH"/>
        </w:rPr>
      </w:pPr>
      <w:r>
        <w:rPr>
          <w:rFonts w:cs="Arial" w:ascii="Arial" w:hAnsi="Arial"/>
          <w:lang w:val="de-CH"/>
        </w:rPr>
        <w:t>Table of Contents</w:t>
      </w:r>
    </w:p>
    <w:p>
      <w:pPr>
        <w:pStyle w:val="Normal"/>
        <w:rPr>
          <w:rFonts w:ascii="Arial" w:hAnsi="Arial" w:cs="Arial"/>
          <w:lang w:val="de-CH"/>
        </w:rPr>
      </w:pPr>
      <w:r>
        <w:rPr>
          <w:rFonts w:cs="Arial" w:ascii="Arial" w:hAnsi="Arial"/>
          <w:lang w:val="de-CH"/>
        </w:rPr>
      </w:r>
    </w:p>
    <w:sdt>
      <w:sdtPr>
        <w:docPartObj>
          <w:docPartGallery w:val="Table of Contents"/>
          <w:docPartUnique w:val="true"/>
        </w:docPartObj>
      </w:sdtPr>
      <w:sdtContent>
        <w:p>
          <w:pPr>
            <w:pStyle w:val="TOC1"/>
            <w:tabs>
              <w:tab w:val="clear" w:pos="720"/>
              <w:tab w:val="left" w:pos="660" w:leader="none"/>
              <w:tab w:val="right" w:pos="10250" w:leader="dot"/>
            </w:tabs>
            <w:rPr>
              <w:b w:val="false"/>
              <w:bCs w:val="false"/>
              <w:caps w:val="false"/>
              <w:smallCaps w:val="false"/>
              <w:sz w:val="24"/>
              <w:szCs w:val="24"/>
              <w:lang w:val="de-CH" w:eastAsia="en-US"/>
            </w:rPr>
          </w:pPr>
          <w:r>
            <w:fldChar w:fldCharType="begin"/>
          </w:r>
          <w:r>
            <w:rPr>
              <w:rStyle w:val="IndexLink"/>
              <w:rFonts w:cs="Arial"/>
              <w:lang w:val="en-US" w:eastAsia="en-US"/>
            </w:rPr>
            <w:instrText xml:space="preserve"> TOC \h \z \t "Heading 1 Numbered;1;Heading 2 Numbered;2;Heading 3 Numbered;3;Heading 4 Numbered;4;Heading 5 Numbered;5" </w:instrText>
          </w:r>
          <w:r>
            <w:rPr>
              <w:rStyle w:val="IndexLink"/>
              <w:rFonts w:cs="Arial"/>
              <w:lang w:val="en-US" w:eastAsia="en-US"/>
            </w:rPr>
            <w:fldChar w:fldCharType="separate"/>
          </w:r>
          <w:hyperlink w:anchor="__RefHeading___Toc157158868">
            <w:r>
              <w:rPr>
                <w:rStyle w:val="IndexLink"/>
                <w:rFonts w:cs="Arial"/>
                <w:lang w:val="en-US" w:eastAsia="en-US"/>
              </w:rPr>
              <w:t>1.0</w:t>
            </w:r>
            <w:r>
              <w:rPr>
                <w:rStyle w:val="IndexLink"/>
                <w:rFonts w:cs="Arial"/>
                <w:b w:val="false"/>
                <w:bCs w:val="false"/>
                <w:caps w:val="false"/>
                <w:smallCaps w:val="false"/>
                <w:sz w:val="24"/>
                <w:szCs w:val="24"/>
                <w:lang w:val="de-CH" w:eastAsia="en-US"/>
              </w:rPr>
              <w:tab/>
            </w:r>
            <w:r>
              <w:rPr>
                <w:rStyle w:val="IndexLink"/>
                <w:rFonts w:cs="Arial" w:ascii="Arial" w:hAnsi="Arial"/>
                <w:lang w:val="en-US" w:eastAsia="en-US"/>
              </w:rPr>
              <w:t>Introduction</w:t>
            </w:r>
            <w:r>
              <w:rPr>
                <w:rStyle w:val="IndexLink"/>
                <w:rFonts w:cs="Arial"/>
                <w:lang w:val="en-US" w:eastAsia="en-US"/>
              </w:rPr>
              <w:tab/>
              <w:t>4</w:t>
            </w:r>
          </w:hyperlink>
        </w:p>
        <w:p>
          <w:pPr>
            <w:pStyle w:val="TOC1"/>
            <w:tabs>
              <w:tab w:val="clear" w:pos="720"/>
              <w:tab w:val="left" w:pos="660" w:leader="none"/>
              <w:tab w:val="right" w:pos="10250" w:leader="dot"/>
            </w:tabs>
            <w:rPr>
              <w:b w:val="false"/>
              <w:bCs w:val="false"/>
              <w:caps w:val="false"/>
              <w:smallCaps w:val="false"/>
              <w:sz w:val="24"/>
              <w:szCs w:val="24"/>
              <w:lang w:val="de-CH" w:eastAsia="en-US"/>
            </w:rPr>
          </w:pPr>
          <w:hyperlink w:anchor="__RefHeading___Toc157158869">
            <w:r>
              <w:rPr>
                <w:rStyle w:val="IndexLink"/>
                <w:rFonts w:cs="Arial"/>
                <w:lang w:val="en-US" w:eastAsia="en-US"/>
              </w:rPr>
              <w:t>2.0</w:t>
            </w:r>
            <w:r>
              <w:rPr>
                <w:rStyle w:val="IndexLink"/>
                <w:b w:val="false"/>
                <w:bCs w:val="false"/>
                <w:caps w:val="false"/>
                <w:smallCaps w:val="false"/>
                <w:sz w:val="24"/>
                <w:szCs w:val="24"/>
                <w:lang w:val="de-CH" w:eastAsia="en-US"/>
              </w:rPr>
              <w:tab/>
            </w:r>
            <w:r>
              <w:rPr>
                <w:rStyle w:val="IndexLink"/>
                <w:rFonts w:cs="Arial" w:ascii="Arial" w:hAnsi="Arial"/>
                <w:lang w:val="en-US" w:eastAsia="en-US"/>
              </w:rPr>
              <w:t>governance Roles and Reporting chart</w:t>
            </w:r>
            <w:r>
              <w:rPr>
                <w:rStyle w:val="IndexLink"/>
                <w:lang w:val="en-US" w:eastAsia="en-US"/>
              </w:rPr>
              <w:tab/>
              <w:t>4</w:t>
            </w:r>
          </w:hyperlink>
        </w:p>
        <w:p>
          <w:pPr>
            <w:pStyle w:val="TOC1"/>
            <w:tabs>
              <w:tab w:val="clear" w:pos="720"/>
              <w:tab w:val="left" w:pos="660" w:leader="none"/>
              <w:tab w:val="right" w:pos="10250" w:leader="dot"/>
            </w:tabs>
            <w:rPr>
              <w:b w:val="false"/>
              <w:bCs w:val="false"/>
              <w:caps w:val="false"/>
              <w:smallCaps w:val="false"/>
              <w:sz w:val="24"/>
              <w:szCs w:val="24"/>
              <w:lang w:val="de-CH" w:eastAsia="en-US"/>
            </w:rPr>
          </w:pPr>
          <w:hyperlink w:anchor="__RefHeading___Toc157158870">
            <w:r>
              <w:rPr>
                <w:rStyle w:val="IndexLink"/>
                <w:rFonts w:cs="Arial"/>
                <w:lang w:val="en-US" w:eastAsia="en-US"/>
              </w:rPr>
              <w:t>3.0</w:t>
            </w:r>
            <w:r>
              <w:rPr>
                <w:rStyle w:val="IndexLink"/>
                <w:b w:val="false"/>
                <w:bCs w:val="false"/>
                <w:caps w:val="false"/>
                <w:smallCaps w:val="false"/>
                <w:sz w:val="24"/>
                <w:szCs w:val="24"/>
                <w:lang w:val="de-CH" w:eastAsia="en-US"/>
              </w:rPr>
              <w:tab/>
            </w:r>
            <w:r>
              <w:rPr>
                <w:rStyle w:val="IndexLink"/>
                <w:rFonts w:cs="Arial" w:ascii="Arial" w:hAnsi="Arial"/>
                <w:lang w:val="en-US" w:eastAsia="en-US"/>
              </w:rPr>
              <w:t>Roles and Responsibilities of Key Governance Team Members</w:t>
            </w:r>
            <w:r>
              <w:rPr>
                <w:rStyle w:val="IndexLink"/>
                <w:lang w:val="en-US" w:eastAsia="en-US"/>
              </w:rPr>
              <w:tab/>
              <w:t>4</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158871">
            <w:r>
              <w:rPr>
                <w:rStyle w:val="IndexLink"/>
                <w:rFonts w:cs="Arial"/>
                <w:lang w:val="en-US" w:eastAsia="en-US"/>
              </w:rPr>
              <w:t>3.1</w:t>
            </w:r>
            <w:r>
              <w:rPr>
                <w:rStyle w:val="IndexLink"/>
                <w:caps w:val="false"/>
                <w:smallCaps w:val="false"/>
                <w:sz w:val="24"/>
                <w:szCs w:val="24"/>
                <w:lang w:val="de-CH" w:eastAsia="en-US"/>
              </w:rPr>
              <w:tab/>
            </w:r>
            <w:r>
              <w:rPr>
                <w:rStyle w:val="IndexLink"/>
                <w:rFonts w:cs="Arial" w:ascii="Arial" w:hAnsi="Arial"/>
                <w:lang w:val="en-US" w:eastAsia="en-US"/>
              </w:rPr>
              <w:t>Novartis Pharma</w:t>
            </w:r>
            <w:r>
              <w:rPr>
                <w:rStyle w:val="IndexLink"/>
                <w:lang w:val="en-US" w:eastAsia="en-US"/>
              </w:rPr>
              <w:tab/>
              <w:t>4</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872">
            <w:r>
              <w:rPr>
                <w:rStyle w:val="IndexLink"/>
                <w:rFonts w:cs="Arial"/>
                <w:lang w:val="en-US" w:eastAsia="en-US"/>
              </w:rPr>
              <w:t>3.1.1</w:t>
            </w:r>
            <w:r>
              <w:rPr>
                <w:rStyle w:val="IndexLink"/>
                <w:i w:val="false"/>
                <w:iCs w:val="false"/>
                <w:sz w:val="24"/>
                <w:szCs w:val="24"/>
                <w:lang w:val="de-CH" w:eastAsia="en-US"/>
              </w:rPr>
              <w:tab/>
            </w:r>
            <w:r>
              <w:rPr>
                <w:rStyle w:val="IndexLink"/>
                <w:rFonts w:cs="Arial" w:ascii="Arial" w:hAnsi="Arial"/>
                <w:lang w:val="en-US" w:eastAsia="en-US"/>
              </w:rPr>
              <w:t>Novartis Pharma Contract Executive</w:t>
            </w:r>
            <w:r>
              <w:rPr>
                <w:rStyle w:val="IndexLink"/>
                <w:lang w:val="en-US" w:eastAsia="en-US"/>
              </w:rPr>
              <w:tab/>
              <w:t>4</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873">
            <w:r>
              <w:rPr>
                <w:rStyle w:val="IndexLink"/>
                <w:rFonts w:cs="Arial"/>
                <w:lang w:val="en-US" w:eastAsia="en-US"/>
              </w:rPr>
              <w:t>3.1.2</w:t>
            </w:r>
            <w:r>
              <w:rPr>
                <w:rStyle w:val="IndexLink"/>
                <w:i w:val="false"/>
                <w:iCs w:val="false"/>
                <w:sz w:val="24"/>
                <w:szCs w:val="24"/>
                <w:lang w:val="de-CH" w:eastAsia="en-US"/>
              </w:rPr>
              <w:tab/>
            </w:r>
            <w:r>
              <w:rPr>
                <w:rStyle w:val="IndexLink"/>
                <w:rFonts w:cs="Arial" w:ascii="Arial" w:hAnsi="Arial"/>
                <w:lang w:val="en-US" w:eastAsia="en-US"/>
              </w:rPr>
              <w:t>Novartis Pharma Head Financial Shared Services</w:t>
            </w:r>
            <w:r>
              <w:rPr>
                <w:rStyle w:val="IndexLink"/>
                <w:lang w:val="en-US" w:eastAsia="en-US"/>
              </w:rPr>
              <w:tab/>
              <w:t>5</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874">
            <w:r>
              <w:rPr>
                <w:rStyle w:val="IndexLink"/>
                <w:rFonts w:cs="Arial"/>
                <w:lang w:val="en-US" w:eastAsia="en-US"/>
              </w:rPr>
              <w:t>3.1.3</w:t>
            </w:r>
            <w:r>
              <w:rPr>
                <w:rStyle w:val="IndexLink"/>
                <w:i w:val="false"/>
                <w:iCs w:val="false"/>
                <w:sz w:val="24"/>
                <w:szCs w:val="24"/>
                <w:lang w:val="de-CH" w:eastAsia="en-US"/>
              </w:rPr>
              <w:tab/>
            </w:r>
            <w:r>
              <w:rPr>
                <w:rStyle w:val="IndexLink"/>
                <w:rFonts w:cs="Arial" w:ascii="Arial" w:hAnsi="Arial"/>
                <w:lang w:val="en-US" w:eastAsia="en-US"/>
              </w:rPr>
              <w:t>Novartis Pharma Contract Manager</w:t>
            </w:r>
            <w:r>
              <w:rPr>
                <w:rStyle w:val="IndexLink"/>
                <w:lang w:val="en-US" w:eastAsia="en-US"/>
              </w:rPr>
              <w:tab/>
              <w:t>5</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876">
            <w:r>
              <w:rPr>
                <w:rStyle w:val="IndexLink"/>
                <w:rFonts w:cs="Arial"/>
                <w:lang w:val="en-US" w:eastAsia="en-US"/>
              </w:rPr>
              <w:t>3.1.4</w:t>
            </w:r>
            <w:r>
              <w:rPr>
                <w:rStyle w:val="IndexLink"/>
                <w:i w:val="false"/>
                <w:iCs w:val="false"/>
                <w:sz w:val="24"/>
                <w:szCs w:val="24"/>
                <w:lang w:val="de-CH" w:eastAsia="en-US"/>
              </w:rPr>
              <w:tab/>
            </w:r>
            <w:r>
              <w:rPr>
                <w:rStyle w:val="IndexLink"/>
                <w:rFonts w:cs="Arial" w:ascii="Arial" w:hAnsi="Arial"/>
                <w:lang w:val="en-US" w:eastAsia="en-US"/>
              </w:rPr>
              <w:t>Novartis Pharma Contract Transition Manager</w:t>
            </w:r>
            <w:r>
              <w:rPr>
                <w:rStyle w:val="IndexLink"/>
                <w:lang w:val="en-US" w:eastAsia="en-US"/>
              </w:rPr>
              <w:tab/>
              <w:t>6</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895">
            <w:r>
              <w:rPr>
                <w:rStyle w:val="IndexLink"/>
                <w:rFonts w:cs="Arial"/>
                <w:lang w:val="en-US" w:eastAsia="en-US"/>
              </w:rPr>
              <w:t>3.1.5</w:t>
            </w:r>
            <w:r>
              <w:rPr>
                <w:rStyle w:val="IndexLink"/>
                <w:i w:val="false"/>
                <w:iCs w:val="false"/>
                <w:sz w:val="24"/>
                <w:szCs w:val="24"/>
                <w:lang w:val="de-CH" w:eastAsia="en-US"/>
              </w:rPr>
              <w:tab/>
            </w:r>
            <w:r>
              <w:rPr>
                <w:rStyle w:val="IndexLink"/>
                <w:rFonts w:cs="Arial" w:ascii="Arial" w:hAnsi="Arial"/>
                <w:lang w:val="en-US" w:eastAsia="en-US"/>
              </w:rPr>
              <w:t>Novartis Pharma Global Process Champion(s)</w:t>
            </w:r>
            <w:r>
              <w:rPr>
                <w:rStyle w:val="IndexLink"/>
                <w:lang w:val="en-US" w:eastAsia="en-US"/>
              </w:rPr>
              <w:tab/>
              <w:t>8</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158896">
            <w:r>
              <w:rPr>
                <w:rStyle w:val="IndexLink"/>
                <w:rFonts w:cs="Arial"/>
                <w:lang w:val="en-US" w:eastAsia="en-US"/>
              </w:rPr>
              <w:t>3.2</w:t>
            </w:r>
            <w:r>
              <w:rPr>
                <w:rStyle w:val="IndexLink"/>
                <w:caps w:val="false"/>
                <w:smallCaps w:val="false"/>
                <w:sz w:val="24"/>
                <w:szCs w:val="24"/>
                <w:lang w:val="de-CH" w:eastAsia="en-US"/>
              </w:rPr>
              <w:tab/>
            </w:r>
            <w:r>
              <w:rPr>
                <w:rStyle w:val="IndexLink"/>
                <w:rFonts w:cs="Arial" w:ascii="Arial" w:hAnsi="Arial"/>
                <w:lang w:val="en-US" w:eastAsia="en-US"/>
              </w:rPr>
              <w:t>Service Provider</w:t>
            </w:r>
            <w:r>
              <w:rPr>
                <w:rStyle w:val="IndexLink"/>
                <w:lang w:val="en-US" w:eastAsia="en-US"/>
              </w:rPr>
              <w:tab/>
              <w:t>8</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897">
            <w:r>
              <w:rPr>
                <w:rStyle w:val="IndexLink"/>
                <w:rFonts w:cs="Arial"/>
                <w:lang w:val="en-US" w:eastAsia="en-US"/>
              </w:rPr>
              <w:t>3.2.1</w:t>
            </w:r>
            <w:r>
              <w:rPr>
                <w:rStyle w:val="IndexLink"/>
                <w:i w:val="false"/>
                <w:iCs w:val="false"/>
                <w:sz w:val="24"/>
                <w:szCs w:val="24"/>
                <w:lang w:val="de-CH" w:eastAsia="en-US"/>
              </w:rPr>
              <w:tab/>
            </w:r>
            <w:r>
              <w:rPr>
                <w:rStyle w:val="IndexLink"/>
                <w:rFonts w:cs="Arial" w:ascii="Arial" w:hAnsi="Arial"/>
                <w:lang w:val="en-US" w:eastAsia="en-US"/>
              </w:rPr>
              <w:t>Service Provider Executive Sponsor</w:t>
            </w:r>
            <w:r>
              <w:rPr>
                <w:rStyle w:val="IndexLink"/>
                <w:lang w:val="en-US" w:eastAsia="en-US"/>
              </w:rPr>
              <w:tab/>
              <w:t>8</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898">
            <w:r>
              <w:rPr>
                <w:rStyle w:val="IndexLink"/>
                <w:rFonts w:cs="Arial"/>
                <w:lang w:val="en-US" w:eastAsia="en-US"/>
              </w:rPr>
              <w:t>3.2.2</w:t>
            </w:r>
            <w:r>
              <w:rPr>
                <w:rStyle w:val="IndexLink"/>
                <w:i w:val="false"/>
                <w:iCs w:val="false"/>
                <w:sz w:val="24"/>
                <w:szCs w:val="24"/>
                <w:lang w:val="de-CH" w:eastAsia="en-US"/>
              </w:rPr>
              <w:tab/>
            </w:r>
            <w:r>
              <w:rPr>
                <w:rStyle w:val="IndexLink"/>
                <w:rFonts w:cs="Arial" w:ascii="Arial" w:hAnsi="Arial"/>
                <w:lang w:val="en-US" w:eastAsia="en-US"/>
              </w:rPr>
              <w:t>Service Provider Account Executive</w:t>
            </w:r>
            <w:r>
              <w:rPr>
                <w:rStyle w:val="IndexLink"/>
                <w:lang w:val="en-US" w:eastAsia="en-US"/>
              </w:rPr>
              <w:tab/>
              <w:t>9</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899">
            <w:r>
              <w:rPr>
                <w:rStyle w:val="IndexLink"/>
                <w:rFonts w:cs="Arial"/>
                <w:lang w:val="en-US" w:eastAsia="en-US"/>
              </w:rPr>
              <w:t>3.2.3</w:t>
            </w:r>
            <w:r>
              <w:rPr>
                <w:rStyle w:val="IndexLink"/>
                <w:i w:val="false"/>
                <w:iCs w:val="false"/>
                <w:sz w:val="24"/>
                <w:szCs w:val="24"/>
                <w:lang w:val="de-CH" w:eastAsia="en-US"/>
              </w:rPr>
              <w:tab/>
            </w:r>
            <w:r>
              <w:rPr>
                <w:rStyle w:val="IndexLink"/>
                <w:rFonts w:cs="Arial" w:ascii="Arial" w:hAnsi="Arial"/>
                <w:lang w:val="en-US" w:eastAsia="en-US"/>
              </w:rPr>
              <w:t>Service Provider Services Delivery Leader</w:t>
            </w:r>
            <w:r>
              <w:rPr>
                <w:rStyle w:val="IndexLink"/>
                <w:lang w:val="en-US" w:eastAsia="en-US"/>
              </w:rPr>
              <w:tab/>
              <w:t>9</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01">
            <w:r>
              <w:rPr>
                <w:rStyle w:val="IndexLink"/>
                <w:rFonts w:cs="Arial"/>
                <w:lang w:val="en-US" w:eastAsia="en-US"/>
              </w:rPr>
              <w:t>3.2.4</w:t>
            </w:r>
            <w:r>
              <w:rPr>
                <w:rStyle w:val="IndexLink"/>
                <w:i w:val="false"/>
                <w:iCs w:val="false"/>
                <w:sz w:val="24"/>
                <w:szCs w:val="24"/>
                <w:lang w:val="de-CH" w:eastAsia="en-US"/>
              </w:rPr>
              <w:tab/>
            </w:r>
            <w:r>
              <w:rPr>
                <w:rStyle w:val="IndexLink"/>
                <w:rFonts w:cs="Arial" w:ascii="Arial" w:hAnsi="Arial"/>
                <w:lang w:val="en-US" w:eastAsia="en-US"/>
              </w:rPr>
              <w:t>Service Provider Transition Manager</w:t>
            </w:r>
            <w:r>
              <w:rPr>
                <w:rStyle w:val="IndexLink"/>
                <w:lang w:val="en-US" w:eastAsia="en-US"/>
              </w:rPr>
              <w:tab/>
              <w:t>10</w:t>
            </w:r>
          </w:hyperlink>
        </w:p>
        <w:p>
          <w:pPr>
            <w:pStyle w:val="TOC3"/>
            <w:tabs>
              <w:tab w:val="clear" w:pos="720"/>
              <w:tab w:val="left" w:pos="880" w:leader="none"/>
              <w:tab w:val="right" w:pos="10250" w:leader="dot"/>
            </w:tabs>
            <w:rPr>
              <w:i w:val="false"/>
              <w:i w:val="false"/>
              <w:iCs w:val="false"/>
              <w:sz w:val="24"/>
              <w:szCs w:val="24"/>
              <w:lang w:val="de-CH" w:eastAsia="en-US"/>
            </w:rPr>
          </w:pPr>
          <w:hyperlink w:anchor="__RefHeading___Toc157158902">
            <w:r>
              <w:rPr>
                <w:rStyle w:val="IndexLink"/>
                <w:i w:val="false"/>
                <w:iCs w:val="false"/>
                <w:sz w:val="24"/>
                <w:szCs w:val="24"/>
                <w:lang w:val="de-CH" w:eastAsia="en-US"/>
              </w:rPr>
              <w:tab/>
            </w:r>
            <w:r>
              <w:rPr>
                <w:rStyle w:val="IndexLink"/>
                <w:rFonts w:cs="Arial" w:ascii="Arial" w:hAnsi="Arial"/>
                <w:lang w:val="en-US" w:eastAsia="en-US"/>
              </w:rPr>
              <w:t>Service Provider Operations Managers</w:t>
            </w:r>
            <w:r>
              <w:rPr>
                <w:rStyle w:val="IndexLink"/>
                <w:lang w:val="en-US" w:eastAsia="en-US"/>
              </w:rPr>
              <w:tab/>
              <w:t>10</w:t>
            </w:r>
          </w:hyperlink>
        </w:p>
        <w:p>
          <w:pPr>
            <w:pStyle w:val="TOC3"/>
            <w:tabs>
              <w:tab w:val="clear" w:pos="720"/>
              <w:tab w:val="right" w:pos="10250" w:leader="dot"/>
            </w:tabs>
            <w:rPr>
              <w:i w:val="false"/>
              <w:i w:val="false"/>
              <w:iCs w:val="false"/>
              <w:sz w:val="24"/>
              <w:szCs w:val="24"/>
              <w:lang w:val="de-CH" w:eastAsia="en-US"/>
            </w:rPr>
          </w:pPr>
          <w:hyperlink w:anchor="__RefHeading___Toc157158903">
            <w:r>
              <w:rPr>
                <w:rStyle w:val="IndexLink"/>
                <w:rFonts w:cs="Arial"/>
                <w:lang w:val="en-US" w:eastAsia="en-US"/>
              </w:rPr>
              <w:t>3.2.5</w:t>
            </w:r>
            <w:r>
              <w:rPr>
                <w:rStyle w:val="IndexLink"/>
                <w:lang w:val="en-US" w:eastAsia="en-US"/>
              </w:rPr>
              <w:tab/>
              <w:t>10</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08">
            <w:r>
              <w:rPr>
                <w:rStyle w:val="IndexLink"/>
                <w:rFonts w:cs="Arial"/>
                <w:lang w:val="en-US" w:eastAsia="en-US"/>
              </w:rPr>
              <w:t>3.2.6</w:t>
            </w:r>
            <w:r>
              <w:rPr>
                <w:rStyle w:val="IndexLink"/>
                <w:i w:val="false"/>
                <w:iCs w:val="false"/>
                <w:sz w:val="24"/>
                <w:szCs w:val="24"/>
                <w:lang w:val="de-CH" w:eastAsia="en-US"/>
              </w:rPr>
              <w:tab/>
            </w:r>
            <w:r>
              <w:rPr>
                <w:rStyle w:val="IndexLink"/>
                <w:rFonts w:cs="Arial" w:ascii="Arial" w:hAnsi="Arial"/>
                <w:lang w:val="en-US" w:eastAsia="en-US"/>
              </w:rPr>
              <w:t>Service Provider Global Process Champion’s</w:t>
            </w:r>
            <w:r>
              <w:rPr>
                <w:rStyle w:val="IndexLink"/>
                <w:lang w:val="en-US" w:eastAsia="en-US"/>
              </w:rPr>
              <w:tab/>
              <w:t>11</w:t>
            </w:r>
          </w:hyperlink>
        </w:p>
        <w:p>
          <w:pPr>
            <w:pStyle w:val="TOC1"/>
            <w:tabs>
              <w:tab w:val="clear" w:pos="720"/>
              <w:tab w:val="left" w:pos="660" w:leader="none"/>
              <w:tab w:val="right" w:pos="10250" w:leader="dot"/>
            </w:tabs>
            <w:rPr>
              <w:b w:val="false"/>
              <w:bCs w:val="false"/>
              <w:caps w:val="false"/>
              <w:smallCaps w:val="false"/>
              <w:sz w:val="24"/>
              <w:szCs w:val="24"/>
              <w:lang w:val="de-CH" w:eastAsia="en-US"/>
            </w:rPr>
          </w:pPr>
          <w:hyperlink w:anchor="__RefHeading___Toc157158910">
            <w:r>
              <w:rPr>
                <w:rStyle w:val="IndexLink"/>
                <w:rFonts w:cs="Arial"/>
                <w:lang w:val="en-US" w:eastAsia="en-US"/>
              </w:rPr>
              <w:t>4.0</w:t>
            </w:r>
            <w:r>
              <w:rPr>
                <w:rStyle w:val="IndexLink"/>
                <w:b w:val="false"/>
                <w:bCs w:val="false"/>
                <w:caps w:val="false"/>
                <w:smallCaps w:val="false"/>
                <w:sz w:val="24"/>
                <w:szCs w:val="24"/>
                <w:lang w:val="de-CH" w:eastAsia="en-US"/>
              </w:rPr>
              <w:tab/>
            </w:r>
            <w:r>
              <w:rPr>
                <w:rStyle w:val="IndexLink"/>
                <w:rFonts w:cs="Arial" w:ascii="Arial" w:hAnsi="Arial"/>
                <w:lang w:val="en-US" w:eastAsia="en-US"/>
              </w:rPr>
              <w:t>Committees and Teams</w:t>
            </w:r>
            <w:r>
              <w:rPr>
                <w:rStyle w:val="IndexLink"/>
                <w:lang w:val="en-US" w:eastAsia="en-US"/>
              </w:rPr>
              <w:tab/>
              <w:t>12</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158911">
            <w:r>
              <w:rPr>
                <w:rStyle w:val="IndexLink"/>
                <w:rFonts w:cs="Arial"/>
                <w:lang w:val="en-US" w:eastAsia="en-US"/>
              </w:rPr>
              <w:t>4.1</w:t>
            </w:r>
            <w:r>
              <w:rPr>
                <w:rStyle w:val="IndexLink"/>
                <w:caps w:val="false"/>
                <w:smallCaps w:val="false"/>
                <w:sz w:val="24"/>
                <w:szCs w:val="24"/>
                <w:lang w:val="de-CH" w:eastAsia="en-US"/>
              </w:rPr>
              <w:tab/>
            </w:r>
            <w:r>
              <w:rPr>
                <w:rStyle w:val="IndexLink"/>
                <w:rFonts w:cs="Arial" w:ascii="Arial" w:hAnsi="Arial"/>
                <w:lang w:val="en-US" w:eastAsia="en-US"/>
              </w:rPr>
              <w:t>Novartis Pharma Shared Services Steering Committee</w:t>
            </w:r>
            <w:r>
              <w:rPr>
                <w:rStyle w:val="IndexLink"/>
                <w:lang w:val="en-US" w:eastAsia="en-US"/>
              </w:rPr>
              <w:tab/>
              <w:t>12</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12">
            <w:r>
              <w:rPr>
                <w:rStyle w:val="IndexLink"/>
                <w:rFonts w:cs="Arial"/>
                <w:lang w:val="en-US" w:eastAsia="en-US"/>
              </w:rPr>
              <w:t>4.1.1</w:t>
            </w:r>
            <w:r>
              <w:rPr>
                <w:rStyle w:val="IndexLink"/>
                <w:i w:val="false"/>
                <w:iCs w:val="false"/>
                <w:sz w:val="24"/>
                <w:szCs w:val="24"/>
                <w:lang w:val="de-CH" w:eastAsia="en-US"/>
              </w:rPr>
              <w:tab/>
            </w:r>
            <w:r>
              <w:rPr>
                <w:rStyle w:val="IndexLink"/>
                <w:rFonts w:cs="Arial" w:ascii="Arial" w:hAnsi="Arial"/>
                <w:lang w:val="en-US" w:eastAsia="en-US"/>
              </w:rPr>
              <w:t>Members</w:t>
            </w:r>
            <w:r>
              <w:rPr>
                <w:rStyle w:val="IndexLink"/>
                <w:lang w:val="en-US" w:eastAsia="en-US"/>
              </w:rPr>
              <w:tab/>
              <w:t>12</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13">
            <w:r>
              <w:rPr>
                <w:rStyle w:val="IndexLink"/>
                <w:rFonts w:cs="Arial"/>
                <w:lang w:val="en-US" w:eastAsia="en-US"/>
              </w:rPr>
              <w:t>4.1.2</w:t>
            </w:r>
            <w:r>
              <w:rPr>
                <w:rStyle w:val="IndexLink"/>
                <w:i w:val="false"/>
                <w:iCs w:val="false"/>
                <w:sz w:val="24"/>
                <w:szCs w:val="24"/>
                <w:lang w:val="de-CH" w:eastAsia="en-US"/>
              </w:rPr>
              <w:tab/>
            </w:r>
            <w:r>
              <w:rPr>
                <w:rStyle w:val="IndexLink"/>
                <w:rFonts w:cs="Arial" w:ascii="Arial" w:hAnsi="Arial"/>
                <w:lang w:val="en-US" w:eastAsia="en-US"/>
              </w:rPr>
              <w:t>Key Responsibilities</w:t>
            </w:r>
            <w:r>
              <w:rPr>
                <w:rStyle w:val="IndexLink"/>
                <w:lang w:val="en-US" w:eastAsia="en-US"/>
              </w:rPr>
              <w:tab/>
              <w:t>13</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14">
            <w:r>
              <w:rPr>
                <w:rStyle w:val="IndexLink"/>
                <w:rFonts w:cs="Arial"/>
                <w:lang w:val="en-US" w:eastAsia="en-US"/>
              </w:rPr>
              <w:t>4.1.3</w:t>
            </w:r>
            <w:r>
              <w:rPr>
                <w:rStyle w:val="IndexLink"/>
                <w:i w:val="false"/>
                <w:iCs w:val="false"/>
                <w:sz w:val="24"/>
                <w:szCs w:val="24"/>
                <w:lang w:val="de-CH" w:eastAsia="en-US"/>
              </w:rPr>
              <w:tab/>
            </w:r>
            <w:r>
              <w:rPr>
                <w:rStyle w:val="IndexLink"/>
                <w:rFonts w:cs="Arial" w:ascii="Arial" w:hAnsi="Arial"/>
                <w:lang w:val="en-US" w:eastAsia="en-US"/>
              </w:rPr>
              <w:t>Reports</w:t>
            </w:r>
            <w:r>
              <w:rPr>
                <w:rStyle w:val="IndexLink"/>
                <w:lang w:val="en-US" w:eastAsia="en-US"/>
              </w:rPr>
              <w:tab/>
              <w:t>14</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15">
            <w:r>
              <w:rPr>
                <w:rStyle w:val="IndexLink"/>
                <w:rFonts w:cs="Arial"/>
                <w:lang w:val="en-US" w:eastAsia="en-US"/>
              </w:rPr>
              <w:t>4.1.4</w:t>
            </w:r>
            <w:r>
              <w:rPr>
                <w:rStyle w:val="IndexLink"/>
                <w:i w:val="false"/>
                <w:iCs w:val="false"/>
                <w:sz w:val="24"/>
                <w:szCs w:val="24"/>
                <w:lang w:val="de-CH" w:eastAsia="en-US"/>
              </w:rPr>
              <w:tab/>
            </w:r>
            <w:r>
              <w:rPr>
                <w:rStyle w:val="IndexLink"/>
                <w:rFonts w:cs="Arial" w:ascii="Arial" w:hAnsi="Arial"/>
                <w:lang w:val="en-US" w:eastAsia="en-US"/>
              </w:rPr>
              <w:t>Meetings</w:t>
            </w:r>
            <w:r>
              <w:rPr>
                <w:rStyle w:val="IndexLink"/>
                <w:lang w:val="en-US" w:eastAsia="en-US"/>
              </w:rPr>
              <w:tab/>
              <w:t>14</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158918">
            <w:r>
              <w:rPr>
                <w:rStyle w:val="IndexLink"/>
                <w:rFonts w:cs="Arial"/>
                <w:lang w:val="en-US" w:eastAsia="en-US"/>
              </w:rPr>
              <w:t>4.2</w:t>
            </w:r>
            <w:r>
              <w:rPr>
                <w:rStyle w:val="IndexLink"/>
                <w:caps w:val="false"/>
                <w:smallCaps w:val="false"/>
                <w:sz w:val="24"/>
                <w:szCs w:val="24"/>
                <w:lang w:val="de-CH" w:eastAsia="en-US"/>
              </w:rPr>
              <w:tab/>
            </w:r>
            <w:r>
              <w:rPr>
                <w:rStyle w:val="IndexLink"/>
                <w:rFonts w:cs="Arial" w:ascii="Arial" w:hAnsi="Arial"/>
                <w:lang w:val="en-US" w:eastAsia="en-US"/>
              </w:rPr>
              <w:t>Novartis Pharma F&amp;A Service Delivery Committee</w:t>
            </w:r>
            <w:r>
              <w:rPr>
                <w:rStyle w:val="IndexLink"/>
                <w:lang w:val="en-US" w:eastAsia="en-US"/>
              </w:rPr>
              <w:tab/>
              <w:t>14</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20">
            <w:r>
              <w:rPr>
                <w:rStyle w:val="IndexLink"/>
                <w:rFonts w:cs="Arial"/>
                <w:lang w:val="en-US" w:eastAsia="en-US"/>
              </w:rPr>
              <w:t>4.2.1</w:t>
            </w:r>
            <w:r>
              <w:rPr>
                <w:rStyle w:val="IndexLink"/>
                <w:i w:val="false"/>
                <w:iCs w:val="false"/>
                <w:sz w:val="24"/>
                <w:szCs w:val="24"/>
                <w:lang w:val="de-CH" w:eastAsia="en-US"/>
              </w:rPr>
              <w:tab/>
            </w:r>
            <w:r>
              <w:rPr>
                <w:rStyle w:val="IndexLink"/>
                <w:rFonts w:cs="Arial" w:ascii="Arial" w:hAnsi="Arial"/>
                <w:lang w:val="en-US" w:eastAsia="en-US"/>
              </w:rPr>
              <w:t>Members</w:t>
            </w:r>
            <w:r>
              <w:rPr>
                <w:rStyle w:val="IndexLink"/>
                <w:lang w:val="en-US" w:eastAsia="en-US"/>
              </w:rPr>
              <w:tab/>
              <w:t>14</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21">
            <w:r>
              <w:rPr>
                <w:rStyle w:val="IndexLink"/>
                <w:rFonts w:cs="Arial"/>
                <w:lang w:val="en-US" w:eastAsia="en-US"/>
              </w:rPr>
              <w:t>4.2.2</w:t>
            </w:r>
            <w:r>
              <w:rPr>
                <w:rStyle w:val="IndexLink"/>
                <w:i w:val="false"/>
                <w:iCs w:val="false"/>
                <w:sz w:val="24"/>
                <w:szCs w:val="24"/>
                <w:lang w:val="de-CH" w:eastAsia="en-US"/>
              </w:rPr>
              <w:tab/>
            </w:r>
            <w:r>
              <w:rPr>
                <w:rStyle w:val="IndexLink"/>
                <w:rFonts w:cs="Arial" w:ascii="Arial" w:hAnsi="Arial"/>
                <w:lang w:val="en-US" w:eastAsia="en-US"/>
              </w:rPr>
              <w:t>Authority</w:t>
            </w:r>
            <w:r>
              <w:rPr>
                <w:rStyle w:val="IndexLink"/>
                <w:lang w:val="en-US" w:eastAsia="en-US"/>
              </w:rPr>
              <w:tab/>
              <w:t>15</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26">
            <w:r>
              <w:rPr>
                <w:rStyle w:val="IndexLink"/>
                <w:rFonts w:cs="Arial"/>
                <w:lang w:val="en-US" w:eastAsia="en-US"/>
              </w:rPr>
              <w:t>4.2.3</w:t>
            </w:r>
            <w:r>
              <w:rPr>
                <w:rStyle w:val="IndexLink"/>
                <w:i w:val="false"/>
                <w:iCs w:val="false"/>
                <w:sz w:val="24"/>
                <w:szCs w:val="24"/>
                <w:lang w:val="de-CH" w:eastAsia="en-US"/>
              </w:rPr>
              <w:tab/>
            </w:r>
            <w:r>
              <w:rPr>
                <w:rStyle w:val="IndexLink"/>
                <w:rFonts w:cs="Arial" w:ascii="Arial" w:hAnsi="Arial"/>
                <w:lang w:val="en-US" w:eastAsia="en-US"/>
              </w:rPr>
              <w:t>Key Responsibilities</w:t>
            </w:r>
            <w:r>
              <w:rPr>
                <w:rStyle w:val="IndexLink"/>
                <w:lang w:val="en-US" w:eastAsia="en-US"/>
              </w:rPr>
              <w:tab/>
              <w:t>15</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27">
            <w:r>
              <w:rPr>
                <w:rStyle w:val="IndexLink"/>
                <w:rFonts w:cs="Arial"/>
                <w:lang w:val="en-US" w:eastAsia="en-US"/>
              </w:rPr>
              <w:t>4.2.4</w:t>
            </w:r>
            <w:r>
              <w:rPr>
                <w:rStyle w:val="IndexLink"/>
                <w:i w:val="false"/>
                <w:iCs w:val="false"/>
                <w:sz w:val="24"/>
                <w:szCs w:val="24"/>
                <w:lang w:val="de-CH" w:eastAsia="en-US"/>
              </w:rPr>
              <w:tab/>
            </w:r>
            <w:r>
              <w:rPr>
                <w:rStyle w:val="IndexLink"/>
                <w:rFonts w:cs="Arial" w:ascii="Arial" w:hAnsi="Arial"/>
                <w:lang w:val="en-US" w:eastAsia="en-US"/>
              </w:rPr>
              <w:t>Reports</w:t>
            </w:r>
            <w:r>
              <w:rPr>
                <w:rStyle w:val="IndexLink"/>
                <w:lang w:val="en-US" w:eastAsia="en-US"/>
              </w:rPr>
              <w:tab/>
              <w:t>16</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28">
            <w:r>
              <w:rPr>
                <w:rStyle w:val="IndexLink"/>
                <w:rFonts w:cs="Arial"/>
                <w:lang w:val="en-US" w:eastAsia="en-US"/>
              </w:rPr>
              <w:t>4.2.5</w:t>
            </w:r>
            <w:r>
              <w:rPr>
                <w:rStyle w:val="IndexLink"/>
                <w:i w:val="false"/>
                <w:iCs w:val="false"/>
                <w:sz w:val="24"/>
                <w:szCs w:val="24"/>
                <w:lang w:val="de-CH" w:eastAsia="en-US"/>
              </w:rPr>
              <w:tab/>
            </w:r>
            <w:r>
              <w:rPr>
                <w:rStyle w:val="IndexLink"/>
                <w:rFonts w:cs="Arial" w:ascii="Arial" w:hAnsi="Arial"/>
                <w:lang w:val="en-US" w:eastAsia="en-US"/>
              </w:rPr>
              <w:t>Meetings</w:t>
            </w:r>
            <w:r>
              <w:rPr>
                <w:rStyle w:val="IndexLink"/>
                <w:lang w:val="en-US" w:eastAsia="en-US"/>
              </w:rPr>
              <w:tab/>
              <w:t>16</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158929">
            <w:r>
              <w:rPr>
                <w:rStyle w:val="IndexLink"/>
                <w:rFonts w:cs="Arial"/>
                <w:lang w:val="en-US" w:eastAsia="en-US"/>
              </w:rPr>
              <w:t>4.3</w:t>
            </w:r>
            <w:r>
              <w:rPr>
                <w:rStyle w:val="IndexLink"/>
                <w:caps w:val="false"/>
                <w:smallCaps w:val="false"/>
                <w:sz w:val="24"/>
                <w:szCs w:val="24"/>
                <w:lang w:val="de-CH" w:eastAsia="en-US"/>
              </w:rPr>
              <w:tab/>
            </w:r>
            <w:r>
              <w:rPr>
                <w:rStyle w:val="IndexLink"/>
                <w:rFonts w:cs="Arial" w:ascii="Arial" w:hAnsi="Arial"/>
                <w:lang w:val="en-US" w:eastAsia="en-US"/>
              </w:rPr>
              <w:t>Novartis Pharma Shared Services IT Committee</w:t>
            </w:r>
            <w:r>
              <w:rPr>
                <w:rStyle w:val="IndexLink"/>
                <w:lang w:val="en-US" w:eastAsia="en-US"/>
              </w:rPr>
              <w:tab/>
              <w:t>17</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30">
            <w:r>
              <w:rPr>
                <w:rStyle w:val="IndexLink"/>
                <w:rFonts w:cs="Arial"/>
                <w:lang w:val="en-US" w:eastAsia="en-US"/>
              </w:rPr>
              <w:t>4.3.1</w:t>
            </w:r>
            <w:r>
              <w:rPr>
                <w:rStyle w:val="IndexLink"/>
                <w:i w:val="false"/>
                <w:iCs w:val="false"/>
                <w:sz w:val="24"/>
                <w:szCs w:val="24"/>
                <w:lang w:val="de-CH" w:eastAsia="en-US"/>
              </w:rPr>
              <w:tab/>
            </w:r>
            <w:r>
              <w:rPr>
                <w:rStyle w:val="IndexLink"/>
                <w:rFonts w:cs="Arial" w:ascii="Arial" w:hAnsi="Arial"/>
                <w:lang w:val="en-US" w:eastAsia="en-US"/>
              </w:rPr>
              <w:t>Members</w:t>
            </w:r>
            <w:r>
              <w:rPr>
                <w:rStyle w:val="IndexLink"/>
                <w:lang w:val="en-US" w:eastAsia="en-US"/>
              </w:rPr>
              <w:tab/>
              <w:t>17</w:t>
            </w:r>
          </w:hyperlink>
        </w:p>
        <w:p>
          <w:pPr>
            <w:pStyle w:val="TOC3"/>
            <w:tabs>
              <w:tab w:val="clear" w:pos="720"/>
              <w:tab w:val="left" w:pos="1100" w:leader="none"/>
              <w:tab w:val="right" w:pos="10250" w:leader="dot"/>
            </w:tabs>
            <w:rPr>
              <w:i w:val="false"/>
              <w:i w:val="false"/>
              <w:iCs w:val="false"/>
              <w:sz w:val="24"/>
              <w:szCs w:val="24"/>
              <w:lang w:val="de-CH" w:eastAsia="en-US"/>
            </w:rPr>
          </w:pPr>
          <w:hyperlink w:anchor="__RefHeading___Toc157158931">
            <w:r>
              <w:rPr>
                <w:rStyle w:val="IndexLink"/>
                <w:rFonts w:cs="Arial"/>
                <w:lang w:val="en-US" w:eastAsia="en-US"/>
              </w:rPr>
              <w:t>4.3.2</w:t>
            </w:r>
            <w:r>
              <w:rPr>
                <w:rStyle w:val="IndexLink"/>
                <w:i w:val="false"/>
                <w:iCs w:val="false"/>
                <w:sz w:val="24"/>
                <w:szCs w:val="24"/>
                <w:lang w:val="de-CH" w:eastAsia="en-US"/>
              </w:rPr>
              <w:tab/>
            </w:r>
            <w:r>
              <w:rPr>
                <w:rStyle w:val="IndexLink"/>
                <w:rFonts w:cs="Arial" w:ascii="Arial" w:hAnsi="Arial"/>
                <w:lang w:val="en-US" w:eastAsia="en-US"/>
              </w:rPr>
              <w:t>Key Responsibilities</w:t>
            </w:r>
            <w:r>
              <w:rPr>
                <w:rStyle w:val="IndexLink"/>
                <w:lang w:val="en-US" w:eastAsia="en-US"/>
              </w:rPr>
              <w:tab/>
              <w:t>17</w:t>
            </w:r>
          </w:hyperlink>
        </w:p>
        <w:p>
          <w:pPr>
            <w:pStyle w:val="TOC1"/>
            <w:tabs>
              <w:tab w:val="clear" w:pos="720"/>
              <w:tab w:val="left" w:pos="660" w:leader="none"/>
              <w:tab w:val="right" w:pos="10250" w:leader="dot"/>
            </w:tabs>
            <w:rPr>
              <w:b w:val="false"/>
              <w:bCs w:val="false"/>
              <w:caps w:val="false"/>
              <w:smallCaps w:val="false"/>
              <w:sz w:val="24"/>
              <w:szCs w:val="24"/>
              <w:lang w:val="de-CH" w:eastAsia="en-US"/>
            </w:rPr>
          </w:pPr>
          <w:hyperlink w:anchor="__RefHeading___Toc157158932">
            <w:r>
              <w:rPr>
                <w:rStyle w:val="IndexLink"/>
                <w:rFonts w:cs="Arial"/>
                <w:lang w:val="en-US" w:eastAsia="en-US"/>
              </w:rPr>
              <w:t>5.0</w:t>
            </w:r>
            <w:r>
              <w:rPr>
                <w:rStyle w:val="IndexLink"/>
                <w:b w:val="false"/>
                <w:bCs w:val="false"/>
                <w:caps w:val="false"/>
                <w:smallCaps w:val="false"/>
                <w:sz w:val="24"/>
                <w:szCs w:val="24"/>
                <w:lang w:val="de-CH" w:eastAsia="en-US"/>
              </w:rPr>
              <w:tab/>
            </w:r>
            <w:r>
              <w:rPr>
                <w:rStyle w:val="IndexLink"/>
                <w:rFonts w:cs="Arial" w:ascii="Arial" w:hAnsi="Arial"/>
                <w:lang w:val="en-US" w:eastAsia="en-US"/>
              </w:rPr>
              <w:t>Policies and Procedures Manual</w:t>
            </w:r>
            <w:r>
              <w:rPr>
                <w:rStyle w:val="IndexLink"/>
                <w:lang w:val="en-US" w:eastAsia="en-US"/>
              </w:rPr>
              <w:tab/>
              <w:t>18</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158934">
            <w:r>
              <w:rPr>
                <w:rStyle w:val="IndexLink"/>
                <w:rFonts w:cs="Arial"/>
                <w:lang w:val="en-US" w:eastAsia="en-US"/>
              </w:rPr>
              <w:t>5.1</w:t>
            </w:r>
            <w:r>
              <w:rPr>
                <w:rStyle w:val="IndexLink"/>
                <w:caps w:val="false"/>
                <w:smallCaps w:val="false"/>
                <w:sz w:val="24"/>
                <w:szCs w:val="24"/>
                <w:lang w:val="de-CH" w:eastAsia="en-US"/>
              </w:rPr>
              <w:tab/>
            </w:r>
            <w:r>
              <w:rPr>
                <w:rStyle w:val="IndexLink"/>
                <w:rFonts w:cs="Arial" w:ascii="Arial" w:hAnsi="Arial"/>
                <w:lang w:val="en-US" w:eastAsia="en-US"/>
              </w:rPr>
              <w:t>Content Required Prior to the Effective Date</w:t>
            </w:r>
            <w:r>
              <w:rPr>
                <w:rStyle w:val="IndexLink"/>
                <w:lang w:val="en-US" w:eastAsia="en-US"/>
              </w:rPr>
              <w:tab/>
              <w:t>19</w:t>
            </w:r>
          </w:hyperlink>
        </w:p>
        <w:p>
          <w:pPr>
            <w:pStyle w:val="TOC2"/>
            <w:tabs>
              <w:tab w:val="clear" w:pos="720"/>
              <w:tab w:val="left" w:pos="880" w:leader="none"/>
              <w:tab w:val="right" w:pos="10250" w:leader="dot"/>
            </w:tabs>
            <w:rPr>
              <w:caps w:val="false"/>
              <w:smallCaps w:val="false"/>
              <w:sz w:val="24"/>
              <w:szCs w:val="24"/>
              <w:lang w:val="de-CH" w:eastAsia="en-US"/>
            </w:rPr>
          </w:pPr>
          <w:hyperlink w:anchor="__RefHeading___Toc157158936">
            <w:r>
              <w:rPr>
                <w:rStyle w:val="IndexLink"/>
                <w:rFonts w:cs="Arial"/>
                <w:lang w:val="en-US" w:eastAsia="en-US"/>
              </w:rPr>
              <w:t>5.2</w:t>
            </w:r>
            <w:r>
              <w:rPr>
                <w:rStyle w:val="IndexLink"/>
                <w:caps w:val="false"/>
                <w:smallCaps w:val="false"/>
                <w:sz w:val="24"/>
                <w:szCs w:val="24"/>
                <w:lang w:val="de-CH" w:eastAsia="en-US"/>
              </w:rPr>
              <w:tab/>
            </w:r>
            <w:r>
              <w:rPr>
                <w:rStyle w:val="IndexLink"/>
                <w:rFonts w:cs="Arial" w:ascii="Arial" w:hAnsi="Arial"/>
                <w:lang w:val="en-US" w:eastAsia="en-US"/>
              </w:rPr>
              <w:t>Content Required After the Effective Date</w:t>
            </w:r>
            <w:r>
              <w:rPr>
                <w:rStyle w:val="IndexLink"/>
                <w:lang w:val="en-US" w:eastAsia="en-US"/>
              </w:rPr>
              <w:tab/>
              <w:t>19</w:t>
            </w:r>
          </w:hyperlink>
        </w:p>
        <w:p>
          <w:pPr>
            <w:pStyle w:val="TOC1"/>
            <w:tabs>
              <w:tab w:val="clear" w:pos="720"/>
              <w:tab w:val="left" w:pos="660" w:leader="none"/>
              <w:tab w:val="right" w:pos="10250" w:leader="dot"/>
            </w:tabs>
            <w:rPr>
              <w:b w:val="false"/>
              <w:bCs w:val="false"/>
              <w:caps w:val="false"/>
              <w:smallCaps w:val="false"/>
              <w:sz w:val="24"/>
              <w:szCs w:val="24"/>
              <w:lang w:val="de-CH" w:eastAsia="en-US"/>
            </w:rPr>
          </w:pPr>
          <w:hyperlink w:anchor="__RefHeading___Toc157158938">
            <w:r>
              <w:rPr>
                <w:rStyle w:val="IndexLink"/>
                <w:rFonts w:cs="Arial"/>
                <w:lang w:val="en-US" w:eastAsia="en-US"/>
              </w:rPr>
              <w:t>6.0</w:t>
            </w:r>
            <w:r>
              <w:rPr>
                <w:rStyle w:val="IndexLink"/>
                <w:b w:val="false"/>
                <w:bCs w:val="false"/>
                <w:caps w:val="false"/>
                <w:smallCaps w:val="false"/>
                <w:sz w:val="24"/>
                <w:szCs w:val="24"/>
                <w:lang w:val="de-CH" w:eastAsia="en-US"/>
              </w:rPr>
              <w:tab/>
            </w:r>
            <w:r>
              <w:rPr>
                <w:rStyle w:val="IndexLink"/>
                <w:rFonts w:cs="Arial" w:ascii="Arial" w:hAnsi="Arial"/>
                <w:lang w:val="en-US" w:eastAsia="en-US"/>
              </w:rPr>
              <w:t>Issue Escalation Procedures</w:t>
            </w:r>
            <w:r>
              <w:rPr>
                <w:rStyle w:val="IndexLink"/>
                <w:lang w:val="en-US" w:eastAsia="en-US"/>
              </w:rPr>
              <w:tab/>
              <w:t>20</w:t>
            </w:r>
          </w:hyperlink>
        </w:p>
        <w:p>
          <w:pPr>
            <w:pStyle w:val="TOC1"/>
            <w:tabs>
              <w:tab w:val="clear" w:pos="720"/>
              <w:tab w:val="left" w:pos="660" w:leader="none"/>
              <w:tab w:val="right" w:pos="10250" w:leader="dot"/>
            </w:tabs>
            <w:rPr>
              <w:b w:val="false"/>
              <w:bCs w:val="false"/>
              <w:caps w:val="false"/>
              <w:smallCaps w:val="false"/>
              <w:sz w:val="24"/>
              <w:szCs w:val="24"/>
              <w:lang w:val="en-US" w:eastAsia="en-US"/>
            </w:rPr>
          </w:pPr>
          <w:r>
            <w:rPr>
              <w:b w:val="false"/>
              <w:bCs w:val="false"/>
              <w:caps w:val="false"/>
              <w:smallCaps w:val="false"/>
              <w:sz w:val="24"/>
              <w:szCs w:val="24"/>
              <w:lang w:val="en-US" w:eastAsia="en-US"/>
            </w:rPr>
          </w:r>
        </w:p>
        <w:p>
          <w:pPr>
            <w:pStyle w:val="TOC1"/>
            <w:tabs>
              <w:tab w:val="clear" w:pos="720"/>
              <w:tab w:val="left" w:pos="660" w:leader="none"/>
              <w:tab w:val="right" w:pos="10250" w:leader="dot"/>
            </w:tabs>
            <w:rPr>
              <w:lang w:val="en-US" w:eastAsia="en-US"/>
            </w:rPr>
          </w:pPr>
          <w:r>
            <w:rPr>
              <w:lang w:val="en-US" w:eastAsia="en-US"/>
            </w:rPr>
          </w:r>
          <w:r>
            <w:rPr>
              <w:lang w:val="en-US" w:eastAsia="en-US"/>
            </w:rPr>
            <w:fldChar w:fldCharType="end"/>
          </w:r>
        </w:p>
      </w:sdtContent>
    </w:sdt>
    <w:p>
      <w:pPr>
        <w:pStyle w:val="Normal"/>
        <w:spacing w:before="120" w:after="0"/>
        <w:rPr>
          <w:rFonts w:ascii="Arial" w:hAnsi="Arial" w:cs="Arial"/>
          <w:b/>
          <w:bCs/>
          <w:caps/>
          <w:sz w:val="20"/>
          <w:szCs w:val="20"/>
          <w:lang w:val="de-CH" w:eastAsia="en-US"/>
        </w:rPr>
      </w:pPr>
      <w:r>
        <w:rPr>
          <w:rFonts w:cs="Arial" w:ascii="Arial" w:hAnsi="Arial"/>
          <w:b/>
          <w:bCs/>
          <w:caps/>
          <w:sz w:val="20"/>
          <w:szCs w:val="20"/>
          <w:lang w:val="de-CH" w:eastAsia="en-US"/>
        </w:rPr>
      </w:r>
      <w:r>
        <w:br w:type="page"/>
      </w:r>
    </w:p>
    <w:p>
      <w:pPr>
        <w:pStyle w:val="Normal"/>
        <w:rPr>
          <w:rFonts w:ascii="Arial" w:hAnsi="Arial" w:cs="Arial"/>
          <w:lang w:val="de-CH"/>
        </w:rPr>
      </w:pPr>
      <w:r>
        <w:rPr>
          <w:rFonts w:cs="Arial" w:ascii="Arial" w:hAnsi="Arial"/>
          <w:lang w:val="de-CH"/>
        </w:rPr>
      </w:r>
    </w:p>
    <w:p>
      <w:pPr>
        <w:pStyle w:val="Heading1Numbered"/>
        <w:numPr>
          <w:ilvl w:val="0"/>
          <w:numId w:val="12"/>
        </w:numPr>
        <w:ind w:hanging="0" w:start="0"/>
        <w:rPr>
          <w:rFonts w:ascii="Arial" w:hAnsi="Arial" w:cs="Arial"/>
        </w:rPr>
      </w:pPr>
      <w:bookmarkStart w:id="0" w:name="__RefHeading___Toc157158868"/>
      <w:bookmarkEnd w:id="0"/>
      <w:r>
        <w:rPr>
          <w:rFonts w:cs="Arial" w:ascii="Arial" w:hAnsi="Arial"/>
        </w:rPr>
        <w:t>Introduction</w:t>
      </w:r>
    </w:p>
    <w:p>
      <w:pPr>
        <w:pStyle w:val="TableText"/>
        <w:jc w:val="both"/>
        <w:rPr>
          <w:rFonts w:ascii="Arial" w:hAnsi="Arial" w:cs="Arial"/>
        </w:rPr>
      </w:pPr>
      <w:r>
        <w:rPr>
          <w:rFonts w:cs="Arial" w:ascii="Arial" w:hAnsi="Arial"/>
        </w:rPr>
        <w:t>This Exhibit sets out the Governance structure for the Agreement; the roles and responsibilities of both Parties to maintain a working relationship; and the type, content and frequency of the Agreement review meetings that will be held. Both Parties agree that should a given responsibility of one Party be omitted from the roles and responsibilities of a Team Member, it is the intent of both Parties that the Team Member roles are a mirror image of the other Party.</w:t>
      </w:r>
    </w:p>
    <w:p>
      <w:pPr>
        <w:pStyle w:val="Heading1Numbered"/>
        <w:numPr>
          <w:ilvl w:val="0"/>
          <w:numId w:val="12"/>
        </w:numPr>
        <w:ind w:hanging="0" w:start="0"/>
        <w:rPr>
          <w:rFonts w:ascii="Arial" w:hAnsi="Arial" w:cs="Arial"/>
        </w:rPr>
      </w:pPr>
      <w:bookmarkStart w:id="1" w:name="__RefHeading___Toc157158869"/>
      <w:bookmarkEnd w:id="1"/>
      <w:r>
        <w:rPr>
          <w:rFonts w:cs="Arial" w:ascii="Arial" w:hAnsi="Arial"/>
        </w:rPr>
        <w:t>governance Roles and Reporting chart</w:t>
      </w:r>
    </w:p>
    <w:tbl>
      <w:tblPr>
        <w:tblW w:w="10476" w:type="dxa"/>
        <w:jc w:val="start"/>
        <w:tblInd w:w="0" w:type="dxa"/>
        <w:tblLayout w:type="fixed"/>
        <w:tblCellMar>
          <w:top w:w="0" w:type="dxa"/>
          <w:start w:w="108" w:type="dxa"/>
          <w:bottom w:w="0" w:type="dxa"/>
          <w:end w:w="108" w:type="dxa"/>
        </w:tblCellMar>
      </w:tblPr>
      <w:tblGrid>
        <w:gridCol w:w="6228"/>
        <w:gridCol w:w="4248"/>
      </w:tblGrid>
      <w:tr>
        <w:trPr/>
        <w:tc>
          <w:tcPr>
            <w:tcW w:w="622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GlobalPharma</w:t>
            </w:r>
          </w:p>
        </w:tc>
        <w:tc>
          <w:tcPr>
            <w:tcW w:w="424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Service Provider</w:t>
            </w:r>
          </w:p>
        </w:tc>
      </w:tr>
      <w:tr>
        <w:trPr/>
        <w:tc>
          <w:tcPr>
            <w:tcW w:w="6228" w:type="dxa"/>
            <w:tcBorders>
              <w:top w:val="single" w:sz="4" w:space="0" w:color="000000"/>
              <w:start w:val="single" w:sz="4" w:space="0" w:color="000000"/>
              <w:bottom w:val="single" w:sz="4" w:space="0" w:color="000000"/>
              <w:end w:val="single" w:sz="4" w:space="0" w:color="000000"/>
            </w:tcBorders>
          </w:tcPr>
          <w:p>
            <w:pPr>
              <w:pStyle w:val="TableText"/>
              <w:tabs>
                <w:tab w:val="clear" w:pos="720"/>
                <w:tab w:val="left" w:pos="2175" w:leader="none"/>
              </w:tabs>
              <w:spacing w:before="120" w:after="120"/>
              <w:rPr>
                <w:i/>
                <w:i/>
              </w:rPr>
            </w:pPr>
            <w:r>
              <w:rPr/>
              <w:t>Contract Executive</w:t>
            </w:r>
          </w:p>
        </w:tc>
        <w:tc>
          <w:tcPr>
            <w:tcW w:w="424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Executive Sponsor</w:t>
            </w:r>
          </w:p>
        </w:tc>
      </w:tr>
      <w:tr>
        <w:trPr/>
        <w:tc>
          <w:tcPr>
            <w:tcW w:w="622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 xml:space="preserve">Head Financial Shared Service    </w:t>
            </w:r>
            <w:r>
              <w:rPr>
                <w:i/>
              </w:rPr>
              <w:t>Escalation Governance</w:t>
            </w:r>
          </w:p>
          <w:p>
            <w:pPr>
              <w:pStyle w:val="TableText"/>
              <w:spacing w:before="120" w:after="120"/>
              <w:rPr>
                <w:lang w:val="en-US" w:eastAsia="en-US"/>
              </w:rPr>
            </w:pPr>
            <w:r>
              <w:rPr>
                <w:lang w:val="en-US" w:eastAsia="en-US"/>
              </w:rPr>
              <mc:AlternateContent>
                <mc:Choice Requires="wps">
                  <w:drawing>
                    <wp:anchor behindDoc="0" distT="0" distB="0" distL="114935" distR="114935" simplePos="0" locked="0" layoutInCell="1" allowOverlap="1" relativeHeight="32">
                      <wp:simplePos x="0" y="0"/>
                      <wp:positionH relativeFrom="column">
                        <wp:posOffset>1832610</wp:posOffset>
                      </wp:positionH>
                      <wp:positionV relativeFrom="paragraph">
                        <wp:posOffset>155575</wp:posOffset>
                      </wp:positionV>
                      <wp:extent cx="2067560" cy="3810"/>
                      <wp:effectExtent l="635" t="66675" r="0" b="63500"/>
                      <wp:wrapNone/>
                      <wp:docPr id="1" name=""/>
                      <a:graphic xmlns:a="http://schemas.openxmlformats.org/drawingml/2006/main">
                        <a:graphicData uri="http://schemas.microsoft.com/office/word/2010/wordprocessingShape">
                          <wps:wsp>
                            <wps:cNvSpPr/>
                            <wps:spPr>
                              <a:xfrm flipV="1">
                                <a:off x="0" y="0"/>
                                <a:ext cx="2067480" cy="3960"/>
                              </a:xfrm>
                              <a:prstGeom prst="line">
                                <a:avLst/>
                              </a:prstGeom>
                              <a:ln w="44280">
                                <a:solidFill>
                                  <a:srgbClr val="000000"/>
                                </a:solidFill>
                                <a:prstDash val="dash"/>
                                <a:miter/>
                                <a:tailEnd len="med" type="triangle" w="med"/>
                              </a:ln>
                            </wps:spPr>
                            <wps:style>
                              <a:lnRef idx="0"/>
                              <a:fillRef idx="0"/>
                              <a:effectRef idx="0"/>
                              <a:fontRef idx="minor"/>
                            </wps:style>
                            <wps:bodyPr/>
                          </wps:wsp>
                        </a:graphicData>
                      </a:graphic>
                    </wp:anchor>
                  </w:drawing>
                </mc:Choice>
                <mc:Fallback>
                  <w:pict>
                    <v:line id="shape_0" from="144.3pt,12.25pt" to="307.05pt,12.5pt" stroked="t" o:allowincell="t" style="position:absolute;flip:y">
                      <v:stroke color="black" weight="44280" dashstyle="dash"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3">
                      <wp:simplePos x="0" y="0"/>
                      <wp:positionH relativeFrom="column">
                        <wp:posOffset>1814830</wp:posOffset>
                      </wp:positionH>
                      <wp:positionV relativeFrom="paragraph">
                        <wp:posOffset>151765</wp:posOffset>
                      </wp:positionV>
                      <wp:extent cx="2058670" cy="224790"/>
                      <wp:effectExtent l="2540" t="20955" r="0" b="48260"/>
                      <wp:wrapNone/>
                      <wp:docPr id="2" name=""/>
                      <a:graphic xmlns:a="http://schemas.openxmlformats.org/drawingml/2006/main">
                        <a:graphicData uri="http://schemas.microsoft.com/office/word/2010/wordprocessingShape">
                          <wps:wsp>
                            <wps:cNvSpPr/>
                            <wps:spPr>
                              <a:xfrm>
                                <a:off x="0" y="0"/>
                                <a:ext cx="2058840" cy="224640"/>
                              </a:xfrm>
                              <a:prstGeom prst="line">
                                <a:avLst/>
                              </a:prstGeom>
                              <a:ln w="41400">
                                <a:solidFill>
                                  <a:srgbClr val="000000"/>
                                </a:solidFill>
                                <a:miter/>
                                <a:tailEnd len="med" type="triangle" w="med"/>
                              </a:ln>
                            </wps:spPr>
                            <wps:style>
                              <a:lnRef idx="0"/>
                              <a:fillRef idx="0"/>
                              <a:effectRef idx="0"/>
                              <a:fontRef idx="minor"/>
                            </wps:style>
                            <wps:bodyPr/>
                          </wps:wsp>
                        </a:graphicData>
                      </a:graphic>
                    </wp:anchor>
                  </w:drawing>
                </mc:Choice>
                <mc:Fallback>
                  <w:pict>
                    <v:line id="shape_0" from="142.9pt,11.95pt" to="304.95pt,29.6pt" stroked="t" o:allowincell="t" style="position:absolute">
                      <v:stroke color="black" weight="41400" endarrow="block" endarrowwidth="medium" endarrowlength="medium" joinstyle="miter" endcap="flat"/>
                      <v:fill o:detectmouseclick="t" on="false"/>
                      <w10:wrap type="none"/>
                    </v:line>
                  </w:pict>
                </mc:Fallback>
              </mc:AlternateContent>
            </w:r>
          </w:p>
        </w:tc>
        <w:tc>
          <w:tcPr>
            <w:tcW w:w="424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Account Executive</w:t>
            </w:r>
          </w:p>
        </w:tc>
      </w:tr>
      <w:tr>
        <w:trPr/>
        <w:tc>
          <w:tcPr>
            <w:tcW w:w="622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mc:AlternateContent>
                <mc:Choice Requires="wps">
                  <w:drawing>
                    <wp:anchor behindDoc="0" distT="0" distB="0" distL="114935" distR="114935" simplePos="0" locked="0" layoutInCell="1" allowOverlap="1" relativeHeight="34">
                      <wp:simplePos x="0" y="0"/>
                      <wp:positionH relativeFrom="column">
                        <wp:posOffset>1828800</wp:posOffset>
                      </wp:positionH>
                      <wp:positionV relativeFrom="paragraph">
                        <wp:posOffset>257175</wp:posOffset>
                      </wp:positionV>
                      <wp:extent cx="2057400" cy="0"/>
                      <wp:effectExtent l="0" t="62230" r="0" b="62230"/>
                      <wp:wrapNone/>
                      <wp:docPr id="3" name=""/>
                      <a:graphic xmlns:a="http://schemas.openxmlformats.org/drawingml/2006/main">
                        <a:graphicData uri="http://schemas.microsoft.com/office/word/2010/wordprocessingShape">
                          <wps:wsp>
                            <wps:cNvSpPr/>
                            <wps:spPr>
                              <a:xfrm>
                                <a:off x="0" y="0"/>
                                <a:ext cx="2057400" cy="0"/>
                              </a:xfrm>
                              <a:prstGeom prst="line">
                                <a:avLst/>
                              </a:prstGeom>
                              <a:ln w="41400">
                                <a:solidFill>
                                  <a:srgbClr val="000000"/>
                                </a:solidFill>
                                <a:miter/>
                                <a:tailEnd len="med" type="triangle" w="med"/>
                              </a:ln>
                            </wps:spPr>
                            <wps:style>
                              <a:lnRef idx="0"/>
                              <a:fillRef idx="0"/>
                              <a:effectRef idx="0"/>
                              <a:fontRef idx="minor"/>
                            </wps:style>
                            <wps:bodyPr/>
                          </wps:wsp>
                        </a:graphicData>
                      </a:graphic>
                    </wp:anchor>
                  </w:drawing>
                </mc:Choice>
                <mc:Fallback>
                  <w:pict>
                    <v:line id="shape_0" from="144pt,20.25pt" to="305.95pt,20.25pt" stroked="t" o:allowincell="t" style="position:absolute">
                      <v:stroke color="black" weight="41400" endarrow="block" endarrowwidth="medium" endarrowlength="medium" joinstyle="miter" endcap="flat"/>
                      <v:fill o:detectmouseclick="t" on="false"/>
                      <w10:wrap type="none"/>
                    </v:line>
                  </w:pict>
                </mc:Fallback>
              </mc:AlternateContent>
            </w:r>
            <w:r>
              <w:rPr/>
              <w:t xml:space="preserve">Contract Managers                      </w:t>
            </w:r>
            <w:r>
              <w:rPr>
                <w:i/>
              </w:rPr>
              <w:t>Daily</w:t>
            </w:r>
          </w:p>
        </w:tc>
        <w:tc>
          <w:tcPr>
            <w:tcW w:w="424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Services Delivery Leaders</w:t>
            </w:r>
          </w:p>
        </w:tc>
      </w:tr>
      <w:tr>
        <w:trPr/>
        <w:tc>
          <w:tcPr>
            <w:tcW w:w="622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Global Process Champions</w:t>
            </w:r>
          </w:p>
        </w:tc>
        <w:tc>
          <w:tcPr>
            <w:tcW w:w="424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Global Process Champions</w:t>
            </w:r>
          </w:p>
        </w:tc>
      </w:tr>
      <w:tr>
        <w:trPr/>
        <w:tc>
          <w:tcPr>
            <w:tcW w:w="622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Country FRA &amp; Procurement Heads</w:t>
            </w:r>
          </w:p>
        </w:tc>
        <w:tc>
          <w:tcPr>
            <w:tcW w:w="4248"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Operations Managers</w:t>
            </w:r>
          </w:p>
        </w:tc>
      </w:tr>
    </w:tbl>
    <w:p>
      <w:pPr>
        <w:pStyle w:val="TableText"/>
        <w:rPr/>
      </w:pPr>
      <w:r>
        <w:rPr/>
      </w:r>
    </w:p>
    <w:p>
      <w:pPr>
        <w:pStyle w:val="Heading1Numbered"/>
        <w:numPr>
          <w:ilvl w:val="0"/>
          <w:numId w:val="12"/>
        </w:numPr>
        <w:ind w:hanging="0" w:start="0"/>
        <w:rPr>
          <w:rFonts w:ascii="Arial" w:hAnsi="Arial" w:cs="Arial"/>
        </w:rPr>
      </w:pPr>
      <w:bookmarkStart w:id="2" w:name="__RefHeading___Toc157158870"/>
      <w:bookmarkEnd w:id="2"/>
      <w:r>
        <w:rPr>
          <w:rFonts w:cs="Arial" w:ascii="Arial" w:hAnsi="Arial"/>
        </w:rPr>
        <w:t>Roles and Responsibilities of Key Governance Team Members</w:t>
      </w:r>
    </w:p>
    <w:p>
      <w:pPr>
        <w:pStyle w:val="Heading2Numbered"/>
        <w:numPr>
          <w:ilvl w:val="1"/>
          <w:numId w:val="12"/>
        </w:numPr>
        <w:ind w:hanging="0" w:start="0"/>
        <w:rPr>
          <w:rFonts w:ascii="Arial" w:hAnsi="Arial" w:cs="Arial"/>
        </w:rPr>
      </w:pPr>
      <w:bookmarkStart w:id="3" w:name="__RefHeading___Toc157158871"/>
      <w:bookmarkEnd w:id="3"/>
      <w:r>
        <w:rPr>
          <w:rFonts w:cs="Arial" w:ascii="Arial" w:hAnsi="Arial"/>
        </w:rPr>
        <w:t>GlobalPharma</w:t>
      </w:r>
    </w:p>
    <w:p>
      <w:pPr>
        <w:pStyle w:val="Heading3Numbered"/>
        <w:numPr>
          <w:ilvl w:val="2"/>
          <w:numId w:val="12"/>
        </w:numPr>
        <w:ind w:hanging="0" w:start="0"/>
        <w:rPr>
          <w:rFonts w:ascii="Arial" w:hAnsi="Arial" w:cs="Arial"/>
        </w:rPr>
      </w:pPr>
      <w:bookmarkStart w:id="4" w:name="__RefHeading___Toc157158872"/>
      <w:bookmarkEnd w:id="4"/>
      <w:r>
        <w:rPr>
          <w:rFonts w:cs="Arial" w:ascii="Arial" w:hAnsi="Arial"/>
        </w:rPr>
        <w:t>GlobalPharma Contract Executive</w:t>
      </w:r>
    </w:p>
    <w:p>
      <w:pPr>
        <w:pStyle w:val="TableText"/>
        <w:rPr>
          <w:rFonts w:ascii="Arial" w:hAnsi="Arial" w:cs="Arial"/>
        </w:rPr>
      </w:pPr>
      <w:r>
        <w:rPr>
          <w:rFonts w:cs="Arial" w:ascii="Arial" w:hAnsi="Arial"/>
        </w:rPr>
        <w:t>Primary responsibilities include:</w:t>
      </w:r>
    </w:p>
    <w:p>
      <w:pPr>
        <w:pStyle w:val="TableLevel1Numbered"/>
        <w:numPr>
          <w:ilvl w:val="0"/>
          <w:numId w:val="20"/>
        </w:numPr>
        <w:ind w:hanging="0" w:start="0"/>
        <w:rPr>
          <w:rFonts w:ascii="Arial" w:hAnsi="Arial" w:cs="Arial"/>
        </w:rPr>
      </w:pPr>
      <w:r>
        <w:rPr>
          <w:rFonts w:cs="Arial" w:ascii="Arial" w:hAnsi="Arial"/>
        </w:rPr>
        <w:t>Managing the overall relationship with the Service Provider.</w:t>
      </w:r>
    </w:p>
    <w:p>
      <w:pPr>
        <w:pStyle w:val="TableLevel1Numbered"/>
        <w:numPr>
          <w:ilvl w:val="0"/>
          <w:numId w:val="8"/>
        </w:numPr>
        <w:ind w:hanging="0" w:start="0"/>
        <w:rPr>
          <w:rFonts w:ascii="Arial" w:hAnsi="Arial" w:cs="Arial"/>
        </w:rPr>
      </w:pPr>
      <w:r>
        <w:rPr>
          <w:rFonts w:cs="Arial" w:ascii="Arial" w:hAnsi="Arial"/>
        </w:rPr>
        <w:t>Providing leadership and guidance to the GlobalPharma Governance organization.</w:t>
      </w:r>
    </w:p>
    <w:p>
      <w:pPr>
        <w:pStyle w:val="TableLevel1Numbered"/>
        <w:numPr>
          <w:ilvl w:val="0"/>
          <w:numId w:val="8"/>
        </w:numPr>
        <w:ind w:hanging="0" w:start="0"/>
        <w:rPr>
          <w:rFonts w:ascii="Arial" w:hAnsi="Arial" w:cs="Arial"/>
        </w:rPr>
      </w:pPr>
      <w:r>
        <w:rPr>
          <w:rFonts w:cs="Arial" w:ascii="Arial" w:hAnsi="Arial"/>
        </w:rPr>
        <w:t>Working with the Service Provider Account Executive and the Service Provider Account Manager to progress the goals and objectives of the arrangement.</w:t>
      </w:r>
    </w:p>
    <w:p>
      <w:pPr>
        <w:pStyle w:val="TableLevel1Numbered"/>
        <w:numPr>
          <w:ilvl w:val="0"/>
          <w:numId w:val="8"/>
        </w:numPr>
        <w:ind w:hanging="0" w:start="0"/>
        <w:rPr>
          <w:rFonts w:ascii="Arial" w:hAnsi="Arial" w:cs="Arial"/>
        </w:rPr>
      </w:pPr>
      <w:r>
        <w:rPr>
          <w:rFonts w:cs="Arial" w:ascii="Arial" w:hAnsi="Arial"/>
        </w:rPr>
        <w:t>Resolving escalated issues in accordance with the Governance escalation procedures.</w:t>
      </w:r>
    </w:p>
    <w:p>
      <w:pPr>
        <w:pStyle w:val="TableLevel1Numbered"/>
        <w:numPr>
          <w:ilvl w:val="0"/>
          <w:numId w:val="8"/>
        </w:numPr>
        <w:ind w:hanging="0" w:start="0"/>
        <w:rPr>
          <w:rFonts w:ascii="Arial" w:hAnsi="Arial" w:cs="Arial"/>
        </w:rPr>
      </w:pPr>
      <w:r>
        <w:rPr>
          <w:rFonts w:cs="Arial" w:ascii="Arial" w:hAnsi="Arial"/>
        </w:rPr>
        <w:t>Providing liaison activities and guidance with the Service Provider’s corporate executive leadership in regard to the strategic needs of GlobalPharma.</w:t>
      </w:r>
    </w:p>
    <w:p>
      <w:pPr>
        <w:pStyle w:val="Heading3Numbered"/>
        <w:numPr>
          <w:ilvl w:val="2"/>
          <w:numId w:val="12"/>
        </w:numPr>
        <w:ind w:hanging="0" w:start="0"/>
        <w:rPr>
          <w:rFonts w:ascii="Arial" w:hAnsi="Arial" w:cs="Arial"/>
        </w:rPr>
      </w:pPr>
      <w:bookmarkStart w:id="5" w:name="__RefHeading___Toc157158873"/>
      <w:bookmarkEnd w:id="5"/>
      <w:r>
        <w:rPr>
          <w:rFonts w:cs="Arial" w:ascii="Arial" w:hAnsi="Arial"/>
        </w:rPr>
        <w:t>GlobalPharma Head Financial Shared Services</w:t>
      </w:r>
    </w:p>
    <w:p>
      <w:pPr>
        <w:pStyle w:val="TableText"/>
        <w:jc w:val="both"/>
        <w:rPr/>
      </w:pPr>
      <w:r>
        <w:rPr>
          <w:rFonts w:cs="Arial" w:ascii="Arial" w:hAnsi="Arial"/>
        </w:rPr>
        <w:t>The GlobalPharma Head Financial Shared Services has primary operational responsibility for the Agreement and monitoring all Service Provider deliverables and commitments.</w:t>
      </w:r>
    </w:p>
    <w:p>
      <w:pPr>
        <w:pStyle w:val="TableText"/>
        <w:jc w:val="both"/>
        <w:rPr>
          <w:rFonts w:ascii="Arial" w:hAnsi="Arial" w:cs="Arial"/>
        </w:rPr>
      </w:pPr>
      <w:r>
        <w:rPr>
          <w:rFonts w:cs="Arial" w:ascii="Arial" w:hAnsi="Arial"/>
        </w:rPr>
        <w:t>Primary responsibilities include:</w:t>
      </w:r>
    </w:p>
    <w:p>
      <w:pPr>
        <w:pStyle w:val="TableLevel1Numbered"/>
        <w:numPr>
          <w:ilvl w:val="0"/>
          <w:numId w:val="21"/>
        </w:numPr>
        <w:ind w:hanging="0" w:start="0"/>
        <w:jc w:val="both"/>
        <w:rPr>
          <w:rFonts w:ascii="Arial" w:hAnsi="Arial" w:cs="Arial"/>
        </w:rPr>
      </w:pPr>
      <w:r>
        <w:rPr>
          <w:rFonts w:cs="Arial" w:ascii="Arial" w:hAnsi="Arial"/>
        </w:rPr>
        <w:t>Monitoring Service Provider and GlobalPharma compliance with the obligations of the Agreement.</w:t>
      </w:r>
    </w:p>
    <w:p>
      <w:pPr>
        <w:pStyle w:val="TableLevel1Numbered"/>
        <w:numPr>
          <w:ilvl w:val="0"/>
          <w:numId w:val="8"/>
        </w:numPr>
        <w:ind w:hanging="0" w:start="0"/>
        <w:jc w:val="both"/>
        <w:rPr>
          <w:rFonts w:ascii="Arial" w:hAnsi="Arial" w:cs="Arial"/>
        </w:rPr>
      </w:pPr>
      <w:r>
        <w:rPr>
          <w:rFonts w:cs="Arial" w:ascii="Arial" w:hAnsi="Arial"/>
        </w:rPr>
        <w:t>Monitoring Service Provider contract level deliverable commitments.</w:t>
      </w:r>
    </w:p>
    <w:p>
      <w:pPr>
        <w:pStyle w:val="TableLevel1Numbered"/>
        <w:numPr>
          <w:ilvl w:val="0"/>
          <w:numId w:val="8"/>
        </w:numPr>
        <w:ind w:hanging="0" w:start="0"/>
        <w:jc w:val="both"/>
        <w:rPr>
          <w:rFonts w:ascii="Arial" w:hAnsi="Arial" w:cs="Arial"/>
        </w:rPr>
      </w:pPr>
      <w:r>
        <w:rPr>
          <w:rFonts w:cs="Arial" w:ascii="Arial" w:hAnsi="Arial"/>
        </w:rPr>
        <w:t>Tracking fulfillment of Service Provider deliverables.</w:t>
      </w:r>
    </w:p>
    <w:p>
      <w:pPr>
        <w:pStyle w:val="TableLevel1Numbered"/>
        <w:numPr>
          <w:ilvl w:val="0"/>
          <w:numId w:val="8"/>
        </w:numPr>
        <w:ind w:hanging="0" w:start="0"/>
        <w:jc w:val="both"/>
        <w:rPr>
          <w:rFonts w:ascii="Arial" w:hAnsi="Arial" w:cs="Arial"/>
        </w:rPr>
      </w:pPr>
      <w:r>
        <w:rPr>
          <w:rFonts w:cs="Arial" w:ascii="Arial" w:hAnsi="Arial"/>
        </w:rPr>
        <w:t>Assuring audit ability of Service Provider processes under the current scope of activities.</w:t>
      </w:r>
    </w:p>
    <w:p>
      <w:pPr>
        <w:pStyle w:val="TableLevel1Numbered"/>
        <w:numPr>
          <w:ilvl w:val="0"/>
          <w:numId w:val="8"/>
        </w:numPr>
        <w:ind w:hanging="0" w:start="0"/>
        <w:jc w:val="both"/>
        <w:rPr>
          <w:rFonts w:ascii="Arial" w:hAnsi="Arial" w:cs="Arial"/>
        </w:rPr>
      </w:pPr>
      <w:r>
        <w:rPr>
          <w:rFonts w:cs="Arial" w:ascii="Arial" w:hAnsi="Arial"/>
        </w:rPr>
        <w:t>Managing Benchmarking activities.</w:t>
      </w:r>
    </w:p>
    <w:p>
      <w:pPr>
        <w:pStyle w:val="TableLevel1Numbered"/>
        <w:numPr>
          <w:ilvl w:val="0"/>
          <w:numId w:val="8"/>
        </w:numPr>
        <w:ind w:hanging="0" w:start="0"/>
        <w:jc w:val="both"/>
        <w:rPr>
          <w:rFonts w:ascii="Arial" w:hAnsi="Arial" w:cs="Arial"/>
        </w:rPr>
      </w:pPr>
      <w:r>
        <w:rPr>
          <w:rFonts w:cs="Arial" w:ascii="Arial" w:hAnsi="Arial"/>
        </w:rPr>
        <w:t>Staffing and managing the GlobalPharma Governance organization.</w:t>
      </w:r>
    </w:p>
    <w:p>
      <w:pPr>
        <w:pStyle w:val="TableLevel1Numbered"/>
        <w:numPr>
          <w:ilvl w:val="0"/>
          <w:numId w:val="8"/>
        </w:numPr>
        <w:ind w:hanging="0" w:start="0"/>
        <w:jc w:val="both"/>
        <w:rPr>
          <w:rFonts w:ascii="Arial" w:hAnsi="Arial" w:cs="Arial"/>
        </w:rPr>
      </w:pPr>
      <w:r>
        <w:rPr>
          <w:rFonts w:cs="Arial" w:ascii="Arial" w:hAnsi="Arial"/>
        </w:rPr>
        <w:t>Resolving escalated issues according to the Governance escalation procedures.</w:t>
      </w:r>
    </w:p>
    <w:p>
      <w:pPr>
        <w:pStyle w:val="TableLevel1Numbered"/>
        <w:numPr>
          <w:ilvl w:val="0"/>
          <w:numId w:val="8"/>
        </w:numPr>
        <w:ind w:hanging="0" w:start="0"/>
        <w:jc w:val="both"/>
        <w:rPr>
          <w:rFonts w:ascii="Arial" w:hAnsi="Arial" w:cs="Arial"/>
        </w:rPr>
      </w:pPr>
      <w:r>
        <w:rPr>
          <w:rFonts w:cs="Arial" w:ascii="Arial" w:hAnsi="Arial"/>
        </w:rPr>
        <w:t>Approving (or declining) all work requests that are in excess of pre-established expenditure amounts or circumstances.</w:t>
      </w:r>
    </w:p>
    <w:p>
      <w:pPr>
        <w:pStyle w:val="TableLevel1Numbered"/>
        <w:numPr>
          <w:ilvl w:val="0"/>
          <w:numId w:val="8"/>
        </w:numPr>
        <w:ind w:hanging="0" w:start="0"/>
        <w:jc w:val="both"/>
        <w:rPr>
          <w:rFonts w:ascii="Arial" w:hAnsi="Arial" w:cs="Arial"/>
        </w:rPr>
      </w:pPr>
      <w:r>
        <w:rPr>
          <w:rFonts w:cs="Arial" w:ascii="Arial" w:hAnsi="Arial"/>
        </w:rPr>
        <w:t>Evaluating Performance Credits and approving any action plans resulting from critical service performance failures.</w:t>
      </w:r>
    </w:p>
    <w:p>
      <w:pPr>
        <w:pStyle w:val="TableLevel1Numbered"/>
        <w:numPr>
          <w:ilvl w:val="0"/>
          <w:numId w:val="8"/>
        </w:numPr>
        <w:ind w:hanging="0" w:start="0"/>
        <w:jc w:val="both"/>
        <w:rPr>
          <w:rFonts w:ascii="Arial" w:hAnsi="Arial" w:cs="Arial"/>
        </w:rPr>
      </w:pPr>
      <w:r>
        <w:rPr>
          <w:rFonts w:cs="Arial" w:ascii="Arial" w:hAnsi="Arial"/>
        </w:rPr>
        <w:t>Approving, authorizing and overseeing all contract-related policies and procedures.</w:t>
      </w:r>
    </w:p>
    <w:p>
      <w:pPr>
        <w:pStyle w:val="Heading3Numbered"/>
        <w:numPr>
          <w:ilvl w:val="2"/>
          <w:numId w:val="12"/>
        </w:numPr>
        <w:ind w:hanging="0" w:start="0"/>
        <w:rPr>
          <w:rFonts w:ascii="Arial" w:hAnsi="Arial" w:cs="Arial"/>
        </w:rPr>
      </w:pPr>
      <w:bookmarkStart w:id="6" w:name="__RefHeading___Toc157158874"/>
      <w:bookmarkEnd w:id="6"/>
      <w:r>
        <w:rPr>
          <w:rFonts w:cs="Arial" w:ascii="Arial" w:hAnsi="Arial"/>
        </w:rPr>
        <w:t>GlobalPharma Contract Manager</w:t>
      </w:r>
    </w:p>
    <w:p>
      <w:pPr>
        <w:pStyle w:val="TableText"/>
        <w:jc w:val="both"/>
        <w:rPr/>
      </w:pPr>
      <w:r>
        <w:rPr>
          <w:rFonts w:cs="Arial" w:ascii="Arial" w:hAnsi="Arial"/>
        </w:rPr>
        <w:t>The GlobalPharma Contract Manager has primary administrative responsibility for the Agreement, including the management of all reporting and updates to the Agreement.</w:t>
      </w:r>
    </w:p>
    <w:p>
      <w:pPr>
        <w:pStyle w:val="TableText"/>
        <w:jc w:val="both"/>
        <w:rPr>
          <w:rFonts w:ascii="Arial" w:hAnsi="Arial" w:cs="Arial"/>
        </w:rPr>
      </w:pPr>
      <w:r>
        <w:rPr>
          <w:rFonts w:cs="Arial" w:ascii="Arial" w:hAnsi="Arial"/>
        </w:rPr>
        <w:t>Primary responsibilities include:</w:t>
      </w:r>
    </w:p>
    <w:p>
      <w:pPr>
        <w:pStyle w:val="TableText"/>
        <w:rPr>
          <w:rFonts w:ascii="Arial" w:hAnsi="Arial" w:cs="Arial"/>
        </w:rPr>
      </w:pPr>
      <w:r>
        <w:rPr>
          <w:rFonts w:cs="Arial" w:ascii="Arial" w:hAnsi="Arial"/>
        </w:rPr>
      </w:r>
    </w:p>
    <w:p>
      <w:pPr>
        <w:pStyle w:val="TableLevel1Numbered"/>
        <w:numPr>
          <w:ilvl w:val="0"/>
          <w:numId w:val="22"/>
        </w:numPr>
        <w:ind w:hanging="0" w:start="0"/>
        <w:jc w:val="both"/>
        <w:rPr/>
      </w:pPr>
      <w:r>
        <w:rPr>
          <w:rFonts w:cs="Arial" w:ascii="Arial" w:hAnsi="Arial"/>
        </w:rPr>
        <w:t>Ensuring receipt and review of all Service Provider reports required per the Agreement.</w:t>
      </w:r>
    </w:p>
    <w:p>
      <w:pPr>
        <w:pStyle w:val="TableLevel1Numbered"/>
        <w:numPr>
          <w:ilvl w:val="0"/>
          <w:numId w:val="8"/>
        </w:numPr>
        <w:ind w:hanging="0" w:start="0"/>
        <w:jc w:val="both"/>
        <w:rPr/>
      </w:pPr>
      <w:r>
        <w:rPr>
          <w:rFonts w:cs="Arial" w:ascii="Arial" w:hAnsi="Arial"/>
        </w:rPr>
        <w:t>Developing standard reporting and communication requirements between the Service Provider and various staff and organizations within GlobalPharma.</w:t>
      </w:r>
    </w:p>
    <w:p>
      <w:pPr>
        <w:pStyle w:val="TableLevel1Numbered"/>
        <w:numPr>
          <w:ilvl w:val="0"/>
          <w:numId w:val="8"/>
        </w:numPr>
        <w:ind w:hanging="0" w:start="0"/>
        <w:jc w:val="both"/>
        <w:rPr/>
      </w:pPr>
      <w:r>
        <w:rPr>
          <w:rFonts w:cs="Arial" w:ascii="Arial" w:hAnsi="Arial"/>
        </w:rPr>
        <w:t>Developing and assisting with negotiations related to all addendums and updates to the Agreement that are required during the Term.</w:t>
      </w:r>
    </w:p>
    <w:p>
      <w:pPr>
        <w:pStyle w:val="TableLevel1Numbered"/>
        <w:numPr>
          <w:ilvl w:val="0"/>
          <w:numId w:val="8"/>
        </w:numPr>
        <w:ind w:hanging="0" w:start="0"/>
        <w:jc w:val="both"/>
        <w:rPr>
          <w:rFonts w:ascii="Arial" w:hAnsi="Arial" w:cs="Arial"/>
        </w:rPr>
      </w:pPr>
      <w:r>
        <w:rPr>
          <w:rFonts w:cs="Arial" w:ascii="Arial" w:hAnsi="Arial"/>
        </w:rPr>
        <w:t>Assisting with interpretation and intent of the Parties in regard to the terms and conditions of the Agreement.</w:t>
      </w:r>
    </w:p>
    <w:p>
      <w:pPr>
        <w:pStyle w:val="TableLevel1Numbered"/>
        <w:numPr>
          <w:ilvl w:val="0"/>
          <w:numId w:val="8"/>
        </w:numPr>
        <w:ind w:hanging="0" w:start="0"/>
        <w:jc w:val="both"/>
        <w:rPr>
          <w:rFonts w:ascii="Arial" w:hAnsi="Arial" w:cs="Arial"/>
        </w:rPr>
      </w:pPr>
      <w:r>
        <w:rPr>
          <w:rFonts w:cs="Arial" w:ascii="Arial" w:hAnsi="Arial"/>
        </w:rPr>
        <w:t>Establishing and managing the overall budget and forecasts in connection with the Agreement.</w:t>
      </w:r>
    </w:p>
    <w:p>
      <w:pPr>
        <w:pStyle w:val="TableLevel1Numbered"/>
        <w:numPr>
          <w:ilvl w:val="0"/>
          <w:numId w:val="8"/>
        </w:numPr>
        <w:ind w:hanging="0" w:start="0"/>
        <w:jc w:val="both"/>
        <w:rPr>
          <w:rFonts w:ascii="Arial" w:hAnsi="Arial" w:cs="Arial"/>
        </w:rPr>
      </w:pPr>
      <w:r>
        <w:rPr>
          <w:rFonts w:cs="Arial" w:ascii="Arial" w:hAnsi="Arial"/>
        </w:rPr>
        <w:t>Monitoring to ensure that savings objectives for the Agreement are being met.</w:t>
      </w:r>
    </w:p>
    <w:p>
      <w:pPr>
        <w:pStyle w:val="TableLevel1Numbered"/>
        <w:numPr>
          <w:ilvl w:val="0"/>
          <w:numId w:val="8"/>
        </w:numPr>
        <w:ind w:hanging="0" w:start="0"/>
        <w:jc w:val="both"/>
        <w:rPr>
          <w:rFonts w:ascii="Arial" w:hAnsi="Arial" w:cs="Arial"/>
        </w:rPr>
      </w:pPr>
      <w:r>
        <w:rPr>
          <w:rFonts w:cs="Arial" w:ascii="Arial" w:hAnsi="Arial"/>
        </w:rPr>
        <w:t>Reviewing financial analysis for all Service Provider sponsored initiatives to ensure financial viability.</w:t>
      </w:r>
    </w:p>
    <w:p>
      <w:pPr>
        <w:pStyle w:val="TableLevel1Numbered"/>
        <w:numPr>
          <w:ilvl w:val="0"/>
          <w:numId w:val="8"/>
        </w:numPr>
        <w:ind w:hanging="0" w:start="0"/>
        <w:jc w:val="both"/>
        <w:rPr>
          <w:rFonts w:ascii="Arial" w:hAnsi="Arial" w:cs="Arial"/>
        </w:rPr>
      </w:pPr>
      <w:r>
        <w:rPr>
          <w:rFonts w:cs="Arial" w:ascii="Arial" w:hAnsi="Arial"/>
        </w:rPr>
        <w:t>Assisting in and supporting, as needed, the review of monthly charges to assure the accuracy of Service Provider charges, GlobalPharma retained costs and pass-through expenses.</w:t>
      </w:r>
    </w:p>
    <w:p>
      <w:pPr>
        <w:pStyle w:val="TableLevel1Numbered"/>
        <w:numPr>
          <w:ilvl w:val="0"/>
          <w:numId w:val="8"/>
        </w:numPr>
        <w:ind w:hanging="0" w:start="0"/>
        <w:jc w:val="both"/>
        <w:rPr>
          <w:rFonts w:ascii="Arial" w:hAnsi="Arial" w:cs="Arial"/>
        </w:rPr>
      </w:pPr>
      <w:r>
        <w:rPr>
          <w:rFonts w:cs="Arial" w:ascii="Arial" w:hAnsi="Arial"/>
        </w:rPr>
        <w:t>Ensuring that anticipated and agreed-upon Service Provider financial responsibilities are not converted to GlobalPharma retained or pass-through expenses.</w:t>
      </w:r>
    </w:p>
    <w:p>
      <w:pPr>
        <w:pStyle w:val="TableLevel1Numbered"/>
        <w:numPr>
          <w:ilvl w:val="0"/>
          <w:numId w:val="8"/>
        </w:numPr>
        <w:ind w:hanging="0" w:start="0"/>
        <w:jc w:val="both"/>
        <w:rPr>
          <w:rFonts w:ascii="Arial" w:hAnsi="Arial" w:cs="Arial"/>
        </w:rPr>
      </w:pPr>
      <w:r>
        <w:rPr>
          <w:rFonts w:cs="Arial" w:ascii="Arial" w:hAnsi="Arial"/>
        </w:rPr>
        <w:t>Investigating variances in forecasted expenses or usage.</w:t>
      </w:r>
    </w:p>
    <w:p>
      <w:pPr>
        <w:pStyle w:val="TableLevel1Numbered"/>
        <w:numPr>
          <w:ilvl w:val="0"/>
          <w:numId w:val="8"/>
        </w:numPr>
        <w:ind w:hanging="0" w:start="0"/>
        <w:jc w:val="both"/>
        <w:rPr>
          <w:rFonts w:ascii="Arial" w:hAnsi="Arial" w:cs="Arial"/>
        </w:rPr>
      </w:pPr>
      <w:r>
        <w:rPr>
          <w:rFonts w:cs="Arial" w:ascii="Arial" w:hAnsi="Arial"/>
        </w:rPr>
        <w:t>Establishing and maintaining the GlobalPharma charge back process and systems.</w:t>
      </w:r>
    </w:p>
    <w:p>
      <w:pPr>
        <w:pStyle w:val="TableLevel1Numbered"/>
        <w:numPr>
          <w:ilvl w:val="0"/>
          <w:numId w:val="8"/>
        </w:numPr>
        <w:ind w:hanging="0" w:start="0"/>
        <w:jc w:val="both"/>
        <w:rPr>
          <w:rFonts w:ascii="Arial" w:hAnsi="Arial" w:cs="Arial"/>
        </w:rPr>
      </w:pPr>
      <w:r>
        <w:rPr>
          <w:rFonts w:cs="Arial" w:ascii="Arial" w:hAnsi="Arial"/>
        </w:rPr>
        <w:t>Ensure that GlobalPharma and Service Provider have the necessary internal financial controls in place to comply with the Sarbanes-Oxley Act of 2002.</w:t>
      </w:r>
    </w:p>
    <w:p>
      <w:pPr>
        <w:pStyle w:val="Heading3Numbered"/>
        <w:numPr>
          <w:ilvl w:val="2"/>
          <w:numId w:val="12"/>
        </w:numPr>
        <w:ind w:hanging="0" w:start="0"/>
        <w:rPr>
          <w:rFonts w:ascii="Arial" w:hAnsi="Arial" w:cs="Arial"/>
        </w:rPr>
      </w:pPr>
      <w:bookmarkStart w:id="7" w:name="__RefHeading___Toc157158876"/>
      <w:bookmarkEnd w:id="7"/>
      <w:r>
        <w:rPr>
          <w:rFonts w:cs="Arial" w:ascii="Arial" w:hAnsi="Arial"/>
        </w:rPr>
        <w:t>GlobalPharma Contract Transition Manager</w:t>
      </w:r>
    </w:p>
    <w:p>
      <w:pPr>
        <w:pStyle w:val="TableText"/>
        <w:jc w:val="both"/>
        <w:rPr/>
      </w:pPr>
      <w:r>
        <w:rPr>
          <w:rFonts w:cs="Arial" w:ascii="Arial" w:hAnsi="Arial"/>
        </w:rPr>
        <w:t>The GlobalPharma Contract Transition Manager has the overall responsibility for fulfilling GlobalPharma’s obligations under the Transition Plan and reports to the GlobalPharma Head Financial Shared Services.</w:t>
      </w:r>
    </w:p>
    <w:p>
      <w:pPr>
        <w:pStyle w:val="TableText"/>
        <w:jc w:val="both"/>
        <w:rPr>
          <w:rFonts w:ascii="Arial" w:hAnsi="Arial" w:cs="Arial"/>
        </w:rPr>
      </w:pPr>
      <w:r>
        <w:rPr>
          <w:rFonts w:cs="Arial" w:ascii="Arial" w:hAnsi="Arial"/>
        </w:rPr>
        <w:t>Primary responsibilities include:</w:t>
      </w:r>
    </w:p>
    <w:p>
      <w:pPr>
        <w:pStyle w:val="TableLevel1Numbered"/>
        <w:numPr>
          <w:ilvl w:val="0"/>
          <w:numId w:val="23"/>
        </w:numPr>
        <w:ind w:hanging="0" w:start="0"/>
        <w:jc w:val="both"/>
        <w:rPr>
          <w:rFonts w:ascii="Arial" w:hAnsi="Arial" w:cs="Arial"/>
        </w:rPr>
      </w:pPr>
      <w:r>
        <w:rPr>
          <w:rFonts w:cs="Arial" w:ascii="Arial" w:hAnsi="Arial"/>
        </w:rPr>
        <w:t>Approving the Transition Plan.</w:t>
      </w:r>
    </w:p>
    <w:p>
      <w:pPr>
        <w:pStyle w:val="TableLevel1Numbered"/>
        <w:numPr>
          <w:ilvl w:val="0"/>
          <w:numId w:val="8"/>
        </w:numPr>
        <w:ind w:hanging="0" w:start="0"/>
        <w:jc w:val="both"/>
        <w:rPr>
          <w:rFonts w:ascii="Arial" w:hAnsi="Arial" w:cs="Arial"/>
        </w:rPr>
      </w:pPr>
      <w:r>
        <w:rPr>
          <w:rFonts w:cs="Arial" w:ascii="Arial" w:hAnsi="Arial"/>
        </w:rPr>
        <w:t>Managing GlobalPharma’s obligations under the Transition Plan.</w:t>
      </w:r>
    </w:p>
    <w:p>
      <w:pPr>
        <w:pStyle w:val="Heading3Numbered"/>
        <w:numPr>
          <w:ilvl w:val="2"/>
          <w:numId w:val="12"/>
        </w:numPr>
        <w:ind w:hanging="0" w:start="0"/>
        <w:rPr>
          <w:rFonts w:ascii="Arial" w:hAnsi="Arial" w:cs="Arial"/>
        </w:rPr>
      </w:pPr>
      <w:bookmarkStart w:id="8" w:name="__RefHeading___Toc157158895"/>
      <w:bookmarkEnd w:id="8"/>
      <w:r>
        <w:rPr>
          <w:rFonts w:cs="Arial" w:ascii="Arial" w:hAnsi="Arial"/>
        </w:rPr>
        <w:t>GlobalPharma Global Process Champion(s)</w:t>
      </w:r>
    </w:p>
    <w:p>
      <w:pPr>
        <w:pStyle w:val="TableText"/>
        <w:jc w:val="both"/>
        <w:rPr/>
      </w:pPr>
      <w:r>
        <w:rPr>
          <w:rFonts w:cs="Arial" w:ascii="Arial" w:hAnsi="Arial"/>
        </w:rPr>
        <w:t>The GlobalPharma Global Process Champion(s) will have the primary responsibility to monitor and support the Service Provider’s performance of the Services associated with each Functional Process area within the scope of the Agreement.</w:t>
      </w:r>
    </w:p>
    <w:p>
      <w:pPr>
        <w:pStyle w:val="TableText"/>
        <w:jc w:val="both"/>
        <w:rPr>
          <w:rFonts w:ascii="Arial" w:hAnsi="Arial" w:cs="Arial"/>
        </w:rPr>
      </w:pPr>
      <w:r>
        <w:rPr>
          <w:rFonts w:cs="Arial" w:ascii="Arial" w:hAnsi="Arial"/>
        </w:rPr>
        <w:t>Primary responsibilities include:</w:t>
      </w:r>
    </w:p>
    <w:p>
      <w:pPr>
        <w:pStyle w:val="TableLevel1Numbered"/>
        <w:numPr>
          <w:ilvl w:val="0"/>
          <w:numId w:val="8"/>
        </w:numPr>
        <w:ind w:hanging="0" w:start="0"/>
        <w:jc w:val="both"/>
        <w:rPr>
          <w:rFonts w:ascii="Arial" w:hAnsi="Arial" w:cs="Arial"/>
        </w:rPr>
      </w:pPr>
      <w:r>
        <w:rPr>
          <w:rFonts w:cs="Arial" w:ascii="Arial" w:hAnsi="Arial"/>
        </w:rPr>
        <w:t>Reviewing all Service Levels and contractual commitments for the respective Functional Process area.</w:t>
      </w:r>
    </w:p>
    <w:p>
      <w:pPr>
        <w:pStyle w:val="TableLevel1Numbered"/>
        <w:numPr>
          <w:ilvl w:val="0"/>
          <w:numId w:val="8"/>
        </w:numPr>
        <w:ind w:hanging="0" w:start="0"/>
        <w:jc w:val="both"/>
        <w:rPr>
          <w:rFonts w:ascii="Arial" w:hAnsi="Arial" w:cs="Arial"/>
        </w:rPr>
      </w:pPr>
      <w:r>
        <w:rPr>
          <w:rFonts w:cs="Arial" w:ascii="Arial" w:hAnsi="Arial"/>
        </w:rPr>
        <w:t>Assisting both GlobalPharma and the Service Provider with forecasting resource requirements.</w:t>
      </w:r>
    </w:p>
    <w:p>
      <w:pPr>
        <w:pStyle w:val="TableLevel1Numbered"/>
        <w:numPr>
          <w:ilvl w:val="0"/>
          <w:numId w:val="8"/>
        </w:numPr>
        <w:ind w:hanging="0" w:start="0"/>
        <w:jc w:val="both"/>
        <w:rPr>
          <w:rFonts w:ascii="Arial" w:hAnsi="Arial" w:cs="Arial"/>
        </w:rPr>
      </w:pPr>
      <w:r>
        <w:rPr>
          <w:rFonts w:cs="Arial" w:ascii="Arial" w:hAnsi="Arial"/>
        </w:rPr>
        <w:t>Providing support to GlobalPharma and Authorized Users in accordance with the Problem Management process, as described in the Exhibit 2.1 (Cross Functional – General Services).</w:t>
      </w:r>
      <w:r>
        <w:rPr>
          <w:rFonts w:cs="Arial" w:ascii="Arial" w:hAnsi="Arial"/>
          <w:b/>
        </w:rPr>
      </w:r>
      <w:r>
        <w:rPr>
          <w:rFonts w:cs="Arial" w:ascii="Arial" w:hAnsi="Arial"/>
        </w:rPr>
      </w:r>
    </w:p>
    <w:p>
      <w:pPr>
        <w:pStyle w:val="TableLevel1Numbered"/>
        <w:numPr>
          <w:ilvl w:val="0"/>
          <w:numId w:val="8"/>
        </w:numPr>
        <w:ind w:hanging="0" w:start="0"/>
        <w:jc w:val="both"/>
        <w:rPr>
          <w:rFonts w:ascii="Arial" w:hAnsi="Arial" w:cs="Arial"/>
        </w:rPr>
      </w:pPr>
      <w:r>
        <w:rPr>
          <w:rFonts w:cs="Arial" w:ascii="Arial" w:hAnsi="Arial"/>
        </w:rPr>
        <w:t>Reviewing and approving specific project plans and Change Management activities for a Functional Process area.</w:t>
      </w:r>
    </w:p>
    <w:p>
      <w:pPr>
        <w:pStyle w:val="Heading2Numbered"/>
        <w:numPr>
          <w:ilvl w:val="1"/>
          <w:numId w:val="12"/>
        </w:numPr>
        <w:ind w:hanging="0" w:start="0"/>
        <w:rPr>
          <w:rFonts w:ascii="Arial" w:hAnsi="Arial" w:cs="Arial"/>
        </w:rPr>
      </w:pPr>
      <w:bookmarkStart w:id="9" w:name="__RefHeading___Toc157158896"/>
      <w:bookmarkEnd w:id="9"/>
      <w:r>
        <w:rPr>
          <w:rFonts w:cs="Arial" w:ascii="Arial" w:hAnsi="Arial"/>
        </w:rPr>
        <w:t>Service Provider</w:t>
      </w:r>
    </w:p>
    <w:p>
      <w:pPr>
        <w:pStyle w:val="Heading3Numbered"/>
        <w:numPr>
          <w:ilvl w:val="2"/>
          <w:numId w:val="12"/>
        </w:numPr>
        <w:ind w:hanging="0" w:start="0"/>
        <w:rPr>
          <w:rFonts w:ascii="Arial" w:hAnsi="Arial" w:cs="Arial"/>
        </w:rPr>
      </w:pPr>
      <w:bookmarkStart w:id="10" w:name="__RefHeading___Toc157158897"/>
      <w:bookmarkEnd w:id="10"/>
      <w:r>
        <w:rPr>
          <w:rFonts w:cs="Arial" w:ascii="Arial" w:hAnsi="Arial"/>
        </w:rPr>
        <w:t>Service Provider Executive Sponsor</w:t>
      </w:r>
    </w:p>
    <w:p>
      <w:pPr>
        <w:pStyle w:val="TableText"/>
        <w:rPr>
          <w:rFonts w:ascii="Arial" w:hAnsi="Arial" w:cs="Arial"/>
        </w:rPr>
      </w:pPr>
      <w:r>
        <w:rPr>
          <w:rFonts w:cs="Arial" w:ascii="Arial" w:hAnsi="Arial"/>
        </w:rPr>
        <w:t>The Service Provider Global Executive Sponsor role will be held by the ServicePro Europe leader – President CEO. He will ensure escalation and resolution of issues at the ServicePro global staff level.</w:t>
      </w:r>
    </w:p>
    <w:p>
      <w:pPr>
        <w:pStyle w:val="TableText"/>
        <w:rPr>
          <w:rFonts w:ascii="Arial" w:hAnsi="Arial" w:cs="Arial"/>
        </w:rPr>
      </w:pPr>
      <w:r>
        <w:rPr>
          <w:rFonts w:cs="Arial" w:ascii="Arial" w:hAnsi="Arial"/>
        </w:rPr>
      </w:r>
    </w:p>
    <w:p>
      <w:pPr>
        <w:pStyle w:val="Heading3Numbered"/>
        <w:numPr>
          <w:ilvl w:val="2"/>
          <w:numId w:val="12"/>
        </w:numPr>
        <w:ind w:hanging="0" w:start="0"/>
        <w:rPr>
          <w:rFonts w:ascii="Arial" w:hAnsi="Arial" w:cs="Arial"/>
        </w:rPr>
      </w:pPr>
      <w:bookmarkStart w:id="11" w:name="__RefHeading___Toc157158898"/>
      <w:bookmarkEnd w:id="11"/>
      <w:r>
        <w:rPr>
          <w:rFonts w:cs="Arial" w:ascii="Arial" w:hAnsi="Arial"/>
        </w:rPr>
        <w:t>Service Provider Account Executive</w:t>
      </w:r>
    </w:p>
    <w:p>
      <w:pPr>
        <w:pStyle w:val="TableText"/>
        <w:jc w:val="both"/>
        <w:rPr/>
      </w:pPr>
      <w:r>
        <w:rPr>
          <w:rFonts w:cs="Arial" w:ascii="Arial" w:hAnsi="Arial"/>
        </w:rPr>
        <w:t>The Service Provider Account Executive role will be held by the ServicePro Romania Leader. He has complete authority and responsibility to deliver all Services from the Service Provider to GlobalPharma.</w:t>
      </w:r>
    </w:p>
    <w:p>
      <w:pPr>
        <w:pStyle w:val="TableText"/>
        <w:jc w:val="both"/>
        <w:rPr>
          <w:rFonts w:ascii="Arial" w:hAnsi="Arial" w:cs="Arial"/>
        </w:rPr>
      </w:pPr>
      <w:r>
        <w:rPr>
          <w:rFonts w:cs="Arial" w:ascii="Arial" w:hAnsi="Arial"/>
        </w:rPr>
        <w:t>Primary responsibilities include:</w:t>
      </w:r>
    </w:p>
    <w:p>
      <w:pPr>
        <w:pStyle w:val="TableLevel1Numbered"/>
        <w:numPr>
          <w:ilvl w:val="0"/>
          <w:numId w:val="24"/>
        </w:numPr>
        <w:ind w:hanging="0" w:start="0"/>
        <w:jc w:val="both"/>
        <w:rPr>
          <w:rFonts w:ascii="Arial" w:hAnsi="Arial" w:cs="Arial"/>
        </w:rPr>
      </w:pPr>
      <w:r>
        <w:rPr>
          <w:rFonts w:cs="Arial" w:ascii="Arial" w:hAnsi="Arial"/>
        </w:rPr>
        <w:t>Managing the overall relationship regarding the Service Provider and GlobalPharma.</w:t>
      </w:r>
    </w:p>
    <w:p>
      <w:pPr>
        <w:pStyle w:val="TableLevel1Numbered"/>
        <w:numPr>
          <w:ilvl w:val="0"/>
          <w:numId w:val="8"/>
        </w:numPr>
        <w:ind w:hanging="0" w:start="0"/>
        <w:jc w:val="both"/>
        <w:rPr>
          <w:rFonts w:ascii="Arial" w:hAnsi="Arial" w:cs="Arial"/>
        </w:rPr>
      </w:pPr>
      <w:r>
        <w:rPr>
          <w:rFonts w:cs="Arial" w:ascii="Arial" w:hAnsi="Arial"/>
        </w:rPr>
        <w:t>Assuring the successful transition of the Agreement to operational status.</w:t>
      </w:r>
    </w:p>
    <w:p>
      <w:pPr>
        <w:pStyle w:val="TableLevel1Numbered"/>
        <w:numPr>
          <w:ilvl w:val="0"/>
          <w:numId w:val="8"/>
        </w:numPr>
        <w:ind w:hanging="0" w:start="0"/>
        <w:jc w:val="both"/>
        <w:rPr>
          <w:rFonts w:ascii="Arial" w:hAnsi="Arial" w:cs="Arial"/>
        </w:rPr>
      </w:pPr>
      <w:r>
        <w:rPr>
          <w:rFonts w:cs="Arial" w:ascii="Arial" w:hAnsi="Arial"/>
        </w:rPr>
        <w:t>Ensuring that the Service Provider fulfills all of its obligations under the Agreement.</w:t>
      </w:r>
    </w:p>
    <w:p>
      <w:pPr>
        <w:pStyle w:val="TableLevel1Numbered"/>
        <w:numPr>
          <w:ilvl w:val="0"/>
          <w:numId w:val="8"/>
        </w:numPr>
        <w:ind w:hanging="0" w:start="0"/>
        <w:rPr>
          <w:rFonts w:ascii="Arial" w:hAnsi="Arial" w:cs="Arial"/>
        </w:rPr>
      </w:pPr>
      <w:r>
        <w:rPr>
          <w:rFonts w:cs="Arial" w:ascii="Arial" w:hAnsi="Arial"/>
        </w:rPr>
        <w:t>Working with the GlobalPharma Governance Team to establish, manage, and meet commitments, requirements, and expectations.</w:t>
      </w:r>
    </w:p>
    <w:p>
      <w:pPr>
        <w:pStyle w:val="TableLevel1Numbered"/>
        <w:numPr>
          <w:ilvl w:val="0"/>
          <w:numId w:val="8"/>
        </w:numPr>
        <w:ind w:hanging="0" w:start="0"/>
        <w:rPr>
          <w:rFonts w:ascii="Arial" w:hAnsi="Arial" w:cs="Arial"/>
        </w:rPr>
      </w:pPr>
      <w:r>
        <w:rPr>
          <w:rFonts w:cs="Arial" w:ascii="Arial" w:hAnsi="Arial"/>
        </w:rPr>
        <w:t>Working with GlobalPharma executives and business unit managers to align the delivery of Services with the strategic needs of GlobalPharma; such activities will be performed with the approval and in conjunction with the GlobalPharma Head Financial Shared Services.</w:t>
      </w:r>
    </w:p>
    <w:p>
      <w:pPr>
        <w:pStyle w:val="TableLevel1Numbered"/>
        <w:numPr>
          <w:ilvl w:val="0"/>
          <w:numId w:val="8"/>
        </w:numPr>
        <w:ind w:hanging="0" w:start="0"/>
        <w:rPr>
          <w:rFonts w:ascii="Arial" w:hAnsi="Arial" w:cs="Arial"/>
        </w:rPr>
      </w:pPr>
      <w:r>
        <w:rPr>
          <w:rFonts w:cs="Arial" w:ascii="Arial" w:hAnsi="Arial"/>
        </w:rPr>
        <w:t>Informing GlobalPharma about new corporate capabilities and developments within the Service Provider’s organization, and proposing ideas and solutions that will provide ongoing benefit to GlobalPharma.</w:t>
      </w:r>
    </w:p>
    <w:p>
      <w:pPr>
        <w:pStyle w:val="Heading3Numbered"/>
        <w:numPr>
          <w:ilvl w:val="2"/>
          <w:numId w:val="12"/>
        </w:numPr>
        <w:ind w:hanging="0" w:start="0"/>
        <w:rPr>
          <w:rFonts w:ascii="Arial" w:hAnsi="Arial" w:cs="Arial"/>
        </w:rPr>
      </w:pPr>
      <w:bookmarkStart w:id="12" w:name="__RefHeading___Toc157158899"/>
      <w:bookmarkEnd w:id="12"/>
      <w:r>
        <w:rPr>
          <w:rFonts w:cs="Arial" w:ascii="Arial" w:hAnsi="Arial"/>
        </w:rPr>
        <w:t>Service Provider Services Delivery Leader</w:t>
      </w:r>
    </w:p>
    <w:p>
      <w:pPr>
        <w:pStyle w:val="TableText"/>
        <w:rPr/>
      </w:pPr>
      <w:r>
        <w:rPr>
          <w:rFonts w:cs="Arial" w:ascii="Arial" w:hAnsi="Arial"/>
        </w:rPr>
        <w:t>The Service Provider Services Delivery Leader will have primary business operating performance responsibility for the account and will assure that all delivery commitments and deliverables required under the Agreement are provided to GlobalPharma.</w:t>
      </w:r>
    </w:p>
    <w:p>
      <w:pPr>
        <w:pStyle w:val="TableText"/>
        <w:rPr>
          <w:rFonts w:ascii="Arial" w:hAnsi="Arial" w:cs="Arial"/>
        </w:rPr>
      </w:pPr>
      <w:r>
        <w:rPr>
          <w:rFonts w:cs="Arial" w:ascii="Arial" w:hAnsi="Arial"/>
        </w:rPr>
        <w:t>Primary responsibilities include:</w:t>
      </w:r>
    </w:p>
    <w:p>
      <w:pPr>
        <w:pStyle w:val="TableLevel1Numbered"/>
        <w:numPr>
          <w:ilvl w:val="0"/>
          <w:numId w:val="25"/>
        </w:numPr>
        <w:ind w:hanging="0" w:start="0"/>
        <w:rPr>
          <w:rFonts w:ascii="Arial" w:hAnsi="Arial" w:cs="Arial"/>
        </w:rPr>
      </w:pPr>
      <w:r>
        <w:rPr>
          <w:rFonts w:cs="Arial" w:ascii="Arial" w:hAnsi="Arial"/>
        </w:rPr>
        <w:t>Working with the GlobalPharma Head Financial Shared Services to manage and meet commitments, requirements and expectations.</w:t>
      </w:r>
    </w:p>
    <w:p>
      <w:pPr>
        <w:pStyle w:val="TableLevel1Numbered"/>
        <w:numPr>
          <w:ilvl w:val="0"/>
          <w:numId w:val="8"/>
        </w:numPr>
        <w:ind w:hanging="0" w:start="0"/>
        <w:rPr>
          <w:rFonts w:ascii="Arial" w:hAnsi="Arial" w:cs="Arial"/>
        </w:rPr>
      </w:pPr>
      <w:r>
        <w:rPr>
          <w:rFonts w:cs="Arial" w:ascii="Arial" w:hAnsi="Arial"/>
        </w:rPr>
        <w:t>Ensuring that all Service Levels and reporting requirements are met.</w:t>
      </w:r>
    </w:p>
    <w:p>
      <w:pPr>
        <w:pStyle w:val="TableLevel1Numbered"/>
        <w:numPr>
          <w:ilvl w:val="0"/>
          <w:numId w:val="8"/>
        </w:numPr>
        <w:ind w:hanging="0" w:start="0"/>
        <w:rPr>
          <w:rFonts w:ascii="Arial" w:hAnsi="Arial" w:cs="Arial"/>
        </w:rPr>
      </w:pPr>
      <w:r>
        <w:rPr>
          <w:rFonts w:cs="Arial" w:ascii="Arial" w:hAnsi="Arial"/>
        </w:rPr>
        <w:t>Ensuring that the Service Provider’s performance requirements as they relate to GlobalPharma business requirements and business objectives are satisfied.</w:t>
      </w:r>
    </w:p>
    <w:p>
      <w:pPr>
        <w:pStyle w:val="TableLevel1Numbered"/>
        <w:numPr>
          <w:ilvl w:val="0"/>
          <w:numId w:val="8"/>
        </w:numPr>
        <w:ind w:hanging="0" w:start="0"/>
        <w:rPr>
          <w:rFonts w:ascii="Arial" w:hAnsi="Arial" w:cs="Arial"/>
        </w:rPr>
      </w:pPr>
      <w:r>
        <w:rPr>
          <w:rFonts w:cs="Arial" w:ascii="Arial" w:hAnsi="Arial"/>
        </w:rPr>
        <w:t>Assuring operational compliance with the Agreement and ensuring that the Service Provider fulfills its obligations under the Agreement, including all obligations relating to deliverables.</w:t>
      </w:r>
    </w:p>
    <w:p>
      <w:pPr>
        <w:pStyle w:val="TableLevel1Numbered"/>
        <w:numPr>
          <w:ilvl w:val="0"/>
          <w:numId w:val="8"/>
        </w:numPr>
        <w:ind w:hanging="0" w:start="0"/>
        <w:rPr>
          <w:rFonts w:ascii="Arial" w:hAnsi="Arial" w:cs="Arial"/>
        </w:rPr>
      </w:pPr>
      <w:r>
        <w:rPr>
          <w:rFonts w:cs="Arial" w:ascii="Arial" w:hAnsi="Arial"/>
        </w:rPr>
        <w:t>Establishing and executing the account management disciplines, business management processes, and associated reporting.</w:t>
      </w:r>
    </w:p>
    <w:p>
      <w:pPr>
        <w:pStyle w:val="TableLevel1Numbered"/>
        <w:numPr>
          <w:ilvl w:val="0"/>
          <w:numId w:val="8"/>
        </w:numPr>
        <w:ind w:hanging="0" w:start="0"/>
        <w:rPr>
          <w:rFonts w:ascii="Arial" w:hAnsi="Arial" w:cs="Arial"/>
        </w:rPr>
      </w:pPr>
      <w:r>
        <w:rPr>
          <w:rFonts w:cs="Arial" w:ascii="Arial" w:hAnsi="Arial"/>
        </w:rPr>
        <w:t>Ensuring prompt identification and resolution of Service delivery issues.</w:t>
      </w:r>
    </w:p>
    <w:p>
      <w:pPr>
        <w:pStyle w:val="TableLevel1Numbered"/>
        <w:numPr>
          <w:ilvl w:val="0"/>
          <w:numId w:val="8"/>
        </w:numPr>
        <w:ind w:hanging="0" w:start="0"/>
        <w:rPr>
          <w:rFonts w:ascii="Arial" w:hAnsi="Arial" w:cs="Arial"/>
        </w:rPr>
      </w:pPr>
      <w:r>
        <w:rPr>
          <w:rFonts w:cs="Arial" w:ascii="Arial" w:hAnsi="Arial"/>
        </w:rPr>
        <w:t>Ensuring that the Service Provider’s performance requirements as they relate to the GlobalPharma strategic business planning (business and architecture, strategic options, business assessment, business operating plans) requirements are met.</w:t>
      </w:r>
    </w:p>
    <w:p>
      <w:pPr>
        <w:pStyle w:val="TableLevel1Numbered"/>
        <w:numPr>
          <w:ilvl w:val="0"/>
          <w:numId w:val="8"/>
        </w:numPr>
        <w:ind w:hanging="0" w:start="0"/>
        <w:rPr>
          <w:rFonts w:ascii="Arial" w:hAnsi="Arial" w:cs="Arial"/>
        </w:rPr>
      </w:pPr>
      <w:r>
        <w:rPr>
          <w:rFonts w:cs="Arial" w:ascii="Arial" w:hAnsi="Arial"/>
        </w:rPr>
        <w:t>Staffing and leading the Service Provider Operations Team dedicated to GlobalPharma</w:t>
      </w:r>
    </w:p>
    <w:p>
      <w:pPr>
        <w:pStyle w:val="TableLevel1Numbered"/>
        <w:numPr>
          <w:ilvl w:val="0"/>
          <w:numId w:val="8"/>
        </w:numPr>
        <w:ind w:hanging="0" w:start="0"/>
        <w:rPr>
          <w:rFonts w:ascii="Arial" w:hAnsi="Arial" w:cs="Arial"/>
        </w:rPr>
      </w:pPr>
      <w:r>
        <w:rPr>
          <w:rFonts w:cs="Arial" w:ascii="Arial" w:hAnsi="Arial"/>
        </w:rPr>
        <w:t>Interfacing with the GlobalPharma Head Financial Shared Services on personnel issues.</w:t>
      </w:r>
    </w:p>
    <w:p>
      <w:pPr>
        <w:pStyle w:val="TableLevel1Numbered"/>
        <w:numPr>
          <w:ilvl w:val="0"/>
          <w:numId w:val="8"/>
        </w:numPr>
        <w:ind w:hanging="0" w:start="0"/>
        <w:rPr>
          <w:rFonts w:ascii="Arial" w:hAnsi="Arial" w:cs="Arial"/>
        </w:rPr>
      </w:pPr>
      <w:r>
        <w:rPr>
          <w:rFonts w:cs="Arial" w:ascii="Arial" w:hAnsi="Arial"/>
        </w:rPr>
        <w:t>Establishing Service Provider Benchmarking methodology in accordance with the Agreement.</w:t>
      </w:r>
    </w:p>
    <w:p>
      <w:pPr>
        <w:pStyle w:val="TableLevel1Numbered"/>
        <w:numPr>
          <w:ilvl w:val="0"/>
          <w:numId w:val="8"/>
        </w:numPr>
        <w:ind w:hanging="0" w:start="0"/>
        <w:rPr>
          <w:rFonts w:ascii="Arial" w:hAnsi="Arial" w:cs="Arial"/>
        </w:rPr>
      </w:pPr>
      <w:r>
        <w:rPr>
          <w:rFonts w:cs="Arial" w:ascii="Arial" w:hAnsi="Arial"/>
        </w:rPr>
        <w:t>Providing the monthly invoice and all account billing and reporting functions.</w:t>
      </w:r>
    </w:p>
    <w:p>
      <w:pPr>
        <w:pStyle w:val="TableLevel1Numbered"/>
        <w:numPr>
          <w:ilvl w:val="0"/>
          <w:numId w:val="8"/>
        </w:numPr>
        <w:ind w:hanging="0" w:start="0"/>
        <w:rPr>
          <w:rFonts w:ascii="Arial" w:hAnsi="Arial" w:cs="Arial"/>
        </w:rPr>
      </w:pPr>
      <w:r>
        <w:rPr>
          <w:rFonts w:cs="Arial" w:ascii="Arial" w:hAnsi="Arial"/>
        </w:rPr>
        <w:t>Providing all Service Provider contract administrations for the time-phased contractual commitments to assure fulfillment of Service Provider deliverables.</w:t>
      </w:r>
    </w:p>
    <w:p>
      <w:pPr>
        <w:pStyle w:val="TableLevel1Numbered"/>
        <w:numPr>
          <w:ilvl w:val="0"/>
          <w:numId w:val="8"/>
        </w:numPr>
        <w:ind w:hanging="0" w:start="0"/>
        <w:rPr>
          <w:rFonts w:ascii="Arial" w:hAnsi="Arial" w:cs="Arial"/>
        </w:rPr>
      </w:pPr>
      <w:r>
        <w:rPr>
          <w:rFonts w:cs="Arial" w:ascii="Arial" w:hAnsi="Arial"/>
        </w:rPr>
        <w:t>Acting as the primary Service Provider focus for new service establishment for GlobalPharma.</w:t>
      </w:r>
    </w:p>
    <w:p>
      <w:pPr>
        <w:pStyle w:val="TableLevel1Numbered"/>
        <w:numPr>
          <w:ilvl w:val="0"/>
          <w:numId w:val="8"/>
        </w:numPr>
        <w:ind w:hanging="0" w:start="0"/>
        <w:rPr>
          <w:rFonts w:ascii="Arial" w:hAnsi="Arial" w:cs="Arial"/>
        </w:rPr>
      </w:pPr>
      <w:r>
        <w:rPr>
          <w:rFonts w:cs="Arial" w:ascii="Arial" w:hAnsi="Arial"/>
        </w:rPr>
        <w:t>Managing other administrative functions including security (physical and logical), facilities and contracts.</w:t>
      </w:r>
    </w:p>
    <w:p>
      <w:pPr>
        <w:pStyle w:val="TableLevel1Numbered"/>
        <w:numPr>
          <w:ilvl w:val="0"/>
          <w:numId w:val="8"/>
        </w:numPr>
        <w:ind w:hanging="0" w:start="0"/>
        <w:rPr>
          <w:rFonts w:ascii="Arial" w:hAnsi="Arial" w:cs="Arial"/>
        </w:rPr>
      </w:pPr>
      <w:r>
        <w:rPr>
          <w:rFonts w:cs="Arial" w:ascii="Arial" w:hAnsi="Arial"/>
        </w:rPr>
        <w:t>Providing all financial reporting, including exception reporting, to GlobalPharma, in accordance with the Exhibit 4 (Pricing and Financial Provisions).</w:t>
      </w:r>
    </w:p>
    <w:p>
      <w:pPr>
        <w:pStyle w:val="TableLevel1Numbered"/>
        <w:numPr>
          <w:ilvl w:val="0"/>
          <w:numId w:val="8"/>
        </w:numPr>
        <w:ind w:hanging="0" w:start="0"/>
        <w:rPr>
          <w:rFonts w:ascii="Arial" w:hAnsi="Arial" w:cs="Arial"/>
        </w:rPr>
      </w:pPr>
      <w:r>
        <w:rPr>
          <w:rFonts w:cs="Arial" w:ascii="Arial" w:hAnsi="Arial"/>
        </w:rPr>
        <w:t>Ensure that financial controls are in place at Service Provider’s end to support GlobalPharma’s compliance with the Sarbanes-Oxley Act of 2002 to the extent of work outsourced.</w:t>
      </w:r>
    </w:p>
    <w:p>
      <w:pPr>
        <w:pStyle w:val="TableLevel1Numbered"/>
        <w:numPr>
          <w:ilvl w:val="0"/>
          <w:numId w:val="8"/>
        </w:numPr>
        <w:ind w:hanging="0" w:start="0"/>
        <w:jc w:val="both"/>
        <w:rPr>
          <w:rFonts w:ascii="Arial" w:hAnsi="Arial" w:cs="Arial"/>
        </w:rPr>
      </w:pPr>
      <w:r>
        <w:rPr>
          <w:rFonts w:cs="Arial" w:ascii="Arial" w:hAnsi="Arial"/>
        </w:rPr>
        <w:t xml:space="preserve">Implementing and meeting the requirements of the GlobalPharma Business Continuity Plans and Disaster Recovery Plans. </w:t>
      </w:r>
    </w:p>
    <w:p>
      <w:pPr>
        <w:pStyle w:val="TableLevel1Numbered"/>
        <w:numPr>
          <w:ilvl w:val="0"/>
          <w:numId w:val="8"/>
        </w:numPr>
        <w:ind w:hanging="0" w:start="0"/>
        <w:jc w:val="both"/>
        <w:rPr>
          <w:rFonts w:ascii="Arial" w:hAnsi="Arial" w:cs="Arial"/>
        </w:rPr>
      </w:pPr>
      <w:r>
        <w:rPr>
          <w:rFonts w:cs="Arial" w:ascii="Arial" w:hAnsi="Arial"/>
        </w:rPr>
        <w:t>Assisting and providing input to the overall GlobalPharma budget and forecasts in connection with the Agreement.</w:t>
      </w:r>
    </w:p>
    <w:p>
      <w:pPr>
        <w:pStyle w:val="Heading3Numbered"/>
        <w:numPr>
          <w:ilvl w:val="2"/>
          <w:numId w:val="12"/>
        </w:numPr>
        <w:ind w:hanging="0" w:start="0"/>
        <w:rPr>
          <w:rFonts w:ascii="Arial" w:hAnsi="Arial" w:cs="Arial"/>
        </w:rPr>
      </w:pPr>
      <w:bookmarkStart w:id="13" w:name="__RefHeading___Toc157158901"/>
      <w:bookmarkEnd w:id="13"/>
      <w:r>
        <w:rPr>
          <w:rFonts w:cs="Arial" w:ascii="Arial" w:hAnsi="Arial"/>
        </w:rPr>
        <w:t>Service Provider Transition Manager</w:t>
      </w:r>
    </w:p>
    <w:p>
      <w:pPr>
        <w:pStyle w:val="TableText"/>
        <w:rPr>
          <w:rFonts w:ascii="Arial" w:hAnsi="Arial" w:cs="Arial"/>
        </w:rPr>
      </w:pPr>
      <w:r>
        <w:rPr>
          <w:rFonts w:cs="Arial" w:ascii="Arial" w:hAnsi="Arial"/>
        </w:rPr>
        <w:t>The Service Provider Transition Manager has the overall responsibility for the successful transition of the Transitioned Employees and applicable subcontractors to the Service Provider account team while ensuring that Service Levels and GlobalPharma satisfaction are maintained.</w:t>
      </w:r>
    </w:p>
    <w:p>
      <w:pPr>
        <w:pStyle w:val="TableText"/>
        <w:rPr>
          <w:rFonts w:ascii="Arial" w:hAnsi="Arial" w:cs="Arial"/>
        </w:rPr>
      </w:pPr>
      <w:r>
        <w:rPr>
          <w:rFonts w:cs="Arial" w:ascii="Arial" w:hAnsi="Arial"/>
        </w:rPr>
        <w:t>Primary responsibilities include:</w:t>
      </w:r>
    </w:p>
    <w:p>
      <w:pPr>
        <w:pStyle w:val="TableLevel1Numbered"/>
        <w:numPr>
          <w:ilvl w:val="0"/>
          <w:numId w:val="26"/>
        </w:numPr>
        <w:ind w:hanging="0" w:start="0"/>
        <w:rPr>
          <w:rFonts w:ascii="Arial" w:hAnsi="Arial" w:cs="Arial"/>
        </w:rPr>
      </w:pPr>
      <w:r>
        <w:rPr>
          <w:rFonts w:cs="Arial" w:ascii="Arial" w:hAnsi="Arial"/>
        </w:rPr>
        <w:t>Establishing the account infrastructure necessary to operate the account including all financial, human resources, security, facilities and communication.</w:t>
      </w:r>
    </w:p>
    <w:p>
      <w:pPr>
        <w:pStyle w:val="TableLevel1Numbered"/>
        <w:numPr>
          <w:ilvl w:val="0"/>
          <w:numId w:val="8"/>
        </w:numPr>
        <w:ind w:hanging="0" w:start="0"/>
        <w:jc w:val="both"/>
        <w:rPr>
          <w:rFonts w:ascii="Arial" w:hAnsi="Arial" w:cs="Arial"/>
        </w:rPr>
      </w:pPr>
      <w:r>
        <w:rPr>
          <w:rFonts w:cs="Arial" w:ascii="Arial" w:hAnsi="Arial"/>
        </w:rPr>
        <w:t>Developing and implementing the Service delivery plan.</w:t>
      </w:r>
    </w:p>
    <w:p>
      <w:pPr>
        <w:pStyle w:val="TableLevel1Numbered"/>
        <w:numPr>
          <w:ilvl w:val="0"/>
          <w:numId w:val="8"/>
        </w:numPr>
        <w:ind w:hanging="0" w:start="0"/>
        <w:rPr>
          <w:rFonts w:ascii="Arial" w:hAnsi="Arial" w:cs="Arial"/>
        </w:rPr>
      </w:pPr>
      <w:r>
        <w:rPr>
          <w:rFonts w:cs="Arial" w:ascii="Arial" w:hAnsi="Arial"/>
        </w:rPr>
        <w:t>Installing all Service delivery processes and ensuring that the Service Level reporting mechanisms are established and operational.</w:t>
      </w:r>
    </w:p>
    <w:p>
      <w:pPr>
        <w:pStyle w:val="TableLevel1Numbered"/>
        <w:numPr>
          <w:ilvl w:val="0"/>
          <w:numId w:val="8"/>
        </w:numPr>
        <w:ind w:hanging="0" w:start="0"/>
        <w:rPr>
          <w:rFonts w:ascii="Arial" w:hAnsi="Arial" w:cs="Arial"/>
        </w:rPr>
      </w:pPr>
      <w:r>
        <w:rPr>
          <w:rFonts w:cs="Arial" w:ascii="Arial" w:hAnsi="Arial"/>
        </w:rPr>
        <w:t>Transitioning all of GlobalPharma’s applicable personnel and subcontractors, as detailed in the Agreement, with the necessary due care to the Service Provider.</w:t>
      </w:r>
    </w:p>
    <w:p>
      <w:pPr>
        <w:pStyle w:val="Heading3Numbered"/>
        <w:numPr>
          <w:ilvl w:val="2"/>
          <w:numId w:val="12"/>
        </w:numPr>
        <w:ind w:hanging="0" w:start="0"/>
        <w:rPr>
          <w:rFonts w:ascii="Arial" w:hAnsi="Arial" w:cs="Arial"/>
        </w:rPr>
      </w:pPr>
      <w:bookmarkStart w:id="14" w:name="__RefHeading___Toc157158902"/>
      <w:bookmarkEnd w:id="14"/>
      <w:r>
        <w:rPr>
          <w:rFonts w:cs="Arial" w:ascii="Arial" w:hAnsi="Arial"/>
        </w:rPr>
        <w:t>Service Provider Operations Managers</w:t>
      </w:r>
      <w:bookmarkStart w:id="15" w:name="__RefHeading___Toc157158903"/>
      <w:bookmarkEnd w:id="15"/>
    </w:p>
    <w:p>
      <w:pPr>
        <w:pStyle w:val="TableText"/>
        <w:rPr/>
      </w:pPr>
      <w:r>
        <w:rPr>
          <w:rFonts w:cs="Arial" w:ascii="Arial" w:hAnsi="Arial"/>
        </w:rPr>
        <w:t>The Service Provider Operations Managers will have the primary responsibility to deliver the Services associated within all Functional Process areas delivered to a given geography within the scope of the Agreement.</w:t>
      </w:r>
    </w:p>
    <w:p>
      <w:pPr>
        <w:pStyle w:val="TableText"/>
        <w:rPr>
          <w:rFonts w:ascii="Arial" w:hAnsi="Arial" w:cs="Arial"/>
        </w:rPr>
      </w:pPr>
      <w:r>
        <w:rPr>
          <w:rFonts w:cs="Arial" w:ascii="Arial" w:hAnsi="Arial"/>
        </w:rPr>
        <w:t>Primary responsibilities include:</w:t>
      </w:r>
    </w:p>
    <w:p>
      <w:pPr>
        <w:pStyle w:val="TableLevel1Numbered"/>
        <w:numPr>
          <w:ilvl w:val="0"/>
          <w:numId w:val="27"/>
        </w:numPr>
        <w:ind w:hanging="0" w:start="0"/>
        <w:rPr>
          <w:rFonts w:ascii="Arial" w:hAnsi="Arial" w:cs="Arial"/>
        </w:rPr>
      </w:pPr>
      <w:r>
        <w:rPr>
          <w:rFonts w:cs="Arial" w:ascii="Arial" w:hAnsi="Arial"/>
        </w:rPr>
        <w:t>Meeting all Service Levels and contractual commitments for all Functional Process Areas delivered to a given geography.</w:t>
      </w:r>
    </w:p>
    <w:p>
      <w:pPr>
        <w:pStyle w:val="TableLevel1Numbered"/>
        <w:numPr>
          <w:ilvl w:val="0"/>
          <w:numId w:val="8"/>
        </w:numPr>
        <w:ind w:hanging="0" w:start="0"/>
        <w:rPr>
          <w:rFonts w:ascii="Arial" w:hAnsi="Arial" w:cs="Arial"/>
        </w:rPr>
      </w:pPr>
      <w:r>
        <w:rPr>
          <w:rFonts w:cs="Arial" w:ascii="Arial" w:hAnsi="Arial"/>
        </w:rPr>
        <w:t>Providing support to GlobalPharma and Authorized Users in accordance with the Problem Management process, as described in the Exhibit 2.1 (Cross Functional – General Services).</w:t>
      </w:r>
      <w:r>
        <w:rPr>
          <w:rFonts w:cs="Arial" w:ascii="Arial" w:hAnsi="Arial"/>
          <w:b/>
        </w:rPr>
      </w:r>
      <w:r>
        <w:rPr>
          <w:rFonts w:cs="Arial" w:ascii="Arial" w:hAnsi="Arial"/>
        </w:rPr>
      </w:r>
    </w:p>
    <w:p>
      <w:pPr>
        <w:pStyle w:val="TableLevel1Numbered"/>
        <w:numPr>
          <w:ilvl w:val="0"/>
          <w:numId w:val="8"/>
        </w:numPr>
        <w:ind w:hanging="0" w:start="0"/>
        <w:jc w:val="both"/>
        <w:rPr>
          <w:rFonts w:ascii="Arial" w:hAnsi="Arial" w:cs="Arial"/>
        </w:rPr>
      </w:pPr>
      <w:r>
        <w:rPr>
          <w:rFonts w:cs="Arial" w:ascii="Arial" w:hAnsi="Arial"/>
        </w:rPr>
        <w:t>Providing all Service Level reporting to the respective geographies, FRA Local and/or Regional Heads and Process Champions.</w:t>
      </w:r>
    </w:p>
    <w:p>
      <w:pPr>
        <w:pStyle w:val="TableLevel1Numbered"/>
        <w:numPr>
          <w:ilvl w:val="0"/>
          <w:numId w:val="8"/>
        </w:numPr>
        <w:ind w:hanging="0" w:start="0"/>
        <w:jc w:val="both"/>
        <w:rPr>
          <w:rFonts w:ascii="Arial" w:hAnsi="Arial" w:cs="Arial"/>
        </w:rPr>
      </w:pPr>
      <w:r>
        <w:rPr>
          <w:rFonts w:cs="Arial" w:ascii="Arial" w:hAnsi="Arial"/>
        </w:rPr>
        <w:t>Interfacing as needed with GlobalPharma Contract Manager, Regional and Country FRA heads.</w:t>
      </w:r>
    </w:p>
    <w:p>
      <w:pPr>
        <w:pStyle w:val="TableLevel1Numbered"/>
        <w:numPr>
          <w:ilvl w:val="0"/>
          <w:numId w:val="8"/>
        </w:numPr>
        <w:ind w:hanging="0" w:start="0"/>
        <w:jc w:val="both"/>
        <w:rPr>
          <w:rFonts w:ascii="Arial" w:hAnsi="Arial" w:cs="Arial"/>
        </w:rPr>
      </w:pPr>
      <w:r>
        <w:rPr>
          <w:rFonts w:cs="Arial" w:ascii="Arial" w:hAnsi="Arial"/>
        </w:rPr>
        <w:t>Constructing the performance reports and managing the monthly reporting.</w:t>
      </w:r>
    </w:p>
    <w:p>
      <w:pPr>
        <w:pStyle w:val="TableLevel1Numbered"/>
        <w:numPr>
          <w:ilvl w:val="0"/>
          <w:numId w:val="8"/>
        </w:numPr>
        <w:ind w:hanging="0" w:start="0"/>
        <w:rPr>
          <w:rFonts w:ascii="Arial" w:hAnsi="Arial" w:cs="Arial"/>
        </w:rPr>
      </w:pPr>
      <w:r>
        <w:rPr>
          <w:rFonts w:cs="Arial" w:ascii="Arial" w:hAnsi="Arial"/>
        </w:rPr>
        <w:t>Introducing the Service Provider’s processes and delivery models to the account; modifying them to meet GlobalPharma standards; and ensuring that this methodology is implemented on the account.</w:t>
      </w:r>
    </w:p>
    <w:p>
      <w:pPr>
        <w:pStyle w:val="TableLevel1Numbered"/>
        <w:numPr>
          <w:ilvl w:val="0"/>
          <w:numId w:val="8"/>
        </w:numPr>
        <w:ind w:hanging="0" w:start="0"/>
        <w:rPr>
          <w:rFonts w:ascii="Arial" w:hAnsi="Arial" w:cs="Arial"/>
        </w:rPr>
      </w:pPr>
      <w:r>
        <w:rPr>
          <w:rFonts w:cs="Arial" w:ascii="Arial" w:hAnsi="Arial"/>
        </w:rPr>
        <w:t>Providing training as required by the Agreement.</w:t>
      </w:r>
    </w:p>
    <w:p>
      <w:pPr>
        <w:pStyle w:val="TableLevel1Numbered"/>
        <w:numPr>
          <w:ilvl w:val="0"/>
          <w:numId w:val="8"/>
        </w:numPr>
        <w:ind w:hanging="0" w:start="0"/>
        <w:rPr>
          <w:rFonts w:ascii="Arial" w:hAnsi="Arial" w:cs="Arial"/>
        </w:rPr>
      </w:pPr>
      <w:r>
        <w:rPr>
          <w:rFonts w:cs="Arial" w:ascii="Arial" w:hAnsi="Arial"/>
        </w:rPr>
        <w:t>Providing process ownership for Service delivery processes.</w:t>
      </w:r>
    </w:p>
    <w:p>
      <w:pPr>
        <w:pStyle w:val="TableLevel1Numbered"/>
        <w:numPr>
          <w:ilvl w:val="0"/>
          <w:numId w:val="8"/>
        </w:numPr>
        <w:ind w:hanging="0" w:start="0"/>
        <w:rPr>
          <w:rFonts w:ascii="Arial" w:hAnsi="Arial" w:cs="Arial"/>
        </w:rPr>
      </w:pPr>
      <w:r>
        <w:rPr>
          <w:rFonts w:cs="Arial" w:ascii="Arial" w:hAnsi="Arial"/>
        </w:rPr>
        <w:t>Providing the Service Provider quality assurance function.</w:t>
      </w:r>
    </w:p>
    <w:p>
      <w:pPr>
        <w:pStyle w:val="TableLevel1Numbered"/>
        <w:numPr>
          <w:ilvl w:val="0"/>
          <w:numId w:val="8"/>
        </w:numPr>
        <w:ind w:hanging="0" w:start="0"/>
        <w:rPr>
          <w:rFonts w:ascii="Arial" w:hAnsi="Arial" w:cs="Arial"/>
        </w:rPr>
      </w:pPr>
      <w:r>
        <w:rPr>
          <w:rFonts w:cs="Arial" w:ascii="Arial" w:hAnsi="Arial"/>
        </w:rPr>
        <w:t>Implementing a client satisfaction survey for the account.</w:t>
      </w:r>
    </w:p>
    <w:p>
      <w:pPr>
        <w:pStyle w:val="TableLevel1Numbered"/>
        <w:numPr>
          <w:ilvl w:val="0"/>
          <w:numId w:val="8"/>
        </w:numPr>
        <w:ind w:hanging="0" w:start="0"/>
        <w:rPr>
          <w:rFonts w:ascii="Arial" w:hAnsi="Arial" w:cs="Arial"/>
        </w:rPr>
      </w:pPr>
      <w:r>
        <w:rPr>
          <w:rFonts w:cs="Arial" w:ascii="Arial" w:hAnsi="Arial"/>
        </w:rPr>
        <w:t>Providing the Human Resources management function for the account.</w:t>
      </w:r>
    </w:p>
    <w:p>
      <w:pPr>
        <w:pStyle w:val="Heading3Numbered"/>
        <w:numPr>
          <w:ilvl w:val="2"/>
          <w:numId w:val="12"/>
        </w:numPr>
        <w:ind w:hanging="0" w:start="0"/>
        <w:rPr>
          <w:rFonts w:ascii="Arial" w:hAnsi="Arial" w:cs="Arial"/>
        </w:rPr>
      </w:pPr>
      <w:bookmarkStart w:id="16" w:name="__RefHeading___Toc157158908"/>
      <w:bookmarkEnd w:id="16"/>
      <w:r>
        <w:rPr>
          <w:rFonts w:cs="Arial" w:ascii="Arial" w:hAnsi="Arial"/>
        </w:rPr>
        <w:t>Service Provider Global Process Champion’s</w:t>
      </w:r>
    </w:p>
    <w:p>
      <w:pPr>
        <w:pStyle w:val="TableText"/>
        <w:jc w:val="both"/>
        <w:rPr/>
      </w:pPr>
      <w:r>
        <w:rPr>
          <w:rFonts w:cs="Arial" w:ascii="Arial" w:hAnsi="Arial"/>
        </w:rPr>
        <w:t>The Service Provider Global Process Champion(s) will have the primary responsibility to monitor and support GlobalPharma performance of the Services associated with each Functional Process area within the scope of the Agreement.</w:t>
      </w:r>
    </w:p>
    <w:p>
      <w:pPr>
        <w:pStyle w:val="TableText"/>
        <w:jc w:val="both"/>
        <w:rPr>
          <w:rFonts w:ascii="Arial" w:hAnsi="Arial" w:cs="Arial"/>
        </w:rPr>
      </w:pPr>
      <w:r>
        <w:rPr>
          <w:rFonts w:cs="Arial" w:ascii="Arial" w:hAnsi="Arial"/>
        </w:rPr>
        <w:t>Primary responsibilities include:</w:t>
      </w:r>
    </w:p>
    <w:p>
      <w:pPr>
        <w:pStyle w:val="TableLevel1Numbered"/>
        <w:numPr>
          <w:ilvl w:val="0"/>
          <w:numId w:val="28"/>
        </w:numPr>
        <w:ind w:hanging="0" w:start="0"/>
        <w:rPr/>
      </w:pPr>
      <w:r>
        <w:rPr>
          <w:rFonts w:cs="Arial" w:ascii="Arial" w:hAnsi="Arial"/>
        </w:rPr>
        <w:t>Reviewing all Service Levels and contractual commitments for the respective Functional Process area</w:t>
      </w:r>
      <w:r>
        <w:rPr/>
        <w:t>.</w:t>
      </w:r>
    </w:p>
    <w:p>
      <w:pPr>
        <w:pStyle w:val="TableLevel1Numbered"/>
        <w:numPr>
          <w:ilvl w:val="0"/>
          <w:numId w:val="8"/>
        </w:numPr>
        <w:ind w:hanging="0" w:start="0"/>
        <w:rPr>
          <w:rFonts w:ascii="Arial" w:hAnsi="Arial" w:cs="Arial"/>
        </w:rPr>
      </w:pPr>
      <w:r>
        <w:rPr>
          <w:rFonts w:cs="Arial" w:ascii="Arial" w:hAnsi="Arial"/>
        </w:rPr>
        <w:t>Assisting both the Service Provider and GlobalPharma with forecasting resource requirements.</w:t>
      </w:r>
    </w:p>
    <w:p>
      <w:pPr>
        <w:pStyle w:val="TableLevel1Numbered"/>
        <w:numPr>
          <w:ilvl w:val="0"/>
          <w:numId w:val="8"/>
        </w:numPr>
        <w:ind w:hanging="0" w:start="0"/>
        <w:rPr>
          <w:rFonts w:ascii="Arial" w:hAnsi="Arial" w:cs="Arial"/>
        </w:rPr>
      </w:pPr>
      <w:r>
        <w:rPr>
          <w:rFonts w:cs="Arial" w:ascii="Arial" w:hAnsi="Arial"/>
        </w:rPr>
        <w:t>Providing support to GlobalPharma and Authorized Users in accordance with the Problem Management process, as described in the Exhibit 2.1 (Cross Functional – General Services).</w:t>
      </w:r>
      <w:r>
        <w:rPr>
          <w:rFonts w:cs="Arial" w:ascii="Arial" w:hAnsi="Arial"/>
          <w:b/>
        </w:rPr>
      </w:r>
      <w:r>
        <w:rPr>
          <w:rFonts w:cs="Arial" w:ascii="Arial" w:hAnsi="Arial"/>
        </w:rPr>
      </w:r>
    </w:p>
    <w:p>
      <w:pPr>
        <w:pStyle w:val="TableLevel1Numbered"/>
        <w:numPr>
          <w:ilvl w:val="0"/>
          <w:numId w:val="8"/>
        </w:numPr>
        <w:ind w:hanging="0" w:start="0"/>
        <w:rPr>
          <w:rFonts w:ascii="Arial" w:hAnsi="Arial" w:cs="Arial"/>
        </w:rPr>
      </w:pPr>
      <w:r>
        <w:rPr>
          <w:rFonts w:cs="Arial" w:ascii="Arial" w:hAnsi="Arial"/>
        </w:rPr>
        <w:t>Reviewing and approving specific project plans and Change Management activities for a Functional Process area.</w:t>
      </w:r>
    </w:p>
    <w:p>
      <w:pPr>
        <w:pStyle w:val="Heading1Numbered"/>
        <w:numPr>
          <w:ilvl w:val="0"/>
          <w:numId w:val="12"/>
        </w:numPr>
        <w:ind w:hanging="0" w:start="0"/>
        <w:rPr>
          <w:rFonts w:ascii="Arial" w:hAnsi="Arial" w:cs="Arial"/>
        </w:rPr>
      </w:pPr>
      <w:bookmarkStart w:id="17" w:name="__RefHeading___Toc157158910"/>
      <w:bookmarkEnd w:id="17"/>
      <w:r>
        <w:rPr>
          <w:rFonts w:cs="Arial" w:ascii="Arial" w:hAnsi="Arial"/>
        </w:rPr>
        <w:t>Committees and Teams</w:t>
      </w:r>
    </w:p>
    <w:p>
      <w:pPr>
        <w:pStyle w:val="TableLevel1Numbered"/>
        <w:numPr>
          <w:ilvl w:val="0"/>
          <w:numId w:val="29"/>
        </w:numPr>
        <w:ind w:hanging="0" w:start="0"/>
        <w:rPr>
          <w:rFonts w:ascii="Arial" w:hAnsi="Arial" w:cs="Arial"/>
        </w:rPr>
      </w:pPr>
      <w:r>
        <w:rPr>
          <w:rFonts w:cs="Arial" w:ascii="Arial" w:hAnsi="Arial"/>
        </w:rPr>
        <w:t>A GlobalPharma Shared Services Steering Committee will be formed, consisting of both GlobalPharma and Service Provider executives, to provide business oversight and ensure that the Service delivery objectives are achieved. This committee will also direct the GlobalPharma / Service Provider relationship and assist the GlobalPharma Head Financial Shared Services and the Service Provider Services Delivery Leader in decisions that directly affect this Agreement.</w:t>
      </w:r>
    </w:p>
    <w:p>
      <w:pPr>
        <w:pStyle w:val="TableLevel1Numbered"/>
        <w:numPr>
          <w:ilvl w:val="0"/>
          <w:numId w:val="8"/>
        </w:numPr>
        <w:ind w:hanging="0" w:start="0"/>
        <w:rPr/>
      </w:pPr>
      <w:r>
        <w:rPr>
          <w:rFonts w:cs="Arial" w:ascii="Arial" w:hAnsi="Arial"/>
        </w:rPr>
        <w:t>A GlobalPharma Head Financial Shared Services and a Service Provider Services Delivery Leader will be appointed by the Parties to liaise with the GlobalPharma Shared Services Steering Committee and to monitor and resolve where possible any issues raised by the GlobalPharma Global Process Champions and the Service Provider Global Process Champions and/or Operations Managers.</w:t>
      </w:r>
    </w:p>
    <w:p>
      <w:pPr>
        <w:pStyle w:val="TableLevel1Numbered"/>
        <w:numPr>
          <w:ilvl w:val="0"/>
          <w:numId w:val="8"/>
        </w:numPr>
        <w:ind w:hanging="0" w:start="0"/>
        <w:rPr>
          <w:rFonts w:ascii="Arial" w:hAnsi="Arial" w:cs="Arial"/>
        </w:rPr>
      </w:pPr>
      <w:r>
        <w:rPr>
          <w:rFonts w:cs="Arial" w:ascii="Arial" w:hAnsi="Arial"/>
        </w:rPr>
        <w:t>The appropriate GlobalPharma Global Process Champion(s) and Service Provider Global Process Champions and/or Operations Managers,as appropriate,  will carry out the day-to-day coordination of Service delivery, and will include other GlobalPharma representatives as required.</w:t>
      </w:r>
    </w:p>
    <w:p>
      <w:pPr>
        <w:pStyle w:val="TableLevel1Numbered"/>
        <w:numPr>
          <w:ilvl w:val="0"/>
          <w:numId w:val="8"/>
        </w:numPr>
        <w:ind w:hanging="0" w:start="0"/>
        <w:rPr>
          <w:rFonts w:ascii="Arial" w:hAnsi="Arial" w:cs="Arial"/>
        </w:rPr>
      </w:pPr>
      <w:r>
        <w:rPr>
          <w:rFonts w:cs="Arial" w:ascii="Arial" w:hAnsi="Arial"/>
        </w:rPr>
        <w:t>GlobalPharma and the Service Provider will jointly develop and implement agreed performance management and quality assurance processes.</w:t>
      </w:r>
    </w:p>
    <w:p>
      <w:pPr>
        <w:pStyle w:val="TableLevel1Numbered"/>
        <w:numPr>
          <w:ilvl w:val="0"/>
          <w:numId w:val="8"/>
        </w:numPr>
        <w:ind w:hanging="0" w:start="0"/>
        <w:rPr>
          <w:rFonts w:ascii="Arial" w:hAnsi="Arial" w:cs="Arial"/>
        </w:rPr>
      </w:pPr>
      <w:r>
        <w:rPr>
          <w:rFonts w:cs="Arial" w:ascii="Arial" w:hAnsi="Arial"/>
        </w:rPr>
        <w:t>The performance management and quality assurance processes and procedures will be deployed at the Service Provider sites and/or the designated GlobalPharma Sites, which will ensure the stable start-up and efficient delivery of the Services.</w:t>
      </w:r>
    </w:p>
    <w:p>
      <w:pPr>
        <w:pStyle w:val="Heading2Numbered"/>
        <w:numPr>
          <w:ilvl w:val="1"/>
          <w:numId w:val="12"/>
        </w:numPr>
        <w:ind w:hanging="0" w:start="0"/>
        <w:rPr>
          <w:rFonts w:ascii="Arial" w:hAnsi="Arial" w:cs="Arial"/>
        </w:rPr>
      </w:pPr>
      <w:bookmarkStart w:id="18" w:name="__RefHeading___Toc157158911"/>
      <w:bookmarkEnd w:id="18"/>
      <w:r>
        <w:rPr>
          <w:rFonts w:cs="Arial" w:ascii="Arial" w:hAnsi="Arial"/>
        </w:rPr>
        <w:t>GlobalPharma Shared Services Steering Committee</w:t>
      </w:r>
    </w:p>
    <w:p>
      <w:pPr>
        <w:pStyle w:val="TableText"/>
        <w:rPr>
          <w:rFonts w:ascii="Arial" w:hAnsi="Arial" w:cs="Arial"/>
        </w:rPr>
      </w:pPr>
      <w:r>
        <w:rPr>
          <w:rFonts w:cs="Arial" w:ascii="Arial" w:hAnsi="Arial"/>
        </w:rPr>
        <w:t>Prior to the Effective Date, the Parties will establish a GlobalPharma Shared Services Steering Committee. The names and/or titles of the representatives serving on the initial GlobalPharma Shared Services Steering Committee are listed in Attachment 6-A (Committee Relationships and Membership) to this Exhibit.</w:t>
      </w:r>
      <w:r>
        <w:rPr>
          <w:rFonts w:cs="Arial" w:ascii="Arial" w:hAnsi="Arial"/>
          <w:b/>
        </w:rPr>
      </w:r>
      <w:r>
        <w:rPr>
          <w:rFonts w:cs="Arial" w:ascii="Arial" w:hAnsi="Arial"/>
        </w:rPr>
      </w:r>
    </w:p>
    <w:p>
      <w:pPr>
        <w:pStyle w:val="TableText"/>
        <w:rPr/>
      </w:pPr>
      <w:r>
        <w:rPr>
          <w:rFonts w:cs="Arial" w:ascii="Arial" w:hAnsi="Arial"/>
        </w:rPr>
        <w:t>The Pharma Shared Services Steering Committee will have executive management responsibility for the Agreement and for the relationship between the Parties.</w:t>
      </w:r>
    </w:p>
    <w:p>
      <w:pPr>
        <w:pStyle w:val="Heading3Numbered"/>
        <w:numPr>
          <w:ilvl w:val="2"/>
          <w:numId w:val="12"/>
        </w:numPr>
        <w:ind w:hanging="0" w:start="0"/>
        <w:rPr>
          <w:rFonts w:ascii="Arial" w:hAnsi="Arial" w:cs="Arial"/>
        </w:rPr>
      </w:pPr>
      <w:bookmarkStart w:id="19" w:name="__RefHeading___Toc157158912"/>
      <w:bookmarkEnd w:id="19"/>
      <w:r>
        <w:rPr>
          <w:rFonts w:cs="Arial" w:ascii="Arial" w:hAnsi="Arial"/>
        </w:rPr>
        <w:t>Members</w:t>
      </w:r>
    </w:p>
    <w:p>
      <w:pPr>
        <w:pStyle w:val="TableText"/>
        <w:rPr>
          <w:rFonts w:ascii="Arial" w:hAnsi="Arial" w:cs="Arial"/>
        </w:rPr>
      </w:pPr>
      <w:r>
        <w:rPr>
          <w:rFonts w:cs="Arial" w:ascii="Arial" w:hAnsi="Arial"/>
        </w:rPr>
        <w:t>The GlobalPharma Shared Services Steering Committee shall be chaired by the GlobalPharma Head Financial Shared Services and will be comprised as follows:</w:t>
      </w:r>
    </w:p>
    <w:p>
      <w:pPr>
        <w:pStyle w:val="TableLevel1Numbered"/>
        <w:numPr>
          <w:ilvl w:val="0"/>
          <w:numId w:val="30"/>
        </w:numPr>
        <w:ind w:hanging="0" w:start="0"/>
        <w:rPr>
          <w:rFonts w:ascii="Arial" w:hAnsi="Arial" w:cs="Arial"/>
        </w:rPr>
      </w:pPr>
      <w:r>
        <w:rPr>
          <w:rFonts w:cs="Arial" w:ascii="Arial" w:hAnsi="Arial"/>
        </w:rPr>
        <w:t>GlobalPharma Shared Services Executive.</w:t>
      </w:r>
    </w:p>
    <w:p>
      <w:pPr>
        <w:pStyle w:val="TableLevel1Numbered"/>
        <w:numPr>
          <w:ilvl w:val="0"/>
          <w:numId w:val="8"/>
        </w:numPr>
        <w:ind w:hanging="0" w:start="0"/>
        <w:rPr>
          <w:rFonts w:ascii="Arial" w:hAnsi="Arial" w:cs="Arial"/>
        </w:rPr>
      </w:pPr>
      <w:r>
        <w:rPr>
          <w:rFonts w:cs="Arial" w:ascii="Arial" w:hAnsi="Arial"/>
        </w:rPr>
        <w:t>GlobalPharma Head Financial Shared Services.</w:t>
      </w:r>
    </w:p>
    <w:p>
      <w:pPr>
        <w:pStyle w:val="TableLevel1Numbered"/>
        <w:numPr>
          <w:ilvl w:val="0"/>
          <w:numId w:val="8"/>
        </w:numPr>
        <w:ind w:hanging="0" w:start="0"/>
        <w:rPr>
          <w:rFonts w:ascii="Arial" w:hAnsi="Arial" w:cs="Arial"/>
        </w:rPr>
      </w:pPr>
      <w:r>
        <w:rPr>
          <w:rFonts w:cs="Arial" w:ascii="Arial" w:hAnsi="Arial"/>
        </w:rPr>
        <w:t>GlobalPharma CIO</w:t>
      </w:r>
    </w:p>
    <w:p>
      <w:pPr>
        <w:pStyle w:val="TableLevel1Numbered"/>
        <w:numPr>
          <w:ilvl w:val="0"/>
          <w:numId w:val="8"/>
        </w:numPr>
        <w:ind w:hanging="0" w:start="0"/>
        <w:rPr>
          <w:rFonts w:ascii="Arial" w:hAnsi="Arial" w:cs="Arial"/>
        </w:rPr>
      </w:pPr>
      <w:r>
        <w:rPr>
          <w:rFonts w:cs="Arial" w:ascii="Arial" w:hAnsi="Arial"/>
        </w:rPr>
        <w:t xml:space="preserve">GlobalPharma Head HR </w:t>
      </w:r>
    </w:p>
    <w:p>
      <w:pPr>
        <w:pStyle w:val="TableLevel1Numbered"/>
        <w:numPr>
          <w:ilvl w:val="0"/>
          <w:numId w:val="8"/>
        </w:numPr>
        <w:ind w:hanging="0" w:start="0"/>
        <w:rPr>
          <w:rFonts w:ascii="Arial" w:hAnsi="Arial" w:cs="Arial"/>
        </w:rPr>
      </w:pPr>
      <w:r>
        <w:rPr>
          <w:rFonts w:cs="Arial" w:ascii="Arial" w:hAnsi="Arial"/>
        </w:rPr>
        <w:t>Service Provider Global Executive Sponsor (ServicePro Europe President and CEO)</w:t>
      </w:r>
    </w:p>
    <w:p>
      <w:pPr>
        <w:pStyle w:val="TableLevel1Numbered"/>
        <w:numPr>
          <w:ilvl w:val="0"/>
          <w:numId w:val="8"/>
        </w:numPr>
        <w:ind w:hanging="0" w:start="0"/>
        <w:rPr>
          <w:rFonts w:ascii="Arial" w:hAnsi="Arial" w:cs="Arial"/>
        </w:rPr>
      </w:pPr>
      <w:r>
        <w:rPr>
          <w:rFonts w:cs="Arial" w:ascii="Arial" w:hAnsi="Arial"/>
        </w:rPr>
        <w:t>Service Provider Global F&amp;A Leader</w:t>
      </w:r>
    </w:p>
    <w:p>
      <w:pPr>
        <w:pStyle w:val="TableLevel1Numbered"/>
        <w:numPr>
          <w:ilvl w:val="0"/>
          <w:numId w:val="0"/>
        </w:numPr>
        <w:ind w:hanging="0" w:start="540" w:end="0"/>
        <w:rPr>
          <w:rFonts w:ascii="Arial" w:hAnsi="Arial" w:cs="Arial"/>
        </w:rPr>
      </w:pPr>
      <w:r>
        <w:rPr>
          <w:rFonts w:cs="Arial" w:ascii="Arial" w:hAnsi="Arial"/>
        </w:rPr>
        <w:t>Service Provider Account Executive (ServicePro Romania Leader)</w:t>
      </w:r>
    </w:p>
    <w:p>
      <w:pPr>
        <w:pStyle w:val="TableLevel1Numbered"/>
        <w:numPr>
          <w:ilvl w:val="0"/>
          <w:numId w:val="8"/>
        </w:numPr>
        <w:ind w:hanging="0" w:start="0"/>
        <w:rPr>
          <w:rFonts w:ascii="Arial" w:hAnsi="Arial" w:cs="Arial"/>
        </w:rPr>
      </w:pPr>
      <w:r>
        <w:rPr>
          <w:rFonts w:eastAsia="Arial" w:cs="Arial" w:ascii="Arial" w:hAnsi="Arial"/>
        </w:rPr>
        <w:t xml:space="preserve"> </w:t>
      </w:r>
      <w:r>
        <w:rPr>
          <w:rFonts w:cs="Arial" w:ascii="Arial" w:hAnsi="Arial"/>
        </w:rPr>
        <w:t>Service Provider Services Delivery Leader</w:t>
      </w:r>
    </w:p>
    <w:p>
      <w:pPr>
        <w:pStyle w:val="TableLevel1Numbered"/>
        <w:numPr>
          <w:ilvl w:val="0"/>
          <w:numId w:val="8"/>
        </w:numPr>
        <w:ind w:hanging="0" w:start="0"/>
        <w:rPr>
          <w:rFonts w:ascii="Arial" w:hAnsi="Arial" w:cs="Arial"/>
        </w:rPr>
      </w:pPr>
      <w:r>
        <w:rPr>
          <w:rFonts w:cs="Arial" w:ascii="Arial" w:hAnsi="Arial"/>
        </w:rPr>
        <w:t>Service Provider Europe IT Leader</w:t>
      </w:r>
    </w:p>
    <w:p>
      <w:pPr>
        <w:pStyle w:val="TableLevel1Numbered"/>
        <w:numPr>
          <w:ilvl w:val="0"/>
          <w:numId w:val="8"/>
        </w:numPr>
        <w:ind w:hanging="0" w:start="0"/>
        <w:rPr>
          <w:rFonts w:ascii="Arial" w:hAnsi="Arial" w:cs="Arial"/>
        </w:rPr>
      </w:pPr>
      <w:r>
        <w:rPr>
          <w:rFonts w:cs="Arial" w:ascii="Arial" w:hAnsi="Arial"/>
        </w:rPr>
        <w:t>Service Provider Europe F&amp;A Practice Leader</w:t>
      </w:r>
    </w:p>
    <w:p>
      <w:pPr>
        <w:pStyle w:val="TableLevel1Numbered"/>
        <w:numPr>
          <w:ilvl w:val="0"/>
          <w:numId w:val="0"/>
        </w:numPr>
        <w:ind w:hanging="0" w:start="216" w:end="0"/>
        <w:rPr>
          <w:rFonts w:ascii="Arial" w:hAnsi="Arial" w:cs="Arial"/>
        </w:rPr>
      </w:pPr>
      <w:r>
        <w:rPr>
          <w:rFonts w:cs="Arial" w:ascii="Arial" w:hAnsi="Arial"/>
        </w:rPr>
      </w:r>
    </w:p>
    <w:p>
      <w:pPr>
        <w:pStyle w:val="TableLevel1Numbered"/>
        <w:numPr>
          <w:ilvl w:val="0"/>
          <w:numId w:val="8"/>
        </w:numPr>
        <w:ind w:hanging="0" w:start="0"/>
        <w:rPr>
          <w:rFonts w:ascii="Arial" w:hAnsi="Arial" w:cs="Arial"/>
        </w:rPr>
      </w:pPr>
      <w:r>
        <w:rPr>
          <w:rFonts w:cs="Arial" w:ascii="Arial" w:hAnsi="Arial"/>
        </w:rPr>
        <w:t>Other GlobalPharma and Service Provider personnel as required.</w:t>
      </w:r>
    </w:p>
    <w:p>
      <w:pPr>
        <w:pStyle w:val="Heading3Numbered"/>
        <w:numPr>
          <w:ilvl w:val="2"/>
          <w:numId w:val="12"/>
        </w:numPr>
        <w:ind w:hanging="0" w:start="0"/>
        <w:rPr>
          <w:rFonts w:ascii="Arial" w:hAnsi="Arial" w:cs="Arial"/>
        </w:rPr>
      </w:pPr>
      <w:bookmarkStart w:id="20" w:name="__RefHeading___Toc157158913"/>
      <w:bookmarkEnd w:id="20"/>
      <w:r>
        <w:rPr>
          <w:rFonts w:cs="Arial" w:ascii="Arial" w:hAnsi="Arial"/>
        </w:rPr>
        <w:t>Key Responsibilities</w:t>
      </w:r>
    </w:p>
    <w:p>
      <w:pPr>
        <w:pStyle w:val="TableText"/>
        <w:rPr/>
      </w:pPr>
      <w:r>
        <w:rPr>
          <w:rFonts w:cs="Arial" w:ascii="Arial" w:hAnsi="Arial"/>
        </w:rPr>
        <w:t>The responsibilities of the GlobalPharma Shared Services Steering Committee include:</w:t>
      </w:r>
    </w:p>
    <w:p>
      <w:pPr>
        <w:pStyle w:val="TableLevel1Numbered"/>
        <w:numPr>
          <w:ilvl w:val="0"/>
          <w:numId w:val="31"/>
        </w:numPr>
        <w:ind w:hanging="0" w:start="0"/>
        <w:rPr>
          <w:rFonts w:ascii="Arial" w:hAnsi="Arial" w:cs="Arial"/>
        </w:rPr>
      </w:pPr>
      <w:r>
        <w:rPr>
          <w:rFonts w:cs="Arial" w:ascii="Arial" w:hAnsi="Arial"/>
        </w:rPr>
        <w:t>Ensuring business alignment between the Parties, analysis of GlobalPharma and Service Provider business plans, and oversight of new or modified Services during the Term.</w:t>
      </w:r>
    </w:p>
    <w:p>
      <w:pPr>
        <w:pStyle w:val="TableLevel1Numbered"/>
        <w:numPr>
          <w:ilvl w:val="0"/>
          <w:numId w:val="8"/>
        </w:numPr>
        <w:ind w:hanging="0" w:start="0"/>
        <w:rPr>
          <w:rFonts w:ascii="Arial" w:hAnsi="Arial" w:cs="Arial"/>
        </w:rPr>
      </w:pPr>
      <w:r>
        <w:rPr>
          <w:rFonts w:cs="Arial" w:ascii="Arial" w:hAnsi="Arial"/>
        </w:rPr>
        <w:t>Developing strategic requirements and plans associated with the Services or New Services during the Term.</w:t>
      </w:r>
    </w:p>
    <w:p>
      <w:pPr>
        <w:pStyle w:val="TableLevel1Numbered"/>
        <w:numPr>
          <w:ilvl w:val="0"/>
          <w:numId w:val="8"/>
        </w:numPr>
        <w:ind w:hanging="0" w:start="0"/>
        <w:rPr>
          <w:rFonts w:ascii="Arial" w:hAnsi="Arial" w:cs="Arial"/>
        </w:rPr>
      </w:pPr>
      <w:r>
        <w:rPr>
          <w:rFonts w:cs="Arial" w:ascii="Arial" w:hAnsi="Arial"/>
        </w:rPr>
        <w:t>Agreeing to and periodically reviewing the authority of the committees and makeup of the individual members of the Shared Services Steering Committee (discussed in Section 3.2 below) and the GlobalPharma F&amp;A Service Delivery Committee (discussed in Section 3.3 below).</w:t>
      </w:r>
    </w:p>
    <w:p>
      <w:pPr>
        <w:pStyle w:val="TableLevel1Numbered"/>
        <w:numPr>
          <w:ilvl w:val="0"/>
          <w:numId w:val="8"/>
        </w:numPr>
        <w:ind w:hanging="0" w:start="0"/>
        <w:rPr>
          <w:rFonts w:ascii="Arial" w:hAnsi="Arial" w:cs="Arial"/>
        </w:rPr>
      </w:pPr>
      <w:r>
        <w:rPr>
          <w:rFonts w:cs="Arial" w:ascii="Arial" w:hAnsi="Arial"/>
        </w:rPr>
        <w:t>Approving the F&amp;A Service Delivery Committee report and recommendations, including review and/or approval of the following:</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Transition Plan implementation, including progress and achievement of Critical Deliverables and key activities.</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Service Level reports and modifications.</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Continuous improvement and quality assurance measures.</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Reset of Critical Service Levels.</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Financial issues and performance.</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Customer satisfaction surveys.</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Audit results.</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Benchmarking results.</w:t>
      </w:r>
    </w:p>
    <w:p>
      <w:pPr>
        <w:pStyle w:val="TableLevel2Numbered"/>
        <w:numPr>
          <w:ilvl w:val="1"/>
          <w:numId w:val="8"/>
        </w:numPr>
        <w:tabs>
          <w:tab w:val="clear" w:pos="720"/>
          <w:tab w:val="left" w:pos="1620" w:leader="none"/>
        </w:tabs>
        <w:ind w:hanging="504" w:start="1620" w:end="0"/>
        <w:rPr>
          <w:rFonts w:ascii="Arial" w:hAnsi="Arial" w:cs="Arial"/>
        </w:rPr>
      </w:pPr>
      <w:r>
        <w:rPr>
          <w:rFonts w:cs="Arial" w:ascii="Arial" w:hAnsi="Arial"/>
        </w:rPr>
        <w:t>Resolving issues escalated by the F&amp;A Services Delivery Committee .</w:t>
      </w:r>
    </w:p>
    <w:p>
      <w:pPr>
        <w:pStyle w:val="Heading3Numbered"/>
        <w:numPr>
          <w:ilvl w:val="2"/>
          <w:numId w:val="12"/>
        </w:numPr>
        <w:ind w:hanging="0" w:start="0"/>
        <w:rPr>
          <w:rFonts w:ascii="Arial" w:hAnsi="Arial" w:cs="Arial"/>
        </w:rPr>
      </w:pPr>
      <w:bookmarkStart w:id="21" w:name="__RefHeading___Toc157158914"/>
      <w:bookmarkEnd w:id="21"/>
      <w:r>
        <w:rPr>
          <w:rFonts w:cs="Arial" w:ascii="Arial" w:hAnsi="Arial"/>
        </w:rPr>
        <w:t>Reports</w:t>
      </w:r>
    </w:p>
    <w:p>
      <w:pPr>
        <w:pStyle w:val="TableLevel2Numbered"/>
        <w:numPr>
          <w:ilvl w:val="0"/>
          <w:numId w:val="0"/>
        </w:numPr>
        <w:ind w:hanging="0" w:start="1116" w:end="0"/>
        <w:rPr>
          <w:rFonts w:ascii="Arial" w:hAnsi="Arial" w:cs="Arial"/>
        </w:rPr>
      </w:pPr>
      <w:r>
        <w:rPr>
          <w:rFonts w:cs="Arial" w:ascii="Arial" w:hAnsi="Arial"/>
        </w:rPr>
        <w:t>4.1.3.1 Preparation of the Minutes of the meetings of the GlobalPharma Shared Services Steering Committee.</w:t>
      </w:r>
    </w:p>
    <w:p>
      <w:pPr>
        <w:pStyle w:val="Heading3Numbered"/>
        <w:numPr>
          <w:ilvl w:val="2"/>
          <w:numId w:val="12"/>
        </w:numPr>
        <w:ind w:hanging="0" w:start="0"/>
        <w:rPr>
          <w:rFonts w:ascii="Arial" w:hAnsi="Arial" w:cs="Arial"/>
        </w:rPr>
      </w:pPr>
      <w:bookmarkStart w:id="22" w:name="__RefHeading___Toc157158915"/>
      <w:bookmarkEnd w:id="22"/>
      <w:r>
        <w:rPr>
          <w:rFonts w:cs="Arial" w:ascii="Arial" w:hAnsi="Arial"/>
        </w:rPr>
        <w:t>Meetings</w:t>
      </w:r>
    </w:p>
    <w:p>
      <w:pPr>
        <w:pStyle w:val="TableText"/>
        <w:rPr>
          <w:rFonts w:ascii="Arial" w:hAnsi="Arial" w:cs="Arial"/>
        </w:rPr>
      </w:pPr>
      <w:r>
        <w:rPr>
          <w:rFonts w:cs="Arial" w:ascii="Arial" w:hAnsi="Arial"/>
        </w:rPr>
        <w:t>Holding initial quarterly meetings, changing to time periods as agreed by the Parties.</w:t>
      </w:r>
    </w:p>
    <w:p>
      <w:pPr>
        <w:pStyle w:val="Heading2Numbered"/>
        <w:numPr>
          <w:ilvl w:val="1"/>
          <w:numId w:val="12"/>
        </w:numPr>
        <w:ind w:hanging="0" w:start="0"/>
        <w:rPr>
          <w:rFonts w:ascii="Arial" w:hAnsi="Arial" w:cs="Arial"/>
        </w:rPr>
      </w:pPr>
      <w:bookmarkStart w:id="23" w:name="__RefHeading___Toc157158918"/>
      <w:bookmarkEnd w:id="23"/>
      <w:r>
        <w:rPr>
          <w:rFonts w:cs="Arial" w:ascii="Arial" w:hAnsi="Arial"/>
        </w:rPr>
        <w:t>GlobalPharma F&amp;A Service Delivery Committee</w:t>
      </w:r>
    </w:p>
    <w:p>
      <w:pPr>
        <w:pStyle w:val="TableText"/>
        <w:rPr>
          <w:rFonts w:ascii="Arial" w:hAnsi="Arial" w:cs="Arial"/>
        </w:rPr>
      </w:pPr>
      <w:r>
        <w:rPr>
          <w:rFonts w:cs="Arial" w:ascii="Arial" w:hAnsi="Arial"/>
        </w:rPr>
        <w:t>Prior to the Effective Date, the Parties will establish a GlobalPharma F&amp;A Service Delivery Committee. The names and/or titles of the representatives serving on the initial GlobalPharma F&amp;A Service Delivery Committee are listed in Attachment 6-A (Committee Relationships and Membership) to this Exhibit.</w:t>
      </w:r>
      <w:r>
        <w:rPr>
          <w:rFonts w:cs="Arial" w:ascii="Arial" w:hAnsi="Arial"/>
          <w:b/>
        </w:rPr>
      </w:r>
      <w:r>
        <w:rPr>
          <w:rFonts w:cs="Arial" w:ascii="Arial" w:hAnsi="Arial"/>
        </w:rPr>
      </w:r>
    </w:p>
    <w:p>
      <w:pPr>
        <w:pStyle w:val="Heading3Numbered"/>
        <w:numPr>
          <w:ilvl w:val="2"/>
          <w:numId w:val="12"/>
        </w:numPr>
        <w:ind w:hanging="0" w:start="0"/>
        <w:rPr>
          <w:rFonts w:ascii="Arial" w:hAnsi="Arial" w:cs="Arial"/>
        </w:rPr>
      </w:pPr>
      <w:bookmarkStart w:id="24" w:name="__RefHeading___Toc157158920"/>
      <w:bookmarkEnd w:id="24"/>
      <w:r>
        <w:rPr>
          <w:rFonts w:cs="Arial" w:ascii="Arial" w:hAnsi="Arial"/>
        </w:rPr>
        <w:t>Members</w:t>
      </w:r>
    </w:p>
    <w:p>
      <w:pPr>
        <w:pStyle w:val="TableText"/>
        <w:rPr/>
      </w:pPr>
      <w:r>
        <w:rPr>
          <w:rFonts w:cs="Arial" w:ascii="Arial" w:hAnsi="Arial"/>
        </w:rPr>
        <w:t>The GlobalPharma F&amp;A Service Delivery Committee will be comprised as follows:</w:t>
      </w:r>
    </w:p>
    <w:p>
      <w:pPr>
        <w:pStyle w:val="TableLevel1Numbered"/>
        <w:numPr>
          <w:ilvl w:val="0"/>
          <w:numId w:val="32"/>
        </w:numPr>
        <w:ind w:hanging="0" w:start="0"/>
        <w:rPr>
          <w:rFonts w:ascii="Arial" w:hAnsi="Arial" w:cs="Arial"/>
        </w:rPr>
      </w:pPr>
      <w:r>
        <w:rPr>
          <w:rFonts w:cs="Arial" w:ascii="Arial" w:hAnsi="Arial"/>
        </w:rPr>
        <w:t>GlobalPharma Global Process Champion(s).</w:t>
      </w:r>
    </w:p>
    <w:p>
      <w:pPr>
        <w:pStyle w:val="TableLevel1Numbered"/>
        <w:numPr>
          <w:ilvl w:val="0"/>
          <w:numId w:val="8"/>
        </w:numPr>
        <w:ind w:hanging="0" w:start="0"/>
        <w:rPr>
          <w:rFonts w:ascii="Arial" w:hAnsi="Arial" w:cs="Arial"/>
          <w:lang w:val="pt-BR"/>
        </w:rPr>
      </w:pPr>
      <w:r>
        <w:rPr>
          <w:rFonts w:cs="Arial" w:ascii="Arial" w:hAnsi="Arial"/>
          <w:lang w:val="pt-BR"/>
        </w:rPr>
        <w:t>GlobalPharma Regional FRA heads</w:t>
      </w:r>
    </w:p>
    <w:p>
      <w:pPr>
        <w:pStyle w:val="TableLevel1Numbered"/>
        <w:numPr>
          <w:ilvl w:val="0"/>
          <w:numId w:val="8"/>
        </w:numPr>
        <w:ind w:hanging="0" w:start="0"/>
        <w:rPr>
          <w:rFonts w:ascii="Arial" w:hAnsi="Arial" w:cs="Arial"/>
          <w:lang w:val="pt-BR"/>
        </w:rPr>
      </w:pPr>
      <w:r>
        <w:rPr>
          <w:rFonts w:cs="Arial" w:ascii="Arial" w:hAnsi="Arial"/>
          <w:lang w:val="pt-BR"/>
        </w:rPr>
        <w:t>GlobalPharma Global Process Champion(s)</w:t>
      </w:r>
    </w:p>
    <w:p>
      <w:pPr>
        <w:pStyle w:val="TableLevel1Numbered"/>
        <w:numPr>
          <w:ilvl w:val="0"/>
          <w:numId w:val="8"/>
        </w:numPr>
        <w:ind w:hanging="0" w:start="0"/>
        <w:rPr>
          <w:rFonts w:ascii="Arial" w:hAnsi="Arial" w:cs="Arial"/>
          <w:lang w:val="pt-BR"/>
        </w:rPr>
      </w:pPr>
      <w:r>
        <w:rPr>
          <w:rFonts w:cs="Arial" w:ascii="Arial" w:hAnsi="Arial"/>
          <w:lang w:val="pt-BR"/>
        </w:rPr>
        <w:t>GlobalPharma IT/CTO Coordinator</w:t>
      </w:r>
    </w:p>
    <w:p>
      <w:pPr>
        <w:pStyle w:val="TableLevel1Numbered"/>
        <w:numPr>
          <w:ilvl w:val="0"/>
          <w:numId w:val="8"/>
        </w:numPr>
        <w:ind w:hanging="0" w:start="0"/>
        <w:rPr>
          <w:rFonts w:ascii="Arial" w:hAnsi="Arial" w:cs="Arial"/>
        </w:rPr>
      </w:pPr>
      <w:r>
        <w:rPr>
          <w:rFonts w:cs="Arial" w:ascii="Arial" w:hAnsi="Arial"/>
        </w:rPr>
        <w:t xml:space="preserve">Service Provider Account Executive </w:t>
      </w:r>
    </w:p>
    <w:p>
      <w:pPr>
        <w:pStyle w:val="TableLevel1Numbered"/>
        <w:numPr>
          <w:ilvl w:val="0"/>
          <w:numId w:val="8"/>
        </w:numPr>
        <w:ind w:hanging="0" w:start="0"/>
        <w:rPr>
          <w:rFonts w:ascii="Arial" w:hAnsi="Arial" w:cs="Arial"/>
        </w:rPr>
      </w:pPr>
      <w:r>
        <w:rPr>
          <w:rFonts w:cs="Arial" w:ascii="Arial" w:hAnsi="Arial"/>
        </w:rPr>
        <w:t>Service Provider Services Delivery Leader</w:t>
      </w:r>
    </w:p>
    <w:p>
      <w:pPr>
        <w:pStyle w:val="TableLevel1Numbered"/>
        <w:numPr>
          <w:ilvl w:val="0"/>
          <w:numId w:val="8"/>
        </w:numPr>
        <w:ind w:hanging="0" w:start="0"/>
        <w:rPr>
          <w:rFonts w:ascii="Arial" w:hAnsi="Arial" w:cs="Arial"/>
        </w:rPr>
      </w:pPr>
      <w:r>
        <w:rPr>
          <w:rFonts w:cs="Arial" w:ascii="Arial" w:hAnsi="Arial"/>
        </w:rPr>
        <w:t>Service Provider European F&amp;A Leader</w:t>
      </w:r>
    </w:p>
    <w:p>
      <w:pPr>
        <w:pStyle w:val="TableLevel1Numbered"/>
        <w:numPr>
          <w:ilvl w:val="0"/>
          <w:numId w:val="8"/>
        </w:numPr>
        <w:ind w:hanging="0" w:start="0"/>
        <w:rPr>
          <w:rFonts w:ascii="Arial" w:hAnsi="Arial" w:cs="Arial"/>
        </w:rPr>
      </w:pPr>
      <w:r>
        <w:rPr>
          <w:rFonts w:cs="Arial" w:ascii="Arial" w:hAnsi="Arial"/>
        </w:rPr>
        <w:t>Service Provider Process Champions</w:t>
      </w:r>
    </w:p>
    <w:p>
      <w:pPr>
        <w:pStyle w:val="TableLevel1Numbered"/>
        <w:numPr>
          <w:ilvl w:val="0"/>
          <w:numId w:val="8"/>
        </w:numPr>
        <w:ind w:hanging="0" w:start="0"/>
        <w:rPr>
          <w:rFonts w:ascii="Arial" w:hAnsi="Arial" w:cs="Arial"/>
        </w:rPr>
      </w:pPr>
      <w:r>
        <w:rPr>
          <w:rFonts w:cs="Arial" w:ascii="Arial" w:hAnsi="Arial"/>
        </w:rPr>
        <w:t>Service Provider IT point person for GlobalPharma</w:t>
      </w:r>
    </w:p>
    <w:p>
      <w:pPr>
        <w:pStyle w:val="TableLevel1Numbered"/>
        <w:numPr>
          <w:ilvl w:val="0"/>
          <w:numId w:val="8"/>
        </w:numPr>
        <w:ind w:hanging="0" w:start="0"/>
        <w:rPr>
          <w:rFonts w:ascii="Arial" w:hAnsi="Arial" w:cs="Arial"/>
        </w:rPr>
      </w:pPr>
      <w:r>
        <w:rPr>
          <w:rFonts w:cs="Arial" w:ascii="Arial" w:hAnsi="Arial"/>
        </w:rPr>
        <w:t>Other GlobalPharma and Service Provider personnel as required.</w:t>
      </w:r>
    </w:p>
    <w:p>
      <w:pPr>
        <w:pStyle w:val="Heading3Numbered"/>
        <w:numPr>
          <w:ilvl w:val="2"/>
          <w:numId w:val="12"/>
        </w:numPr>
        <w:ind w:hanging="0" w:start="0"/>
        <w:rPr>
          <w:rFonts w:ascii="Arial" w:hAnsi="Arial" w:cs="Arial"/>
        </w:rPr>
      </w:pPr>
      <w:bookmarkStart w:id="25" w:name="__RefHeading___Toc157158921"/>
      <w:bookmarkEnd w:id="25"/>
      <w:r>
        <w:rPr>
          <w:rFonts w:cs="Arial" w:ascii="Arial" w:hAnsi="Arial"/>
        </w:rPr>
        <w:t>Authority</w:t>
      </w:r>
    </w:p>
    <w:p>
      <w:pPr>
        <w:pStyle w:val="TableText"/>
        <w:rPr>
          <w:rFonts w:ascii="Arial" w:hAnsi="Arial" w:cs="Arial"/>
        </w:rPr>
      </w:pPr>
      <w:r>
        <w:rPr>
          <w:rFonts w:cs="Arial" w:ascii="Arial" w:hAnsi="Arial"/>
        </w:rPr>
        <w:t>All members of the Pharma F&amp;A Service Delivery Committee:</w:t>
      </w:r>
    </w:p>
    <w:p>
      <w:pPr>
        <w:pStyle w:val="TableLevel1Numbered"/>
        <w:numPr>
          <w:ilvl w:val="0"/>
          <w:numId w:val="33"/>
        </w:numPr>
        <w:ind w:hanging="0" w:start="0"/>
        <w:rPr>
          <w:rFonts w:ascii="Arial" w:hAnsi="Arial" w:cs="Arial"/>
        </w:rPr>
      </w:pPr>
      <w:r>
        <w:rPr>
          <w:rFonts w:cs="Arial" w:ascii="Arial" w:hAnsi="Arial"/>
          <w:bCs/>
        </w:rPr>
        <w:t>Drive standardization</w:t>
      </w:r>
      <w:r>
        <w:rPr>
          <w:rFonts w:cs="Arial" w:ascii="Arial" w:hAnsi="Arial"/>
        </w:rPr>
        <w:t>/ harmonization across regions and countries</w:t>
      </w:r>
    </w:p>
    <w:p>
      <w:pPr>
        <w:pStyle w:val="TableLevel1Numbered"/>
        <w:numPr>
          <w:ilvl w:val="0"/>
          <w:numId w:val="8"/>
        </w:numPr>
        <w:ind w:hanging="0" w:start="0"/>
        <w:rPr>
          <w:rFonts w:ascii="Arial" w:hAnsi="Arial" w:cs="Arial"/>
        </w:rPr>
      </w:pPr>
      <w:r>
        <w:rPr>
          <w:rFonts w:cs="Arial" w:ascii="Arial" w:hAnsi="Arial"/>
          <w:bCs/>
        </w:rPr>
        <w:t>Review</w:t>
      </w:r>
      <w:r>
        <w:rPr>
          <w:rFonts w:cs="Arial" w:ascii="Arial" w:hAnsi="Arial"/>
        </w:rPr>
        <w:t xml:space="preserve"> change requests from Service Provider or internal organisation</w:t>
      </w:r>
    </w:p>
    <w:p>
      <w:pPr>
        <w:pStyle w:val="TableLevel1Numbered"/>
        <w:numPr>
          <w:ilvl w:val="0"/>
          <w:numId w:val="8"/>
        </w:numPr>
        <w:ind w:hanging="0" w:start="0"/>
        <w:rPr>
          <w:rFonts w:ascii="Arial" w:hAnsi="Arial" w:cs="Arial"/>
        </w:rPr>
      </w:pPr>
      <w:r>
        <w:rPr>
          <w:rFonts w:cs="Arial" w:ascii="Arial" w:hAnsi="Arial"/>
          <w:bCs/>
        </w:rPr>
        <w:t xml:space="preserve">Advise Steering Committee </w:t>
      </w:r>
      <w:r>
        <w:rPr>
          <w:rFonts w:cs="Arial" w:ascii="Arial" w:hAnsi="Arial"/>
        </w:rPr>
        <w:t>on material changes in procedures and scope of service delivery</w:t>
      </w:r>
    </w:p>
    <w:p>
      <w:pPr>
        <w:pStyle w:val="TableLevel1Numbered"/>
        <w:numPr>
          <w:ilvl w:val="0"/>
          <w:numId w:val="8"/>
        </w:numPr>
        <w:ind w:hanging="0" w:start="0"/>
        <w:rPr>
          <w:rFonts w:ascii="Arial" w:hAnsi="Arial" w:cs="Arial"/>
        </w:rPr>
      </w:pPr>
      <w:r>
        <w:rPr>
          <w:rFonts w:cs="Arial" w:ascii="Arial" w:hAnsi="Arial"/>
        </w:rPr>
        <w:t xml:space="preserve">Monitor </w:t>
      </w:r>
      <w:r>
        <w:rPr>
          <w:rFonts w:cs="Arial" w:ascii="Arial" w:hAnsi="Arial"/>
          <w:bCs/>
        </w:rPr>
        <w:t>critical deliverables</w:t>
      </w:r>
      <w:r>
        <w:rPr>
          <w:rFonts w:cs="Arial" w:ascii="Arial" w:hAnsi="Arial"/>
        </w:rPr>
        <w:t xml:space="preserve"> and service levels</w:t>
      </w:r>
    </w:p>
    <w:p>
      <w:pPr>
        <w:pStyle w:val="TableLevel1Numbered"/>
        <w:numPr>
          <w:ilvl w:val="0"/>
          <w:numId w:val="8"/>
        </w:numPr>
        <w:ind w:hanging="0" w:start="0"/>
        <w:rPr>
          <w:rFonts w:ascii="Arial" w:hAnsi="Arial" w:cs="Arial"/>
        </w:rPr>
      </w:pPr>
      <w:r>
        <w:rPr>
          <w:rFonts w:cs="Arial" w:ascii="Arial" w:hAnsi="Arial"/>
          <w:lang w:val="de-DE"/>
        </w:rPr>
        <w:t>Resolve issues and disputes</w:t>
      </w:r>
    </w:p>
    <w:p>
      <w:pPr>
        <w:pStyle w:val="TableLevel1Numbered"/>
        <w:numPr>
          <w:ilvl w:val="0"/>
          <w:numId w:val="0"/>
        </w:numPr>
        <w:ind w:hanging="0" w:start="216" w:end="0"/>
        <w:rPr>
          <w:rFonts w:ascii="Arial" w:hAnsi="Arial" w:cs="Arial"/>
        </w:rPr>
      </w:pPr>
      <w:r>
        <w:rPr>
          <w:rFonts w:cs="Arial" w:ascii="Arial" w:hAnsi="Arial"/>
        </w:rPr>
      </w:r>
    </w:p>
    <w:p>
      <w:pPr>
        <w:pStyle w:val="Heading3Numbered"/>
        <w:numPr>
          <w:ilvl w:val="2"/>
          <w:numId w:val="12"/>
        </w:numPr>
        <w:ind w:hanging="0" w:start="0"/>
        <w:rPr>
          <w:rFonts w:ascii="Arial" w:hAnsi="Arial" w:cs="Arial"/>
        </w:rPr>
      </w:pPr>
      <w:bookmarkStart w:id="26" w:name="__RefHeading___Toc157158926"/>
      <w:bookmarkEnd w:id="26"/>
      <w:r>
        <w:rPr>
          <w:rFonts w:cs="Arial" w:ascii="Arial" w:hAnsi="Arial"/>
        </w:rPr>
        <w:t>Key Responsibilities</w:t>
      </w:r>
    </w:p>
    <w:p>
      <w:pPr>
        <w:pStyle w:val="TableText"/>
        <w:rPr/>
      </w:pPr>
      <w:r>
        <w:rPr>
          <w:rFonts w:cs="Arial" w:ascii="Arial" w:hAnsi="Arial"/>
        </w:rPr>
        <w:t>The responsibilities and authorities of the GlobalPharma and Service Provider representatives will be determined and delegated in each case by the Shared Services Steering Committee  and may include matters within the relevant region such as the following:</w:t>
      </w:r>
    </w:p>
    <w:p>
      <w:pPr>
        <w:pStyle w:val="TableLevel1Numbered"/>
        <w:numPr>
          <w:ilvl w:val="0"/>
          <w:numId w:val="34"/>
        </w:numPr>
        <w:ind w:hanging="0" w:start="0"/>
        <w:rPr>
          <w:rFonts w:ascii="Arial" w:hAnsi="Arial" w:cs="Arial"/>
        </w:rPr>
      </w:pPr>
      <w:r>
        <w:rPr>
          <w:rFonts w:cs="Arial" w:ascii="Arial" w:hAnsi="Arial"/>
        </w:rPr>
        <w:t>Implementing the Transition Plan and monitoring the Service delivery.</w:t>
      </w:r>
    </w:p>
    <w:p>
      <w:pPr>
        <w:pStyle w:val="TableLevel1Numbered"/>
        <w:numPr>
          <w:ilvl w:val="0"/>
          <w:numId w:val="8"/>
        </w:numPr>
        <w:ind w:hanging="0" w:start="0"/>
        <w:rPr>
          <w:rFonts w:ascii="Arial" w:hAnsi="Arial" w:cs="Arial"/>
        </w:rPr>
      </w:pPr>
      <w:r>
        <w:rPr>
          <w:rFonts w:cs="Arial" w:ascii="Arial" w:hAnsi="Arial"/>
        </w:rPr>
        <w:t>Monitoring Critical Deliverables and Service Levels.</w:t>
      </w:r>
    </w:p>
    <w:p>
      <w:pPr>
        <w:pStyle w:val="TableLevel1Numbered"/>
        <w:numPr>
          <w:ilvl w:val="0"/>
          <w:numId w:val="8"/>
        </w:numPr>
        <w:ind w:hanging="0" w:start="0"/>
        <w:rPr>
          <w:rFonts w:ascii="Arial" w:hAnsi="Arial" w:cs="Arial"/>
        </w:rPr>
      </w:pPr>
      <w:r>
        <w:rPr>
          <w:rFonts w:cs="Arial" w:ascii="Arial" w:hAnsi="Arial"/>
        </w:rPr>
        <w:t>Coordinating and communicating day-to-day Service delivery issues; addressing, co-coordinating and prioritizing the issues affecting the provision of the Services to GlobalPharma.</w:t>
      </w:r>
    </w:p>
    <w:p>
      <w:pPr>
        <w:pStyle w:val="TableLevel1Numbered"/>
        <w:numPr>
          <w:ilvl w:val="0"/>
          <w:numId w:val="8"/>
        </w:numPr>
        <w:ind w:hanging="0" w:start="0"/>
        <w:rPr>
          <w:rFonts w:ascii="Arial" w:hAnsi="Arial" w:cs="Arial"/>
        </w:rPr>
      </w:pPr>
      <w:r>
        <w:rPr>
          <w:rFonts w:cs="Arial" w:ascii="Arial" w:hAnsi="Arial"/>
        </w:rPr>
        <w:t>Reviewing and escalating operational problems and issues in accordance with the Policy &amp; Procedures Manual.</w:t>
      </w:r>
    </w:p>
    <w:p>
      <w:pPr>
        <w:pStyle w:val="TableLevel1Numbered"/>
        <w:numPr>
          <w:ilvl w:val="0"/>
          <w:numId w:val="8"/>
        </w:numPr>
        <w:ind w:hanging="0" w:start="0"/>
        <w:rPr>
          <w:rFonts w:ascii="Arial" w:hAnsi="Arial" w:cs="Arial"/>
        </w:rPr>
      </w:pPr>
      <w:r>
        <w:rPr>
          <w:rFonts w:cs="Arial" w:ascii="Arial" w:hAnsi="Arial"/>
        </w:rPr>
        <w:t xml:space="preserve">Reviewing and scheduling change requests in accordance with the Change Management requirements described in </w:t>
      </w:r>
      <w:r>
        <w:rPr>
          <w:rFonts w:cs="Arial" w:ascii="Arial" w:hAnsi="Arial"/>
          <w:b/>
        </w:rPr>
        <w:t>Exhibit 2.1</w:t>
      </w:r>
      <w:r>
        <w:rPr>
          <w:rFonts w:cs="Arial" w:ascii="Arial" w:hAnsi="Arial"/>
        </w:rPr>
        <w:t xml:space="preserve"> (Cross Functional – General Services).</w:t>
      </w:r>
    </w:p>
    <w:p>
      <w:pPr>
        <w:pStyle w:val="TableLevel1Numbered"/>
        <w:numPr>
          <w:ilvl w:val="0"/>
          <w:numId w:val="8"/>
        </w:numPr>
        <w:ind w:hanging="0" w:start="0"/>
        <w:rPr>
          <w:rFonts w:ascii="Arial" w:hAnsi="Arial" w:cs="Arial"/>
        </w:rPr>
      </w:pPr>
      <w:r>
        <w:rPr>
          <w:rFonts w:cs="Arial" w:ascii="Arial" w:hAnsi="Arial"/>
        </w:rPr>
        <w:t>Ensuring efficient flow of documentation as required by the Agreement.</w:t>
      </w:r>
    </w:p>
    <w:p>
      <w:pPr>
        <w:pStyle w:val="TableLevel1Numbered"/>
        <w:numPr>
          <w:ilvl w:val="0"/>
          <w:numId w:val="8"/>
        </w:numPr>
        <w:ind w:hanging="0" w:start="0"/>
        <w:rPr>
          <w:rFonts w:ascii="Arial" w:hAnsi="Arial" w:cs="Arial"/>
        </w:rPr>
      </w:pPr>
      <w:r>
        <w:rPr>
          <w:rFonts w:cs="Arial" w:ascii="Arial" w:hAnsi="Arial"/>
        </w:rPr>
        <w:t>Handling disputes within the authority of the GlobalPharma and Service Provider representatives, and referring others to the Shared Services Steering Committee in accordance with the Section 6.0 (Issue Escalation Procedures) of this Exhibit.</w:t>
      </w:r>
    </w:p>
    <w:p>
      <w:pPr>
        <w:pStyle w:val="TableLevel1Numbered"/>
        <w:numPr>
          <w:ilvl w:val="0"/>
          <w:numId w:val="8"/>
        </w:numPr>
        <w:ind w:hanging="0" w:start="0"/>
        <w:rPr>
          <w:rFonts w:ascii="Arial" w:hAnsi="Arial" w:cs="Arial"/>
        </w:rPr>
      </w:pPr>
      <w:r>
        <w:rPr>
          <w:rFonts w:cs="Arial" w:ascii="Arial" w:hAnsi="Arial"/>
        </w:rPr>
        <w:t>Submitting issues concerning the relationship between the Parties to the Shared Services Steering Committee for its guidance and recommendations.</w:t>
      </w:r>
    </w:p>
    <w:p>
      <w:pPr>
        <w:pStyle w:val="TableLevel1Numbered"/>
        <w:numPr>
          <w:ilvl w:val="0"/>
          <w:numId w:val="8"/>
        </w:numPr>
        <w:ind w:hanging="0" w:start="0"/>
        <w:rPr>
          <w:rFonts w:ascii="Arial" w:hAnsi="Arial" w:cs="Arial"/>
        </w:rPr>
      </w:pPr>
      <w:r>
        <w:rPr>
          <w:rFonts w:cs="Arial" w:ascii="Arial" w:hAnsi="Arial"/>
        </w:rPr>
        <w:t xml:space="preserve">Submitting reports as required and as defined in </w:t>
      </w:r>
      <w:r>
        <w:rPr>
          <w:rFonts w:cs="Arial" w:ascii="Arial" w:hAnsi="Arial"/>
          <w:b/>
        </w:rPr>
        <w:t>Attachment 13-A</w:t>
      </w:r>
      <w:r>
        <w:rPr>
          <w:rFonts w:cs="Arial" w:ascii="Arial" w:hAnsi="Arial"/>
        </w:rPr>
        <w:t xml:space="preserve"> (Reports) to the Shared Services Steering Committee </w:t>
      </w:r>
    </w:p>
    <w:p>
      <w:pPr>
        <w:pStyle w:val="TableLevel1Numbered"/>
        <w:numPr>
          <w:ilvl w:val="0"/>
          <w:numId w:val="8"/>
        </w:numPr>
        <w:ind w:hanging="0" w:start="0"/>
        <w:rPr>
          <w:rFonts w:ascii="Arial" w:hAnsi="Arial" w:cs="Arial"/>
        </w:rPr>
      </w:pPr>
      <w:r>
        <w:rPr>
          <w:rFonts w:cs="Arial" w:ascii="Arial" w:hAnsi="Arial"/>
        </w:rPr>
        <w:t>Advising the Shared Services Steering Committee of new opportunities and proposals.</w:t>
      </w:r>
    </w:p>
    <w:p>
      <w:pPr>
        <w:pStyle w:val="TableLevel1Numbered"/>
        <w:numPr>
          <w:ilvl w:val="0"/>
          <w:numId w:val="8"/>
        </w:numPr>
        <w:ind w:hanging="0" w:start="0"/>
        <w:rPr>
          <w:rFonts w:ascii="Arial" w:hAnsi="Arial" w:cs="Arial"/>
        </w:rPr>
      </w:pPr>
      <w:r>
        <w:rPr>
          <w:rFonts w:cs="Arial" w:ascii="Arial" w:hAnsi="Arial"/>
        </w:rPr>
        <w:t xml:space="preserve">Identifying and referring matters outside the authority of GlobalPharma and Service Provider representatives to the Shared Services Steering Committee </w:t>
      </w:r>
    </w:p>
    <w:p>
      <w:pPr>
        <w:pStyle w:val="TableLevel1Numbered"/>
        <w:numPr>
          <w:ilvl w:val="0"/>
          <w:numId w:val="8"/>
        </w:numPr>
        <w:ind w:hanging="0" w:start="0"/>
        <w:rPr>
          <w:rFonts w:ascii="Arial" w:hAnsi="Arial" w:cs="Arial"/>
        </w:rPr>
      </w:pPr>
      <w:r>
        <w:rPr>
          <w:rFonts w:cs="Arial" w:ascii="Arial" w:hAnsi="Arial"/>
        </w:rPr>
        <w:t>Reviewing and presenting recommendations and suggestions made by GlobalPharma representatives and Service Provider representatives relating to the Services and initiating appropriate actions.</w:t>
      </w:r>
    </w:p>
    <w:p>
      <w:pPr>
        <w:pStyle w:val="TableLevel1Numbered"/>
        <w:numPr>
          <w:ilvl w:val="0"/>
          <w:numId w:val="8"/>
        </w:numPr>
        <w:ind w:hanging="0" w:start="0"/>
        <w:rPr>
          <w:rFonts w:ascii="Arial" w:hAnsi="Arial" w:cs="Arial"/>
        </w:rPr>
      </w:pPr>
      <w:r>
        <w:rPr>
          <w:rFonts w:cs="Arial" w:ascii="Arial" w:hAnsi="Arial"/>
        </w:rPr>
        <w:t>Identifying issues that may have an impact outside the relevant Sites and referring these to the Shared Services Steering Committee and, as appropriate, to other Sites as required.</w:t>
      </w:r>
    </w:p>
    <w:p>
      <w:pPr>
        <w:pStyle w:val="TableLevel1Numbered"/>
        <w:numPr>
          <w:ilvl w:val="0"/>
          <w:numId w:val="8"/>
        </w:numPr>
        <w:ind w:hanging="0" w:start="0"/>
        <w:rPr>
          <w:rFonts w:ascii="Arial" w:hAnsi="Arial" w:cs="Arial"/>
        </w:rPr>
      </w:pPr>
      <w:r>
        <w:rPr>
          <w:rFonts w:cs="Arial" w:ascii="Arial" w:hAnsi="Arial"/>
        </w:rPr>
        <w:t>Monitoring and reviewing the ongoing status of Third Party Contracts as appropriate, and agreed to under the Agreement.</w:t>
      </w:r>
    </w:p>
    <w:p>
      <w:pPr>
        <w:pStyle w:val="TableLevel1Numbered"/>
        <w:numPr>
          <w:ilvl w:val="0"/>
          <w:numId w:val="8"/>
        </w:numPr>
        <w:ind w:hanging="0" w:start="0"/>
        <w:rPr>
          <w:rFonts w:ascii="Arial" w:hAnsi="Arial" w:cs="Arial"/>
        </w:rPr>
      </w:pPr>
      <w:r>
        <w:rPr>
          <w:rFonts w:cs="Arial" w:ascii="Arial" w:hAnsi="Arial"/>
        </w:rPr>
        <w:t>Reviewing and adjusting the following, as directed by the Shared Services Steering Committee :</w:t>
      </w:r>
    </w:p>
    <w:p>
      <w:pPr>
        <w:pStyle w:val="TableLevel2Numbered"/>
        <w:numPr>
          <w:ilvl w:val="1"/>
          <w:numId w:val="8"/>
        </w:numPr>
        <w:tabs>
          <w:tab w:val="clear" w:pos="720"/>
          <w:tab w:val="left" w:pos="1620" w:leader="none"/>
        </w:tabs>
        <w:ind w:hanging="0" w:start="1080" w:end="0"/>
        <w:rPr>
          <w:rFonts w:ascii="Arial" w:hAnsi="Arial" w:cs="Arial"/>
        </w:rPr>
      </w:pPr>
      <w:r>
        <w:rPr>
          <w:rFonts w:cs="Arial" w:ascii="Arial" w:hAnsi="Arial"/>
        </w:rPr>
        <w:t>Service Levels.</w:t>
      </w:r>
    </w:p>
    <w:p>
      <w:pPr>
        <w:pStyle w:val="TableLevel2Numbered"/>
        <w:numPr>
          <w:ilvl w:val="1"/>
          <w:numId w:val="8"/>
        </w:numPr>
        <w:tabs>
          <w:tab w:val="clear" w:pos="720"/>
          <w:tab w:val="left" w:pos="1620" w:leader="none"/>
        </w:tabs>
        <w:ind w:hanging="0" w:start="1080" w:end="0"/>
        <w:rPr>
          <w:rFonts w:ascii="Arial" w:hAnsi="Arial" w:cs="Arial"/>
        </w:rPr>
      </w:pPr>
      <w:r>
        <w:rPr>
          <w:rFonts w:cs="Arial" w:ascii="Arial" w:hAnsi="Arial"/>
        </w:rPr>
        <w:t>Continuous improvement and quality assurance measures.</w:t>
      </w:r>
    </w:p>
    <w:p>
      <w:pPr>
        <w:pStyle w:val="TableLevel2Numbered"/>
        <w:numPr>
          <w:ilvl w:val="1"/>
          <w:numId w:val="8"/>
        </w:numPr>
        <w:tabs>
          <w:tab w:val="clear" w:pos="720"/>
          <w:tab w:val="left" w:pos="1620" w:leader="none"/>
        </w:tabs>
        <w:ind w:hanging="0" w:start="1080" w:end="0"/>
        <w:rPr>
          <w:rFonts w:ascii="Arial" w:hAnsi="Arial" w:cs="Arial"/>
        </w:rPr>
      </w:pPr>
      <w:r>
        <w:rPr>
          <w:rFonts w:cs="Arial" w:ascii="Arial" w:hAnsi="Arial"/>
        </w:rPr>
        <w:t>Customer satisfaction surveys.</w:t>
      </w:r>
    </w:p>
    <w:p>
      <w:pPr>
        <w:pStyle w:val="TableLevel2Numbered"/>
        <w:numPr>
          <w:ilvl w:val="1"/>
          <w:numId w:val="8"/>
        </w:numPr>
        <w:tabs>
          <w:tab w:val="clear" w:pos="720"/>
          <w:tab w:val="left" w:pos="1620" w:leader="none"/>
        </w:tabs>
        <w:ind w:hanging="0" w:start="1080" w:end="0"/>
        <w:rPr>
          <w:rFonts w:ascii="Arial" w:hAnsi="Arial" w:cs="Arial"/>
        </w:rPr>
      </w:pPr>
      <w:r>
        <w:rPr>
          <w:rFonts w:cs="Arial" w:ascii="Arial" w:hAnsi="Arial"/>
        </w:rPr>
        <w:t>Audits.</w:t>
      </w:r>
    </w:p>
    <w:p>
      <w:pPr>
        <w:pStyle w:val="TableLevel2Numbered"/>
        <w:numPr>
          <w:ilvl w:val="1"/>
          <w:numId w:val="8"/>
        </w:numPr>
        <w:tabs>
          <w:tab w:val="clear" w:pos="720"/>
          <w:tab w:val="left" w:pos="1620" w:leader="none"/>
        </w:tabs>
        <w:ind w:hanging="0" w:start="1080" w:end="0"/>
        <w:rPr>
          <w:rFonts w:ascii="Arial" w:hAnsi="Arial" w:cs="Arial"/>
        </w:rPr>
      </w:pPr>
      <w:r>
        <w:rPr>
          <w:rFonts w:cs="Arial" w:ascii="Arial" w:hAnsi="Arial"/>
        </w:rPr>
        <w:t>Benchmarking results.</w:t>
      </w:r>
    </w:p>
    <w:p>
      <w:pPr>
        <w:pStyle w:val="Heading3Numbered"/>
        <w:numPr>
          <w:ilvl w:val="2"/>
          <w:numId w:val="12"/>
        </w:numPr>
        <w:ind w:hanging="0" w:start="0"/>
        <w:rPr>
          <w:rFonts w:ascii="Arial" w:hAnsi="Arial" w:cs="Arial"/>
        </w:rPr>
      </w:pPr>
      <w:bookmarkStart w:id="27" w:name="__RefHeading___Toc157158927"/>
      <w:bookmarkEnd w:id="27"/>
      <w:r>
        <w:rPr>
          <w:rFonts w:cs="Arial" w:ascii="Arial" w:hAnsi="Arial"/>
        </w:rPr>
        <w:t>Reports</w:t>
      </w:r>
    </w:p>
    <w:p>
      <w:pPr>
        <w:pStyle w:val="TableLevel1Numbered"/>
        <w:numPr>
          <w:ilvl w:val="0"/>
          <w:numId w:val="35"/>
        </w:numPr>
        <w:ind w:hanging="0" w:start="0"/>
        <w:rPr>
          <w:rFonts w:ascii="Arial" w:hAnsi="Arial" w:cs="Arial"/>
        </w:rPr>
      </w:pPr>
      <w:r>
        <w:rPr>
          <w:rFonts w:cs="Arial" w:ascii="Arial" w:hAnsi="Arial"/>
        </w:rPr>
        <w:t>Regional/Management Reports.</w:t>
      </w:r>
    </w:p>
    <w:p>
      <w:pPr>
        <w:pStyle w:val="TableLevel1Numbered"/>
        <w:numPr>
          <w:ilvl w:val="0"/>
          <w:numId w:val="8"/>
        </w:numPr>
        <w:ind w:hanging="0" w:start="0"/>
        <w:rPr>
          <w:rFonts w:ascii="Arial" w:hAnsi="Arial" w:cs="Arial"/>
        </w:rPr>
      </w:pPr>
      <w:r>
        <w:rPr>
          <w:rFonts w:cs="Arial" w:ascii="Arial" w:hAnsi="Arial"/>
        </w:rPr>
        <w:t>Service Levels and Service delivery results (as required)</w:t>
      </w:r>
    </w:p>
    <w:p>
      <w:pPr>
        <w:pStyle w:val="TableLevel1Numbered"/>
        <w:numPr>
          <w:ilvl w:val="0"/>
          <w:numId w:val="8"/>
        </w:numPr>
        <w:ind w:hanging="0" w:start="0"/>
        <w:rPr>
          <w:rFonts w:ascii="Arial" w:hAnsi="Arial" w:cs="Arial"/>
        </w:rPr>
      </w:pPr>
      <w:r>
        <w:rPr>
          <w:rFonts w:cs="Arial" w:ascii="Arial" w:hAnsi="Arial"/>
        </w:rPr>
        <w:t>Minutes of the meetings of the Committee.</w:t>
      </w:r>
    </w:p>
    <w:p>
      <w:pPr>
        <w:pStyle w:val="Heading3Numbered"/>
        <w:numPr>
          <w:ilvl w:val="2"/>
          <w:numId w:val="12"/>
        </w:numPr>
        <w:ind w:hanging="0" w:start="0"/>
        <w:rPr>
          <w:rFonts w:ascii="Arial" w:hAnsi="Arial" w:cs="Arial"/>
        </w:rPr>
      </w:pPr>
      <w:bookmarkStart w:id="28" w:name="__RefHeading___Toc157158928"/>
      <w:bookmarkEnd w:id="28"/>
      <w:r>
        <w:rPr>
          <w:rFonts w:cs="Arial" w:ascii="Arial" w:hAnsi="Arial"/>
        </w:rPr>
        <w:t>Meetings</w:t>
      </w:r>
    </w:p>
    <w:p>
      <w:pPr>
        <w:pStyle w:val="TableText"/>
        <w:rPr>
          <w:rFonts w:ascii="Arial" w:hAnsi="Arial" w:cs="Arial"/>
        </w:rPr>
      </w:pPr>
      <w:r>
        <w:rPr>
          <w:rFonts w:cs="Arial" w:ascii="Arial" w:hAnsi="Arial"/>
        </w:rPr>
        <w:t>The GlobalPharma F&amp;A Service Delivery Committee will meet (at a minimum) monthly, and at other times as agreed between the Parties, to review:</w:t>
      </w:r>
    </w:p>
    <w:p>
      <w:pPr>
        <w:pStyle w:val="TableLevel1Numbered"/>
        <w:numPr>
          <w:ilvl w:val="0"/>
          <w:numId w:val="36"/>
        </w:numPr>
        <w:ind w:hanging="0" w:start="0"/>
        <w:rPr>
          <w:rFonts w:ascii="Arial" w:hAnsi="Arial" w:cs="Arial"/>
        </w:rPr>
      </w:pPr>
      <w:r>
        <w:rPr>
          <w:rFonts w:cs="Arial" w:ascii="Arial" w:hAnsi="Arial"/>
        </w:rPr>
        <w:t>Contract issues.</w:t>
      </w:r>
    </w:p>
    <w:p>
      <w:pPr>
        <w:pStyle w:val="TableLevel1Numbered"/>
        <w:numPr>
          <w:ilvl w:val="0"/>
          <w:numId w:val="8"/>
        </w:numPr>
        <w:ind w:hanging="0" w:start="0"/>
        <w:rPr>
          <w:rFonts w:ascii="Arial" w:hAnsi="Arial" w:cs="Arial"/>
        </w:rPr>
      </w:pPr>
      <w:r>
        <w:rPr>
          <w:rFonts w:cs="Arial" w:ascii="Arial" w:hAnsi="Arial"/>
        </w:rPr>
        <w:t>Service delivery.</w:t>
      </w:r>
    </w:p>
    <w:p>
      <w:pPr>
        <w:pStyle w:val="TableLevel1Numbered"/>
        <w:numPr>
          <w:ilvl w:val="0"/>
          <w:numId w:val="8"/>
        </w:numPr>
        <w:ind w:hanging="0" w:start="0"/>
        <w:rPr>
          <w:rFonts w:ascii="Arial" w:hAnsi="Arial" w:cs="Arial"/>
        </w:rPr>
      </w:pPr>
      <w:r>
        <w:rPr>
          <w:rFonts w:cs="Arial" w:ascii="Arial" w:hAnsi="Arial"/>
        </w:rPr>
        <w:t>Transition management (as required)</w:t>
      </w:r>
    </w:p>
    <w:p>
      <w:pPr>
        <w:pStyle w:val="TableLevel1Numbered"/>
        <w:numPr>
          <w:ilvl w:val="0"/>
          <w:numId w:val="8"/>
        </w:numPr>
        <w:ind w:hanging="0" w:start="0"/>
        <w:rPr>
          <w:rFonts w:ascii="Arial" w:hAnsi="Arial" w:cs="Arial"/>
        </w:rPr>
      </w:pPr>
      <w:r>
        <w:rPr>
          <w:rFonts w:cs="Arial" w:ascii="Arial" w:hAnsi="Arial"/>
        </w:rPr>
        <w:t xml:space="preserve">Transformation projects (as required). </w:t>
      </w:r>
    </w:p>
    <w:p>
      <w:pPr>
        <w:pStyle w:val="TableText"/>
        <w:rPr>
          <w:rFonts w:ascii="Arial" w:hAnsi="Arial" w:cs="Arial"/>
        </w:rPr>
      </w:pPr>
      <w:r>
        <w:rPr>
          <w:rFonts w:cs="Arial" w:ascii="Arial" w:hAnsi="Arial"/>
        </w:rPr>
        <w:t>These meetings may be conducted by Audio or Video Conference. At minimum, at least one meeting per year should be in person.</w:t>
      </w:r>
    </w:p>
    <w:p>
      <w:pPr>
        <w:pStyle w:val="TableLevel1Numbered"/>
        <w:numPr>
          <w:ilvl w:val="0"/>
          <w:numId w:val="0"/>
        </w:numPr>
        <w:ind w:hanging="0" w:start="216" w:end="0"/>
        <w:rPr>
          <w:rFonts w:ascii="Arial" w:hAnsi="Arial" w:cs="Arial"/>
        </w:rPr>
      </w:pPr>
      <w:r>
        <w:rPr>
          <w:rFonts w:cs="Arial" w:ascii="Arial" w:hAnsi="Arial"/>
        </w:rPr>
      </w:r>
    </w:p>
    <w:p>
      <w:pPr>
        <w:pStyle w:val="Heading2Numbered"/>
        <w:numPr>
          <w:ilvl w:val="1"/>
          <w:numId w:val="12"/>
        </w:numPr>
        <w:ind w:hanging="0" w:start="0"/>
        <w:rPr>
          <w:rFonts w:ascii="Arial" w:hAnsi="Arial" w:cs="Arial"/>
        </w:rPr>
      </w:pPr>
      <w:bookmarkStart w:id="29" w:name="__RefHeading___Toc157158929"/>
      <w:bookmarkEnd w:id="29"/>
      <w:r>
        <w:rPr>
          <w:rFonts w:cs="Arial" w:ascii="Arial" w:hAnsi="Arial"/>
        </w:rPr>
        <w:t>GlobalPharma Shared Services IT Committee</w:t>
      </w:r>
    </w:p>
    <w:p>
      <w:pPr>
        <w:pStyle w:val="TableText"/>
        <w:rPr/>
      </w:pPr>
      <w:r>
        <w:rPr>
          <w:rFonts w:cs="Arial" w:ascii="Arial" w:hAnsi="Arial"/>
        </w:rPr>
        <w:t>As soon as reasonably practicable following the Effective Date, a GlobalPharma Shared Services IT Committee will be established by the Parties.</w:t>
      </w:r>
    </w:p>
    <w:p>
      <w:pPr>
        <w:pStyle w:val="TableText"/>
        <w:rPr/>
      </w:pPr>
      <w:r>
        <w:rPr>
          <w:rFonts w:cs="Arial" w:ascii="Arial" w:hAnsi="Arial"/>
        </w:rPr>
        <w:t>The GlobalPharma Shared Services IT Committee will meet quarterly, and at other times as agreed between the Parties.</w:t>
      </w:r>
    </w:p>
    <w:p>
      <w:pPr>
        <w:pStyle w:val="TableText"/>
        <w:rPr/>
      </w:pPr>
      <w:r>
        <w:rPr>
          <w:rFonts w:cs="Arial" w:ascii="Arial" w:hAnsi="Arial"/>
        </w:rPr>
        <w:t>It is agreed that the GlobalPharma Shared Services IT Committee shall not be involved in day-to-day operational issues.</w:t>
      </w:r>
    </w:p>
    <w:p>
      <w:pPr>
        <w:pStyle w:val="Heading3Numbered"/>
        <w:numPr>
          <w:ilvl w:val="2"/>
          <w:numId w:val="12"/>
        </w:numPr>
        <w:ind w:hanging="0" w:start="0"/>
        <w:rPr>
          <w:rFonts w:ascii="Arial" w:hAnsi="Arial" w:cs="Arial"/>
        </w:rPr>
      </w:pPr>
      <w:bookmarkStart w:id="30" w:name="__RefHeading___Toc157158930"/>
      <w:bookmarkEnd w:id="30"/>
      <w:r>
        <w:rPr>
          <w:rFonts w:cs="Arial" w:ascii="Arial" w:hAnsi="Arial"/>
        </w:rPr>
        <w:t>Members</w:t>
      </w:r>
    </w:p>
    <w:p>
      <w:pPr>
        <w:pStyle w:val="TableText"/>
        <w:rPr>
          <w:rFonts w:ascii="Arial" w:hAnsi="Arial" w:cs="Arial"/>
        </w:rPr>
      </w:pPr>
      <w:r>
        <w:rPr>
          <w:rFonts w:cs="Arial" w:ascii="Arial" w:hAnsi="Arial"/>
        </w:rPr>
        <w:t>The GlobalPharma Shared Services IT Committee shall be chaired by the GlobalPharma IT Architecture Manager and will be comprised as follows:</w:t>
      </w:r>
    </w:p>
    <w:p>
      <w:pPr>
        <w:pStyle w:val="TableLevel1Numbered"/>
        <w:numPr>
          <w:ilvl w:val="0"/>
          <w:numId w:val="37"/>
        </w:numPr>
        <w:ind w:hanging="0" w:start="0"/>
        <w:rPr>
          <w:rFonts w:ascii="Arial" w:hAnsi="Arial" w:cs="Arial"/>
        </w:rPr>
      </w:pPr>
      <w:r>
        <w:rPr>
          <w:rFonts w:cs="Arial" w:ascii="Arial" w:hAnsi="Arial"/>
        </w:rPr>
        <w:t>GlobalPharma Head Financial Shared Services or his/her nominated deputy.</w:t>
      </w:r>
    </w:p>
    <w:p>
      <w:pPr>
        <w:pStyle w:val="TableLevel1Numbered"/>
        <w:numPr>
          <w:ilvl w:val="0"/>
          <w:numId w:val="8"/>
        </w:numPr>
        <w:ind w:hanging="0" w:start="0"/>
        <w:rPr>
          <w:rFonts w:ascii="Arial" w:hAnsi="Arial" w:cs="Arial"/>
        </w:rPr>
      </w:pPr>
      <w:r>
        <w:rPr>
          <w:rFonts w:cs="Arial" w:ascii="Arial" w:hAnsi="Arial"/>
        </w:rPr>
        <w:t>GlobalPharma IT Architecture Manager.</w:t>
      </w:r>
    </w:p>
    <w:p>
      <w:pPr>
        <w:pStyle w:val="TableLevel1Numbered"/>
        <w:numPr>
          <w:ilvl w:val="0"/>
          <w:numId w:val="8"/>
        </w:numPr>
        <w:ind w:hanging="0" w:start="0"/>
        <w:rPr>
          <w:rFonts w:ascii="Arial" w:hAnsi="Arial" w:cs="Arial"/>
        </w:rPr>
      </w:pPr>
      <w:r>
        <w:rPr>
          <w:rFonts w:cs="Arial" w:ascii="Arial" w:hAnsi="Arial"/>
        </w:rPr>
        <w:t>GlobalPharma Applications Development and Maintenance Manager.</w:t>
      </w:r>
    </w:p>
    <w:p>
      <w:pPr>
        <w:pStyle w:val="TableLevel1Numbered"/>
        <w:numPr>
          <w:ilvl w:val="0"/>
          <w:numId w:val="8"/>
        </w:numPr>
        <w:ind w:hanging="0" w:start="0"/>
        <w:rPr>
          <w:rFonts w:ascii="Arial" w:hAnsi="Arial" w:cs="Arial"/>
          <w:lang w:val="pt-BR"/>
        </w:rPr>
      </w:pPr>
      <w:r>
        <w:rPr>
          <w:rFonts w:cs="Arial" w:ascii="Arial" w:hAnsi="Arial"/>
          <w:lang w:val="pt-BR"/>
        </w:rPr>
        <w:t>GlobalPharma Regional FRA heads and Procurement heads.</w:t>
      </w:r>
    </w:p>
    <w:p>
      <w:pPr>
        <w:pStyle w:val="TableLevel1Numbered"/>
        <w:numPr>
          <w:ilvl w:val="0"/>
          <w:numId w:val="8"/>
        </w:numPr>
        <w:ind w:hanging="0" w:start="0"/>
        <w:rPr>
          <w:rFonts w:ascii="Arial" w:hAnsi="Arial" w:cs="Arial"/>
        </w:rPr>
      </w:pPr>
      <w:r>
        <w:rPr>
          <w:rFonts w:cs="Arial" w:ascii="Arial" w:hAnsi="Arial"/>
        </w:rPr>
        <w:t>Service Provider Global CIO</w:t>
      </w:r>
    </w:p>
    <w:p>
      <w:pPr>
        <w:pStyle w:val="TableLevel1Numbered"/>
        <w:numPr>
          <w:ilvl w:val="0"/>
          <w:numId w:val="8"/>
        </w:numPr>
        <w:ind w:hanging="0" w:start="0"/>
        <w:rPr>
          <w:rFonts w:ascii="Arial" w:hAnsi="Arial" w:cs="Arial"/>
        </w:rPr>
      </w:pPr>
      <w:r>
        <w:rPr>
          <w:rFonts w:cs="Arial" w:ascii="Arial" w:hAnsi="Arial"/>
        </w:rPr>
        <w:t>Service Provider Europe CIO.</w:t>
      </w:r>
    </w:p>
    <w:p>
      <w:pPr>
        <w:pStyle w:val="TableLevel1Numbered"/>
        <w:numPr>
          <w:ilvl w:val="0"/>
          <w:numId w:val="8"/>
        </w:numPr>
        <w:ind w:hanging="0" w:start="0"/>
        <w:rPr>
          <w:rFonts w:ascii="Arial" w:hAnsi="Arial" w:cs="Arial"/>
        </w:rPr>
      </w:pPr>
      <w:r>
        <w:rPr>
          <w:rFonts w:cs="Arial" w:ascii="Arial" w:hAnsi="Arial"/>
        </w:rPr>
        <w:t>GlobalPharma and Service Provider Subject Matter Experts (SMEs) as required.</w:t>
      </w:r>
    </w:p>
    <w:p>
      <w:pPr>
        <w:pStyle w:val="Heading3Numbered"/>
        <w:numPr>
          <w:ilvl w:val="2"/>
          <w:numId w:val="12"/>
        </w:numPr>
        <w:ind w:hanging="0" w:start="0"/>
        <w:rPr>
          <w:rFonts w:ascii="Arial" w:hAnsi="Arial" w:cs="Arial"/>
        </w:rPr>
      </w:pPr>
      <w:bookmarkStart w:id="31" w:name="__RefHeading___Toc157158931"/>
      <w:bookmarkEnd w:id="31"/>
      <w:r>
        <w:rPr>
          <w:rFonts w:cs="Arial" w:ascii="Arial" w:hAnsi="Arial"/>
        </w:rPr>
        <w:t>Key Responsibilities</w:t>
      </w:r>
    </w:p>
    <w:p>
      <w:pPr>
        <w:pStyle w:val="TableText"/>
        <w:rPr/>
      </w:pPr>
      <w:r>
        <w:rPr>
          <w:rFonts w:cs="Arial" w:ascii="Arial" w:hAnsi="Arial"/>
        </w:rPr>
        <w:t>The responsibilities of the GlobalPharma Shared Services IT Committee include:</w:t>
      </w:r>
    </w:p>
    <w:p>
      <w:pPr>
        <w:pStyle w:val="TableLevel1Numbered"/>
        <w:numPr>
          <w:ilvl w:val="0"/>
          <w:numId w:val="38"/>
        </w:numPr>
        <w:ind w:hanging="0" w:start="0"/>
        <w:rPr>
          <w:rFonts w:ascii="Arial" w:hAnsi="Arial" w:cs="Arial"/>
        </w:rPr>
      </w:pPr>
      <w:r>
        <w:rPr>
          <w:rFonts w:cs="Arial" w:ascii="Arial" w:hAnsi="Arial"/>
        </w:rPr>
        <w:t>Reviewing and ensuring alignment of GlobalPharma’s Information Technology (IT) strategy and IT policies Strategy and implementation. All issues arising from the review are to be escalated to the GlobalPharma Shared Services Steering Committee for review and resolution.</w:t>
      </w:r>
    </w:p>
    <w:p>
      <w:pPr>
        <w:pStyle w:val="TableLevel1Numbered"/>
        <w:numPr>
          <w:ilvl w:val="0"/>
          <w:numId w:val="8"/>
        </w:numPr>
        <w:ind w:hanging="0" w:start="0"/>
        <w:rPr>
          <w:rFonts w:ascii="Arial" w:hAnsi="Arial" w:cs="Arial"/>
        </w:rPr>
      </w:pPr>
      <w:r>
        <w:rPr>
          <w:rFonts w:cs="Arial" w:ascii="Arial" w:hAnsi="Arial"/>
        </w:rPr>
        <w:t>Using management reports defined in Attachment 13-A (Reports), and any other appropriate sources, to research, develop, review and approve technical initiatives to address business problems and opportunities as agreed by the GlobalPharma Shared Services Steering Committee and/or the F&amp;A Service Delivery Committee</w:t>
      </w:r>
      <w:r>
        <w:rPr>
          <w:rFonts w:cs="Arial" w:ascii="Arial" w:hAnsi="Arial"/>
          <w:b/>
        </w:rPr>
      </w:r>
      <w:r>
        <w:rPr>
          <w:rFonts w:cs="Arial" w:ascii="Arial" w:hAnsi="Arial"/>
        </w:rPr>
      </w:r>
    </w:p>
    <w:p>
      <w:pPr>
        <w:pStyle w:val="TableLevel1Numbered"/>
        <w:numPr>
          <w:ilvl w:val="0"/>
          <w:numId w:val="8"/>
        </w:numPr>
        <w:ind w:hanging="0" w:start="0"/>
        <w:rPr>
          <w:rFonts w:ascii="Arial" w:hAnsi="Arial" w:cs="Arial"/>
        </w:rPr>
      </w:pPr>
      <w:r>
        <w:rPr>
          <w:rFonts w:cs="Arial" w:ascii="Arial" w:hAnsi="Arial"/>
        </w:rPr>
        <w:t>Providing advice and guidance to the F&amp;A Service Delivery Committee for technical improvement and making recommendations directly to GlobalPharma and Service Provider on issues affecting the technical infrastructure that supports the GlobalPharma business operations.</w:t>
      </w:r>
    </w:p>
    <w:p>
      <w:pPr>
        <w:pStyle w:val="TableLevel1Numbered"/>
        <w:numPr>
          <w:ilvl w:val="0"/>
          <w:numId w:val="8"/>
        </w:numPr>
        <w:ind w:hanging="0" w:start="0"/>
        <w:rPr>
          <w:rFonts w:ascii="Arial" w:hAnsi="Arial" w:cs="Arial"/>
        </w:rPr>
      </w:pPr>
      <w:r>
        <w:rPr>
          <w:rFonts w:cs="Arial" w:ascii="Arial" w:hAnsi="Arial"/>
        </w:rPr>
        <w:t xml:space="preserve">Reviewing technical policy standards and making recommendations to the Shared Services Steering Committee </w:t>
      </w:r>
    </w:p>
    <w:p>
      <w:pPr>
        <w:pStyle w:val="TableLevel1Numbered"/>
        <w:numPr>
          <w:ilvl w:val="0"/>
          <w:numId w:val="8"/>
        </w:numPr>
        <w:ind w:hanging="0" w:start="0"/>
        <w:rPr>
          <w:rFonts w:ascii="Arial" w:hAnsi="Arial" w:cs="Arial"/>
        </w:rPr>
      </w:pPr>
      <w:r>
        <w:rPr>
          <w:rFonts w:cs="Arial" w:ascii="Arial" w:hAnsi="Arial"/>
        </w:rPr>
        <w:t>Reviewing any proposals for reductions in the costs of the Services driven by new technology.</w:t>
      </w:r>
    </w:p>
    <w:p>
      <w:pPr>
        <w:pStyle w:val="Heading1Numbered"/>
        <w:numPr>
          <w:ilvl w:val="0"/>
          <w:numId w:val="12"/>
        </w:numPr>
        <w:ind w:hanging="0" w:start="0"/>
        <w:rPr>
          <w:rFonts w:ascii="Arial" w:hAnsi="Arial" w:cs="Arial"/>
        </w:rPr>
      </w:pPr>
      <w:bookmarkStart w:id="32" w:name="__RefHeading___Toc157158932"/>
      <w:bookmarkEnd w:id="32"/>
      <w:r>
        <w:rPr>
          <w:rFonts w:cs="Arial" w:ascii="Arial" w:hAnsi="Arial"/>
        </w:rPr>
        <w:t>Policies and Procedures Manual</w:t>
      </w:r>
    </w:p>
    <w:p>
      <w:pPr>
        <w:pStyle w:val="TableText"/>
        <w:rPr>
          <w:rFonts w:ascii="Arial" w:hAnsi="Arial" w:cs="Arial"/>
        </w:rPr>
      </w:pPr>
      <w:r>
        <w:rPr>
          <w:rFonts w:cs="Arial" w:ascii="Arial" w:hAnsi="Arial"/>
        </w:rPr>
        <w:t>This Section sets out the requirements for the Policies and Procedures Manual and the process by which the Policies and Procedures Manual will be finalized.</w:t>
      </w:r>
    </w:p>
    <w:p>
      <w:pPr>
        <w:pStyle w:val="TableText"/>
        <w:rPr/>
      </w:pPr>
      <w:r>
        <w:rPr>
          <w:rFonts w:cs="Arial" w:ascii="Arial" w:hAnsi="Arial"/>
          <w:b/>
        </w:rPr>
        <w:t>Attachment 6-B</w:t>
      </w:r>
      <w:r>
        <w:rPr>
          <w:rFonts w:cs="Arial" w:ascii="Arial" w:hAnsi="Arial"/>
        </w:rPr>
        <w:t xml:space="preserve"> (Policies and Procedures Manual Content) to this Exhibit contains the general content and high-level description of the Policies and Procedures Manual. It is provided to indicate the proposed content and organization of the Policies and Procedures Manual.</w:t>
      </w:r>
    </w:p>
    <w:p>
      <w:pPr>
        <w:pStyle w:val="TableText"/>
        <w:rPr>
          <w:rFonts w:ascii="Arial" w:hAnsi="Arial" w:cs="Arial"/>
        </w:rPr>
      </w:pPr>
      <w:r>
        <w:rPr>
          <w:rFonts w:cs="Arial" w:ascii="Arial" w:hAnsi="Arial"/>
        </w:rPr>
        <w:t>The requirements related to the Policies and Procedures Manual are as follows:</w:t>
      </w:r>
    </w:p>
    <w:p>
      <w:pPr>
        <w:pStyle w:val="TableLevel1Numbered"/>
        <w:numPr>
          <w:ilvl w:val="0"/>
          <w:numId w:val="39"/>
        </w:numPr>
        <w:ind w:hanging="0" w:start="0"/>
        <w:rPr>
          <w:rFonts w:ascii="Arial" w:hAnsi="Arial" w:cs="Arial"/>
        </w:rPr>
      </w:pPr>
      <w:r>
        <w:rPr>
          <w:rFonts w:cs="Arial" w:ascii="Arial" w:hAnsi="Arial"/>
        </w:rPr>
        <w:t>The Parties will develop and follow specific procedures during the Term, which are to be set out in a Policies and Procedures Manual.</w:t>
      </w:r>
    </w:p>
    <w:p>
      <w:pPr>
        <w:pStyle w:val="TableLevel1Numbered"/>
        <w:numPr>
          <w:ilvl w:val="0"/>
          <w:numId w:val="8"/>
        </w:numPr>
        <w:ind w:hanging="0" w:start="0"/>
        <w:rPr>
          <w:rFonts w:ascii="Arial" w:hAnsi="Arial" w:cs="Arial"/>
        </w:rPr>
      </w:pPr>
      <w:r>
        <w:rPr>
          <w:rFonts w:cs="Arial" w:ascii="Arial" w:hAnsi="Arial"/>
        </w:rPr>
        <w:t>The Policies and Procedures Manual will not contradict the provisions of this Agreement. If there is any discrepancy between the Policies and Procedures Manual and the Agreement, the terms in the Agreement will prevail.</w:t>
      </w:r>
    </w:p>
    <w:p>
      <w:pPr>
        <w:pStyle w:val="TableLevel1Numbered"/>
        <w:numPr>
          <w:ilvl w:val="0"/>
          <w:numId w:val="8"/>
        </w:numPr>
        <w:ind w:hanging="0" w:start="0"/>
        <w:rPr>
          <w:rFonts w:ascii="Arial" w:hAnsi="Arial" w:cs="Arial"/>
        </w:rPr>
      </w:pPr>
      <w:r>
        <w:rPr>
          <w:rFonts w:cs="Arial" w:ascii="Arial" w:hAnsi="Arial"/>
        </w:rPr>
        <w:t>The Service Provider and GlobalPharma will jointly use the Policies and Procedures Manual to enable close cooperation and communication between the Parties.</w:t>
      </w:r>
    </w:p>
    <w:p>
      <w:pPr>
        <w:pStyle w:val="TableLevel1Numbered"/>
        <w:numPr>
          <w:ilvl w:val="0"/>
          <w:numId w:val="8"/>
        </w:numPr>
        <w:ind w:hanging="0" w:start="0"/>
        <w:rPr>
          <w:rFonts w:ascii="Arial" w:hAnsi="Arial" w:cs="Arial"/>
        </w:rPr>
      </w:pPr>
      <w:r>
        <w:rPr>
          <w:rFonts w:cs="Arial" w:ascii="Arial" w:hAnsi="Arial"/>
        </w:rPr>
        <w:t>The Procedures Manual will include checkpoint reviews; testing; acceptance; and other procedures for GlobalPharma to assure the quality of the Service Provider’s performance.</w:t>
      </w:r>
    </w:p>
    <w:p>
      <w:pPr>
        <w:pStyle w:val="TableLevel1Numbered"/>
        <w:numPr>
          <w:ilvl w:val="0"/>
          <w:numId w:val="8"/>
        </w:numPr>
        <w:ind w:hanging="0" w:start="0"/>
        <w:rPr>
          <w:rFonts w:ascii="Arial" w:hAnsi="Arial" w:cs="Arial"/>
        </w:rPr>
      </w:pPr>
      <w:r>
        <w:rPr>
          <w:rFonts w:cs="Arial" w:ascii="Arial" w:hAnsi="Arial"/>
        </w:rPr>
        <w:t xml:space="preserve">The Service Provider will indicate its compliance with the general content and organization of the Policies and Procedures Manual as described in </w:t>
      </w:r>
      <w:r>
        <w:rPr>
          <w:rFonts w:cs="Arial" w:ascii="Arial" w:hAnsi="Arial"/>
          <w:b/>
        </w:rPr>
        <w:t>Attachment 6-B</w:t>
      </w:r>
      <w:r>
        <w:rPr>
          <w:rFonts w:cs="Arial" w:ascii="Arial" w:hAnsi="Arial"/>
        </w:rPr>
        <w:t xml:space="preserve"> (Policies and Procedures Manual Content), or describe any proposed modifications.</w:t>
      </w:r>
    </w:p>
    <w:p>
      <w:pPr>
        <w:pStyle w:val="Heading2Numbered"/>
        <w:numPr>
          <w:ilvl w:val="1"/>
          <w:numId w:val="12"/>
        </w:numPr>
        <w:ind w:hanging="0" w:start="0"/>
        <w:rPr>
          <w:rFonts w:ascii="Arial" w:hAnsi="Arial" w:cs="Arial"/>
        </w:rPr>
      </w:pPr>
      <w:bookmarkStart w:id="33" w:name="__RefHeading___Toc157158934"/>
      <w:bookmarkEnd w:id="33"/>
      <w:r>
        <w:rPr>
          <w:rFonts w:cs="Arial" w:ascii="Arial" w:hAnsi="Arial"/>
        </w:rPr>
        <w:t>Content Required Prior to the Effective Date</w:t>
      </w:r>
    </w:p>
    <w:p>
      <w:pPr>
        <w:pStyle w:val="TableText"/>
        <w:rPr/>
      </w:pPr>
      <w:r>
        <w:rPr>
          <w:rFonts w:cs="Arial" w:ascii="Arial" w:hAnsi="Arial"/>
        </w:rPr>
        <w:t>The Service Provider’s responsibilities include:</w:t>
      </w:r>
    </w:p>
    <w:p>
      <w:pPr>
        <w:pStyle w:val="TableLevel1Numbered"/>
        <w:numPr>
          <w:ilvl w:val="0"/>
          <w:numId w:val="40"/>
        </w:numPr>
        <w:ind w:hanging="0" w:start="0"/>
        <w:rPr>
          <w:rFonts w:ascii="Arial" w:hAnsi="Arial" w:cs="Arial"/>
        </w:rPr>
      </w:pPr>
      <w:r>
        <w:rPr>
          <w:rFonts w:cs="Arial" w:ascii="Arial" w:hAnsi="Arial"/>
        </w:rPr>
        <w:t>Developing, with the assistance and approval of GlobalPharma, the content of the Policies and Procedures Manual that is required prior to the Effective Date as indicated in Attachment 6-B (Policies and Procedures Manual Content) to this Exhibit.</w:t>
      </w:r>
      <w:r>
        <w:rPr>
          <w:rFonts w:cs="Arial" w:ascii="Arial" w:hAnsi="Arial"/>
          <w:b/>
        </w:rPr>
      </w:r>
      <w:r>
        <w:rPr>
          <w:rFonts w:cs="Arial" w:ascii="Arial" w:hAnsi="Arial"/>
        </w:rPr>
      </w:r>
    </w:p>
    <w:p>
      <w:pPr>
        <w:pStyle w:val="TableLevel1Numbered"/>
        <w:numPr>
          <w:ilvl w:val="0"/>
          <w:numId w:val="8"/>
        </w:numPr>
        <w:ind w:hanging="0" w:start="0"/>
        <w:rPr>
          <w:rFonts w:ascii="Arial" w:hAnsi="Arial" w:cs="Arial"/>
        </w:rPr>
      </w:pPr>
      <w:r>
        <w:rPr>
          <w:rFonts w:cs="Arial" w:ascii="Arial" w:hAnsi="Arial"/>
        </w:rPr>
        <w:t xml:space="preserve">Completing the content at least thirty (30) business days prior to the Commencement Date </w:t>
      </w:r>
    </w:p>
    <w:p>
      <w:pPr>
        <w:pStyle w:val="TableLevel1Numbered"/>
        <w:numPr>
          <w:ilvl w:val="0"/>
          <w:numId w:val="8"/>
        </w:numPr>
        <w:ind w:hanging="0" w:start="0"/>
        <w:rPr>
          <w:rFonts w:ascii="Arial" w:hAnsi="Arial" w:cs="Arial"/>
        </w:rPr>
      </w:pPr>
      <w:r>
        <w:rPr>
          <w:rFonts w:cs="Arial" w:ascii="Arial" w:hAnsi="Arial"/>
        </w:rPr>
        <w:t>Providing GlobalPharma with fifteen (15) business days to make comments and changes to the content.</w:t>
      </w:r>
    </w:p>
    <w:p>
      <w:pPr>
        <w:pStyle w:val="TableLevel1Numbered"/>
        <w:numPr>
          <w:ilvl w:val="0"/>
          <w:numId w:val="8"/>
        </w:numPr>
        <w:ind w:hanging="0" w:start="0"/>
        <w:rPr>
          <w:rFonts w:ascii="Arial" w:hAnsi="Arial" w:cs="Arial"/>
        </w:rPr>
      </w:pPr>
      <w:r>
        <w:rPr>
          <w:rFonts w:cs="Arial" w:ascii="Arial" w:hAnsi="Arial"/>
        </w:rPr>
        <w:t>Making changes requested by GlobalPharma prior to the Commencement Date.</w:t>
      </w:r>
    </w:p>
    <w:p>
      <w:pPr>
        <w:pStyle w:val="TableLevel1Numbered"/>
        <w:numPr>
          <w:ilvl w:val="0"/>
          <w:numId w:val="8"/>
        </w:numPr>
        <w:ind w:hanging="0" w:start="0"/>
        <w:rPr>
          <w:rFonts w:ascii="Arial" w:hAnsi="Arial" w:cs="Arial"/>
        </w:rPr>
      </w:pPr>
      <w:r>
        <w:rPr>
          <w:rFonts w:cs="Arial" w:ascii="Arial" w:hAnsi="Arial"/>
        </w:rPr>
        <w:t>Receiving GlobalPharma’s final approval prior to the Commencement Date.</w:t>
      </w:r>
    </w:p>
    <w:p>
      <w:pPr>
        <w:pStyle w:val="Heading2Numbered"/>
        <w:numPr>
          <w:ilvl w:val="1"/>
          <w:numId w:val="12"/>
        </w:numPr>
        <w:ind w:hanging="0" w:start="0"/>
        <w:rPr>
          <w:rFonts w:ascii="Arial" w:hAnsi="Arial" w:cs="Arial"/>
        </w:rPr>
      </w:pPr>
      <w:bookmarkStart w:id="34" w:name="__RefHeading___Toc157158936"/>
      <w:bookmarkEnd w:id="34"/>
      <w:r>
        <w:rPr>
          <w:rFonts w:cs="Arial" w:ascii="Arial" w:hAnsi="Arial"/>
        </w:rPr>
        <w:t>Content Required After the Effective Date</w:t>
      </w:r>
    </w:p>
    <w:p>
      <w:pPr>
        <w:pStyle w:val="TableText"/>
        <w:rPr/>
      </w:pPr>
      <w:r>
        <w:rPr>
          <w:rFonts w:cs="Arial" w:ascii="Arial" w:hAnsi="Arial"/>
        </w:rPr>
        <w:t>The Service Provider’s responsibilities include:</w:t>
      </w:r>
    </w:p>
    <w:p>
      <w:pPr>
        <w:pStyle w:val="TableLevel1Numbered"/>
        <w:numPr>
          <w:ilvl w:val="0"/>
          <w:numId w:val="41"/>
        </w:numPr>
        <w:ind w:hanging="0" w:start="0"/>
        <w:rPr>
          <w:rFonts w:ascii="Arial" w:hAnsi="Arial" w:cs="Arial"/>
        </w:rPr>
      </w:pPr>
      <w:r>
        <w:rPr>
          <w:rFonts w:cs="Arial" w:ascii="Arial" w:hAnsi="Arial"/>
        </w:rPr>
        <w:t>Developing, with the assistance and approval of GlobalPharma, the remainder of the Policies and Procedures Manual that is required after the Commencement Date as indicated in Attachment 6-B (Policies and Procedures Manual Content) to this Exhibit</w:t>
      </w:r>
      <w:r>
        <w:rPr>
          <w:rFonts w:cs="Arial" w:ascii="Arial" w:hAnsi="Arial"/>
          <w:b/>
        </w:rPr>
      </w:r>
      <w:r>
        <w:rPr>
          <w:rFonts w:cs="Arial" w:ascii="Arial" w:hAnsi="Arial"/>
        </w:rPr>
      </w:r>
    </w:p>
    <w:p>
      <w:pPr>
        <w:pStyle w:val="TableLevel1Numbered"/>
        <w:numPr>
          <w:ilvl w:val="0"/>
          <w:numId w:val="8"/>
        </w:numPr>
        <w:ind w:hanging="0" w:start="0"/>
        <w:rPr>
          <w:rFonts w:ascii="Arial" w:hAnsi="Arial" w:cs="Arial"/>
        </w:rPr>
      </w:pPr>
      <w:r>
        <w:rPr>
          <w:rFonts w:cs="Arial" w:ascii="Arial" w:hAnsi="Arial"/>
        </w:rPr>
        <w:t>Completing the content within sixty (60) business days after the Commencement Date.</w:t>
      </w:r>
    </w:p>
    <w:p>
      <w:pPr>
        <w:pStyle w:val="TableLevel1Numbered"/>
        <w:numPr>
          <w:ilvl w:val="0"/>
          <w:numId w:val="8"/>
        </w:numPr>
        <w:ind w:hanging="0" w:start="0"/>
        <w:rPr>
          <w:rFonts w:ascii="Arial" w:hAnsi="Arial" w:cs="Arial"/>
        </w:rPr>
      </w:pPr>
      <w:r>
        <w:rPr>
          <w:rFonts w:cs="Arial" w:ascii="Arial" w:hAnsi="Arial"/>
        </w:rPr>
        <w:t>Providing GlobalPharma with twenty (20) business days to make comments and changes to the content.</w:t>
      </w:r>
    </w:p>
    <w:p>
      <w:pPr>
        <w:pStyle w:val="TableLevel1Numbered"/>
        <w:numPr>
          <w:ilvl w:val="0"/>
          <w:numId w:val="8"/>
        </w:numPr>
        <w:ind w:hanging="0" w:start="0"/>
        <w:rPr>
          <w:rFonts w:ascii="Arial" w:hAnsi="Arial" w:cs="Arial"/>
        </w:rPr>
      </w:pPr>
      <w:r>
        <w:rPr>
          <w:rFonts w:cs="Arial" w:ascii="Arial" w:hAnsi="Arial"/>
        </w:rPr>
        <w:t>Making changes requested by GlobalPharma within fifteen (15) business days after receipt from GlobalPharma, and submitting the changes for approval from GlobalPharma.</w:t>
      </w:r>
    </w:p>
    <w:p>
      <w:pPr>
        <w:pStyle w:val="Heading1Numbered"/>
        <w:numPr>
          <w:ilvl w:val="0"/>
          <w:numId w:val="12"/>
        </w:numPr>
        <w:ind w:hanging="0" w:start="0"/>
        <w:rPr>
          <w:rFonts w:ascii="Arial" w:hAnsi="Arial" w:cs="Arial"/>
        </w:rPr>
      </w:pPr>
      <w:bookmarkStart w:id="35" w:name="__RefHeading___Toc157158938"/>
      <w:bookmarkEnd w:id="35"/>
      <w:r>
        <w:rPr>
          <w:rFonts w:cs="Arial" w:ascii="Arial" w:hAnsi="Arial"/>
        </w:rPr>
        <w:t>Issue Escalation Procedures</w:t>
      </w:r>
    </w:p>
    <w:p>
      <w:pPr>
        <w:pStyle w:val="TableText"/>
        <w:rPr/>
      </w:pPr>
      <w:r>
        <w:rPr>
          <w:rFonts w:cs="Arial" w:ascii="Arial" w:hAnsi="Arial"/>
        </w:rPr>
        <w:t>From time to time, issues will arise that cannot be resolved at the various levels of management within the GlobalPharma and Service Provider teams. These issues may arise at a particular site/country, region or at the global level. These issues may involve obligations of Party, performance, commercial issues, personnel, etc.</w:t>
      </w:r>
    </w:p>
    <w:p>
      <w:pPr>
        <w:pStyle w:val="TableText"/>
        <w:rPr/>
      </w:pPr>
      <w:r>
        <w:rPr>
          <w:rFonts w:cs="Arial" w:ascii="Arial" w:hAnsi="Arial"/>
        </w:rPr>
        <w:t>It is the intent of GlobalPharma and the Service Provider to resolve issues in a constructive way that reflects the concerns and commercial interests of each Party. Both Parties’ primary objective and intent is to have issues resolved by the appropriate levels of authority without the need for escalation. With this in mind, the following steps are to be followed:</w:t>
      </w:r>
    </w:p>
    <w:p>
      <w:pPr>
        <w:pStyle w:val="TableLevel1Numbered"/>
        <w:numPr>
          <w:ilvl w:val="0"/>
          <w:numId w:val="42"/>
        </w:numPr>
        <w:ind w:hanging="0" w:start="0"/>
        <w:rPr>
          <w:rFonts w:ascii="Arial" w:hAnsi="Arial" w:cs="Arial"/>
        </w:rPr>
      </w:pPr>
      <w:r>
        <w:rPr>
          <w:rFonts w:cs="Arial" w:ascii="Arial" w:hAnsi="Arial"/>
          <w:b/>
          <w:bCs/>
        </w:rPr>
        <w:t>Notification</w:t>
      </w:r>
      <w:r>
        <w:rPr>
          <w:rFonts w:cs="Arial" w:ascii="Arial" w:hAnsi="Arial"/>
        </w:rPr>
        <w:t>: Either Party may decide that escalation is desirable when resolution of an issue appears unachievable at the current management level. In this case, the Party desiring escalation provides written notice of its intention to the member(s) of the other Party currently involved in the dispute. At either Party’s request, the Parties currently engaged in attempting to resolve the issue shall meet again to attempt resolution of the issue prior to escalation to the next level. When and if the issue cannot be resolved at the current management level, the issue will then be escalated after good faith attempts by both Parties to resolve the issue at the current level.</w:t>
      </w:r>
    </w:p>
    <w:p>
      <w:pPr>
        <w:pStyle w:val="TableLevel1Numbered"/>
        <w:numPr>
          <w:ilvl w:val="0"/>
          <w:numId w:val="8"/>
        </w:numPr>
        <w:ind w:hanging="0" w:start="0"/>
        <w:rPr>
          <w:rFonts w:ascii="Arial" w:hAnsi="Arial" w:cs="Arial"/>
        </w:rPr>
      </w:pPr>
      <w:r>
        <w:rPr>
          <w:rFonts w:cs="Arial" w:ascii="Arial" w:hAnsi="Arial"/>
          <w:b/>
          <w:bCs/>
        </w:rPr>
        <w:t>Documentation</w:t>
      </w:r>
      <w:r>
        <w:rPr>
          <w:rFonts w:cs="Arial" w:ascii="Arial" w:hAnsi="Arial"/>
        </w:rPr>
        <w:t xml:space="preserve">: Both Parties will jointly develop a short briefing document called </w:t>
      </w:r>
      <w:r>
        <w:rPr>
          <w:rFonts w:cs="Arial" w:ascii="Arial" w:hAnsi="Arial"/>
          <w:i/>
          <w:iCs/>
        </w:rPr>
        <w:t>Statement of Issue for Escalation</w:t>
      </w:r>
      <w:r>
        <w:rPr>
          <w:rFonts w:cs="Arial" w:ascii="Arial" w:hAnsi="Arial"/>
        </w:rPr>
        <w:t xml:space="preserve"> that describes the issue, relevant impact and positions of both Parties.</w:t>
      </w:r>
    </w:p>
    <w:p>
      <w:pPr>
        <w:pStyle w:val="TableLevel1Numbered"/>
        <w:numPr>
          <w:ilvl w:val="0"/>
          <w:numId w:val="8"/>
        </w:numPr>
        <w:ind w:hanging="0" w:start="0"/>
        <w:rPr>
          <w:rFonts w:ascii="Arial" w:hAnsi="Arial" w:cs="Arial"/>
        </w:rPr>
      </w:pPr>
      <w:r>
        <w:rPr>
          <w:rFonts w:cs="Arial" w:ascii="Arial" w:hAnsi="Arial"/>
          <w:b/>
          <w:bCs/>
        </w:rPr>
        <w:t>Request for Assistance</w:t>
      </w:r>
      <w:r>
        <w:rPr>
          <w:rFonts w:cs="Arial" w:ascii="Arial" w:hAnsi="Arial"/>
        </w:rPr>
        <w:t xml:space="preserve">: A meeting will be scheduled with appropriate individuals as described below (phone or videoconference in most cases). </w:t>
      </w:r>
      <w:r>
        <w:rPr>
          <w:rFonts w:cs="Arial" w:ascii="Arial" w:hAnsi="Arial"/>
          <w:i/>
          <w:iCs/>
        </w:rPr>
        <w:t>The Statement of Issue for Escalation</w:t>
      </w:r>
      <w:r>
        <w:rPr>
          <w:rFonts w:cs="Arial" w:ascii="Arial" w:hAnsi="Arial"/>
        </w:rPr>
        <w:t xml:space="preserve"> will be sent in advance to the participants.</w:t>
      </w:r>
    </w:p>
    <w:p>
      <w:pPr>
        <w:pStyle w:val="TableLevel1Numbered"/>
        <w:numPr>
          <w:ilvl w:val="0"/>
          <w:numId w:val="8"/>
        </w:numPr>
        <w:ind w:hanging="0" w:start="0"/>
        <w:rPr>
          <w:rFonts w:ascii="Arial" w:hAnsi="Arial" w:cs="Arial"/>
        </w:rPr>
      </w:pPr>
      <w:r>
        <w:rPr>
          <w:rFonts w:cs="Arial" w:ascii="Arial" w:hAnsi="Arial"/>
        </w:rPr>
        <w:t>It is the intention of GlobalPharma and Service Provider that issues are escalated for review and resolution to the next level of management as follows:</w:t>
      </w:r>
    </w:p>
    <w:p>
      <w:pPr>
        <w:pStyle w:val="TableLevel2Numbered"/>
        <w:numPr>
          <w:ilvl w:val="1"/>
          <w:numId w:val="8"/>
        </w:numPr>
        <w:tabs>
          <w:tab w:val="clear" w:pos="720"/>
          <w:tab w:val="left" w:pos="1620" w:leader="none"/>
        </w:tabs>
        <w:ind w:hanging="540" w:start="1620" w:end="0"/>
        <w:rPr>
          <w:rFonts w:ascii="Arial" w:hAnsi="Arial" w:cs="Arial"/>
        </w:rPr>
      </w:pPr>
      <w:r>
        <w:rPr>
          <w:rFonts w:cs="Arial" w:ascii="Arial" w:hAnsi="Arial"/>
        </w:rPr>
        <w:t>The Service Provider Operations Managers with the appropriate GlobalPharma Country FRA and Procurement Head</w:t>
      </w:r>
    </w:p>
    <w:p>
      <w:pPr>
        <w:pStyle w:val="TableLevel2Numbered"/>
        <w:numPr>
          <w:ilvl w:val="1"/>
          <w:numId w:val="8"/>
        </w:numPr>
        <w:tabs>
          <w:tab w:val="clear" w:pos="720"/>
          <w:tab w:val="left" w:pos="1620" w:leader="none"/>
        </w:tabs>
        <w:ind w:hanging="540" w:start="1620" w:end="0"/>
        <w:rPr>
          <w:rFonts w:ascii="Arial" w:hAnsi="Arial" w:cs="Arial"/>
        </w:rPr>
      </w:pPr>
      <w:r>
        <w:rPr>
          <w:rFonts w:cs="Arial" w:ascii="Arial" w:hAnsi="Arial"/>
        </w:rPr>
        <w:t>The Service Provider Process Champion with the corresponding GlobalPharma Process Champion</w:t>
      </w:r>
    </w:p>
    <w:p>
      <w:pPr>
        <w:pStyle w:val="TableLevel2Numbered"/>
        <w:numPr>
          <w:ilvl w:val="1"/>
          <w:numId w:val="8"/>
        </w:numPr>
        <w:tabs>
          <w:tab w:val="clear" w:pos="720"/>
          <w:tab w:val="left" w:pos="1620" w:leader="none"/>
        </w:tabs>
        <w:ind w:hanging="540" w:start="1620" w:end="0"/>
        <w:rPr>
          <w:rFonts w:ascii="Arial" w:hAnsi="Arial" w:cs="Arial"/>
        </w:rPr>
      </w:pPr>
      <w:r>
        <w:rPr>
          <w:rFonts w:cs="Arial" w:ascii="Arial" w:hAnsi="Arial"/>
        </w:rPr>
        <w:t>The GlobalPharma Contract Manager with the Service Provider Services Delivery Leader</w:t>
      </w:r>
    </w:p>
    <w:p>
      <w:pPr>
        <w:pStyle w:val="TableLevel2Numbered"/>
        <w:numPr>
          <w:ilvl w:val="1"/>
          <w:numId w:val="8"/>
        </w:numPr>
        <w:tabs>
          <w:tab w:val="clear" w:pos="720"/>
          <w:tab w:val="left" w:pos="1620" w:leader="none"/>
        </w:tabs>
        <w:ind w:hanging="540" w:start="1620" w:end="0"/>
        <w:rPr>
          <w:rFonts w:ascii="Arial" w:hAnsi="Arial" w:cs="Arial"/>
        </w:rPr>
      </w:pPr>
      <w:r>
        <w:rPr>
          <w:rFonts w:cs="Arial" w:ascii="Arial" w:hAnsi="Arial"/>
        </w:rPr>
        <w:t>The GlobalPharma Head Financial Shared Services and the Service Provider Account Executive.</w:t>
      </w:r>
    </w:p>
    <w:p>
      <w:pPr>
        <w:pStyle w:val="TableLevel2Numbered"/>
        <w:numPr>
          <w:ilvl w:val="1"/>
          <w:numId w:val="8"/>
        </w:numPr>
        <w:tabs>
          <w:tab w:val="clear" w:pos="720"/>
          <w:tab w:val="left" w:pos="1620" w:leader="none"/>
        </w:tabs>
        <w:ind w:hanging="540" w:start="1620" w:end="0"/>
        <w:rPr>
          <w:rFonts w:ascii="Arial" w:hAnsi="Arial" w:cs="Arial"/>
        </w:rPr>
      </w:pPr>
      <w:r>
        <w:rPr>
          <w:rFonts w:cs="Arial" w:ascii="Arial" w:hAnsi="Arial"/>
        </w:rPr>
        <w:t>The GlobalPharma Account Executive and the Service Provider Global Executive Sponsor.</w:t>
      </w:r>
    </w:p>
    <w:p>
      <w:pPr>
        <w:pStyle w:val="TableLevel1Numbered"/>
        <w:numPr>
          <w:ilvl w:val="0"/>
          <w:numId w:val="8"/>
        </w:numPr>
        <w:spacing w:before="120" w:after="120"/>
        <w:ind w:hanging="0" w:start="0"/>
        <w:rPr>
          <w:rFonts w:ascii="Arial" w:hAnsi="Arial" w:cs="Arial"/>
        </w:rPr>
      </w:pPr>
      <w:r>
        <w:rPr>
          <w:rFonts w:cs="Arial" w:ascii="Arial" w:hAnsi="Arial"/>
          <w:b/>
        </w:rPr>
        <w:t>Issue Review</w:t>
      </w:r>
      <w:r>
        <w:rPr>
          <w:rFonts w:cs="Arial" w:ascii="Arial" w:hAnsi="Arial"/>
        </w:rPr>
        <w:t>: Following review and resolution the decision shall be documented and returned to both Parties. If a reasonable amount of time has elapsed without resolution, or if either Party believes that resolution is not possible without further escalation, the issue may be further escalated to the formal Dispute Resolution process set forth in the Agreement.</w:t>
      </w:r>
    </w:p>
    <w:sectPr>
      <w:headerReference w:type="default" r:id="rId2"/>
      <w:footerReference w:type="default" r:id="rId3"/>
      <w:type w:val="nextPage"/>
      <w:pgSz w:w="12240" w:h="15840"/>
      <w:pgMar w:left="1260" w:right="720" w:gutter="0" w:header="720" w:top="902" w:footer="720" w:bottom="90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lang w:val="en-GB"/>
      </w:rPr>
    </w:pPr>
    <w:r>
      <w:rPr>
        <w:lang w:val="en-GB"/>
      </w:rPr>
      <w:tab/>
      <w:t xml:space="preserve">Page </w:t>
    </w:r>
    <w:r>
      <w:rPr>
        <w:lang w:val="en-GB"/>
      </w:rPr>
      <w:fldChar w:fldCharType="begin"/>
    </w:r>
    <w:r>
      <w:rPr>
        <w:lang w:val="en-GB"/>
      </w:rPr>
      <w:instrText xml:space="preserve"> PAGE </w:instrText>
    </w:r>
    <w:r>
      <w:rPr>
        <w:lang w:val="en-GB"/>
      </w:rPr>
      <w:fldChar w:fldCharType="separate"/>
    </w:r>
    <w:r>
      <w:rPr>
        <w:lang w:val="en-GB"/>
      </w:rPr>
      <w:t>15</w:t>
    </w:r>
    <w:r>
      <w:rPr>
        <w:lang w:val="en-GB"/>
      </w:rPr>
      <w:fldChar w:fldCharType="end"/>
    </w:r>
    <w:r>
      <w:rPr>
        <w:lang w:val="en-GB"/>
      </w:rPr>
      <w:t xml:space="preserve"> of </w:t>
    </w:r>
    <w:r>
      <w:rPr>
        <w:lang w:val="en-GB"/>
      </w:rPr>
      <w:fldChar w:fldCharType="begin"/>
    </w:r>
    <w:r>
      <w:rPr>
        <w:lang w:val="en-GB"/>
      </w:rPr>
      <w:instrText xml:space="preserve"> NUMPAGES \* ARABIC </w:instrText>
    </w:r>
    <w:r>
      <w:rPr>
        <w:lang w:val="en-GB"/>
      </w:rPr>
      <w:fldChar w:fldCharType="separate"/>
    </w:r>
    <w:r>
      <w:rPr>
        <w:lang w:val="en-GB"/>
      </w:rPr>
      <w:t>15</w:t>
    </w:r>
    <w:r>
      <w:rPr>
        <w:lang w:val="en-GB"/>
      </w:rPr>
      <w:fldChar w:fldCharType="end"/>
    </w:r>
  </w:p>
  <w:p>
    <w:pPr>
      <w:pStyle w:val="Footer"/>
      <w:tabs>
        <w:tab w:val="clear" w:pos="4680"/>
        <w:tab w:val="clear" w:pos="7200"/>
        <w:tab w:val="right" w:pos="10260" w:leader="none"/>
        <w:tab w:val="right" w:pos="14400" w:leader="none"/>
      </w:tabs>
      <w:spacing w:before="120" w:after="120"/>
      <w:rPr>
        <w:lang w:val="en-GB"/>
      </w:rPr>
    </w:pPr>
    <w:r>
      <w:rPr>
        <w:lang w:val="en-GB"/>
      </w:rPr>
      <w:t>GlobalPharma AG</w:t>
      <w:tab/>
      <w:t>CONFIDENTIAL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31">
          <wp:simplePos x="0" y="0"/>
          <wp:positionH relativeFrom="column">
            <wp:posOffset>5505450</wp:posOffset>
          </wp:positionH>
          <wp:positionV relativeFrom="paragraph">
            <wp:posOffset>-27305</wp:posOffset>
          </wp:positionV>
          <wp:extent cx="1028700" cy="385445"/>
          <wp:effectExtent l="0" t="0" r="0" b="0"/>
          <wp:wrapNone/>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494155" cy="345440"/>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1044"/>
        </w:tabs>
        <w:ind w:start="1044"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3">
    <w:lvl w:ilvl="0">
      <w:start w:val="1"/>
      <w:numFmt w:val="bullet"/>
      <w:lvlText w:val=""/>
      <w:lvlJc w:val="start"/>
      <w:pPr>
        <w:tabs>
          <w:tab w:val="num" w:pos="2707"/>
        </w:tabs>
        <w:ind w:start="2707" w:hanging="547"/>
      </w:pPr>
      <w:rPr>
        <w:rFonts w:ascii="Symbol" w:hAnsi="Symbol" w:cs="Symbol" w:hint="default"/>
      </w:rPr>
    </w:lvl>
  </w:abstractNum>
  <w:abstractNum w:abstractNumId="14">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1440"/>
        </w:tabs>
        <w:ind w:start="1440" w:hanging="360"/>
      </w:pPr>
      <w:rPr>
        <w:rFonts w:ascii="Symbol" w:hAnsi="Symbol" w:cs="Symbol" w:hint="default"/>
      </w:rPr>
    </w:lvl>
  </w:abstractNum>
  <w:abstractNum w:abstractNumId="17">
    <w:lvl w:ilvl="0">
      <w:start w:val="1"/>
      <w:numFmt w:val="bullet"/>
      <w:lvlText w:val=""/>
      <w:lvlJc w:val="start"/>
      <w:pPr>
        <w:tabs>
          <w:tab w:val="num" w:pos="1627"/>
        </w:tabs>
        <w:ind w:start="1627" w:hanging="547"/>
      </w:pPr>
      <w:rPr>
        <w:rFonts w:ascii="Symbol" w:hAnsi="Symbol" w:cs="Symbol" w:hint="default"/>
      </w:rPr>
    </w:lvl>
  </w:abstractNum>
  <w:abstractNum w:abstractNumId="18">
    <w:lvl w:ilvl="0">
      <w:start w:val="1"/>
      <w:numFmt w:val="bullet"/>
      <w:lvlText w:val=""/>
      <w:lvlJc w:val="start"/>
      <w:pPr>
        <w:tabs>
          <w:tab w:val="num" w:pos="2160"/>
        </w:tabs>
        <w:ind w:start="2160" w:hanging="533"/>
      </w:pPr>
      <w:rPr>
        <w:rFonts w:ascii="Symbol" w:hAnsi="Symbol" w:cs="Symbol" w:hint="default"/>
      </w:rPr>
    </w:lvl>
  </w:abstractNum>
  <w:abstractNum w:abstractNumId="19">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8"/>
    <w:lvlOverride w:ilvl="0">
      <w:startOverride w:val="1"/>
    </w:lvlOverride>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8"/>
    <w:lvlOverride w:ilvl="0">
      <w:startOverride w:val="1"/>
    </w:lvlOverride>
  </w:num>
  <w:num w:numId="32">
    <w:abstractNumId w:val="8"/>
    <w:lvlOverride w:ilvl="0">
      <w:startOverride w:val="1"/>
    </w:lvlOverride>
  </w:num>
  <w:num w:numId="33">
    <w:abstractNumId w:val="8"/>
    <w:lvlOverride w:ilvl="0">
      <w:startOverride w:val="1"/>
    </w:lvlOverride>
  </w:num>
  <w:num w:numId="34">
    <w:abstractNumId w:val="8"/>
    <w:lvlOverride w:ilvl="0">
      <w:startOverride w:val="1"/>
    </w:lvlOverride>
  </w:num>
  <w:num w:numId="35">
    <w:abstractNumId w:val="8"/>
    <w:lvlOverride w:ilvl="0">
      <w:startOverride w:val="1"/>
    </w:lvlOverride>
  </w:num>
  <w:num w:numId="36">
    <w:abstractNumId w:val="8"/>
    <w:lvlOverride w:ilvl="0">
      <w:startOverride w:val="1"/>
    </w:lvlOverride>
  </w:num>
  <w:num w:numId="37">
    <w:abstractNumId w:val="8"/>
    <w:lvlOverride w:ilvl="0">
      <w:startOverride w:val="1"/>
    </w:lvlOverride>
  </w:num>
  <w:num w:numId="38">
    <w:abstractNumId w:val="8"/>
    <w:lvlOverride w:ilvl="0">
      <w:startOverride w:val="1"/>
    </w:lvlOverride>
  </w:num>
  <w:num w:numId="39">
    <w:abstractNumId w:val="8"/>
    <w:lvlOverride w:ilvl="0">
      <w:startOverride w:val="1"/>
    </w:lvlOverride>
  </w:num>
  <w:num w:numId="40">
    <w:abstractNumId w:val="8"/>
    <w:lvlOverride w:ilvl="0">
      <w:startOverride w:val="1"/>
    </w:lvlOverride>
  </w:num>
  <w:num w:numId="41">
    <w:abstractNumId w:val="8"/>
    <w:lvlOverride w:ilvl="0">
      <w:startOverride w:val="1"/>
    </w:lvlOverride>
  </w:num>
  <w:num w:numId="42">
    <w:abstractNumId w:val="8"/>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Bold;Times New Roman" w:hAnsi="Times New Roman Bold;Times New Roman" w:cs="Times New Roman Bold;Times New Roman"/>
      <w:b/>
      <w:i w:val="false"/>
      <w:sz w:val="28"/>
    </w:rPr>
  </w:style>
  <w:style w:type="character" w:styleId="WW8Num11z2">
    <w:name w:val="WW8Num11z2"/>
    <w:qFormat/>
    <w:rPr>
      <w:rFonts w:ascii="Times New Roman" w:hAnsi="Times New Roman" w:cs="Times New Roman"/>
      <w:b/>
      <w:i w:val="false"/>
      <w:sz w:val="24"/>
    </w:rPr>
  </w:style>
  <w:style w:type="character" w:styleId="WW8Num11z4">
    <w:name w:val="WW8Num11z4"/>
    <w:qFormat/>
    <w:rPr>
      <w:rFonts w:ascii="Times New Roman Bold;Times New Roman" w:hAnsi="Times New Roman Bold;Times New Roman" w:cs="Times New Roman Bold;Times New Roman"/>
      <w:b/>
      <w:i w:val="false"/>
      <w:sz w:val="22"/>
      <w:szCs w:val="22"/>
    </w:rPr>
  </w:style>
  <w:style w:type="character" w:styleId="WW8Num11z5">
    <w:name w:val="WW8Num11z5"/>
    <w:qFormat/>
    <w:rPr>
      <w:rFonts w:ascii="Times New Roman" w:hAnsi="Times New Roman" w:cs="Times New Roman"/>
      <w:b w:val="false"/>
      <w:i w:val="false"/>
      <w:sz w:val="22"/>
    </w:rPr>
  </w:style>
  <w:style w:type="character" w:styleId="WW8Num11z8">
    <w:name w:val="WW8Num11z8"/>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2">
    <w:name w:val="WW8Num13z2"/>
    <w:qFormat/>
    <w:rPr>
      <w:rFonts w:ascii="Times New Roman" w:hAnsi="Times New Roman" w:cs="Times New Roman"/>
      <w:b/>
      <w:i w:val="false"/>
      <w:sz w:val="24"/>
    </w:rPr>
  </w:style>
  <w:style w:type="character" w:styleId="WW8Num13z4">
    <w:name w:val="WW8Num13z4"/>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Bold;Times New Roman"/>
      <w:b/>
      <w:i w:val="false"/>
      <w:color w:val="000000"/>
      <w:sz w:val="28"/>
      <w:szCs w:val="28"/>
    </w:rPr>
  </w:style>
  <w:style w:type="character" w:styleId="WW8Num18z1">
    <w:name w:val="WW8Num18z1"/>
    <w:qFormat/>
    <w:rPr>
      <w:rFonts w:ascii="Times New Roman" w:hAnsi="Times New Roman" w:cs="Times New Roman"/>
      <w:b w:val="false"/>
      <w:i w:val="false"/>
      <w:sz w:val="22"/>
    </w:rPr>
  </w:style>
  <w:style w:type="character" w:styleId="WW8Num18z4">
    <w:name w:val="WW8Num18z4"/>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PageNumber">
    <w:name w:val="page number"/>
    <w:basedOn w:val="Absatz-Standardschriftart"/>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prechblasentext">
    <w:name w:val="Sprechblasentext"/>
    <w:basedOn w:val="Normal"/>
    <w:qFormat/>
    <w:pPr/>
    <w:rPr>
      <w:rFonts w:ascii="Tahoma" w:hAnsi="Tahoma" w:cs="Tahoma"/>
      <w:sz w:val="16"/>
      <w:szCs w:val="16"/>
    </w:rPr>
  </w:style>
  <w:style w:type="paragraph" w:styleId="BodyLevel1Numbered">
    <w:name w:val="Body Level 1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Numbered">
    <w:name w:val="Body Level 2 Numbered"/>
    <w:basedOn w:val="Normal"/>
    <w:qFormat/>
    <w:pPr>
      <w:numPr>
        <w:ilvl w:val="0"/>
        <w:numId w:val="10"/>
      </w:numPr>
      <w:spacing w:before="180" w:after="180"/>
    </w:pPr>
    <w:rPr/>
  </w:style>
  <w:style w:type="paragraph" w:styleId="BodyLevel2Text">
    <w:name w:val="Body Level 2 Text"/>
    <w:basedOn w:val="BodyText"/>
    <w:qFormat/>
    <w:pPr>
      <w:ind w:hanging="0" w:start="2160" w:end="0"/>
    </w:pPr>
    <w:rPr/>
  </w:style>
  <w:style w:type="paragraph" w:styleId="BodyLevel3Numbered">
    <w:name w:val="Body Level 3 Numbered"/>
    <w:basedOn w:val="Normal"/>
    <w:qFormat/>
    <w:pPr>
      <w:numPr>
        <w:ilvl w:val="0"/>
        <w:numId w:val="10"/>
      </w:numPr>
      <w:spacing w:before="180" w:after="180"/>
    </w:pPr>
    <w:rPr/>
  </w:style>
  <w:style w:type="paragraph" w:styleId="BodyLevel3Text">
    <w:name w:val="Body Level 3 Text"/>
    <w:basedOn w:val="BodyText"/>
    <w:qFormat/>
    <w:pPr>
      <w:ind w:hanging="0" w:start="2700" w:end="0"/>
    </w:pPr>
    <w:rPr/>
  </w:style>
  <w:style w:type="paragraph" w:styleId="BodyLevel4Numbered">
    <w:name w:val="Body Level 4 Numbered"/>
    <w:basedOn w:val="Normal"/>
    <w:qFormat/>
    <w:pPr>
      <w:numPr>
        <w:ilvl w:val="0"/>
        <w:numId w:val="10"/>
      </w:numPr>
      <w:spacing w:before="180" w:after="180"/>
    </w:pPr>
    <w:rPr/>
  </w:style>
  <w:style w:type="paragraph" w:styleId="BodyLevel4Text">
    <w:name w:val="Body Level 4 Text"/>
    <w:basedOn w:val="BodyText"/>
    <w:qFormat/>
    <w:pPr>
      <w:ind w:hanging="0" w:start="3240" w:end="0"/>
    </w:pPr>
    <w:rPr/>
  </w:style>
  <w:style w:type="paragraph" w:styleId="BodyTextBullet">
    <w:name w:val="Body Text Bullet"/>
    <w:basedOn w:val="Normal"/>
    <w:qFormat/>
    <w:pPr>
      <w:numPr>
        <w:ilvl w:val="0"/>
        <w:numId w:val="17"/>
      </w:numPr>
      <w:tabs>
        <w:tab w:val="clear" w:pos="720"/>
        <w:tab w:val="left" w:pos="1440" w:leader="none"/>
      </w:tabs>
      <w:ind w:hanging="360" w:start="1440" w:end="0"/>
    </w:pPr>
    <w:rPr/>
  </w:style>
  <w:style w:type="paragraph" w:styleId="BodyTextBulletL1">
    <w:name w:val="Body Text Bullet L1"/>
    <w:basedOn w:val="Normal"/>
    <w:qFormat/>
    <w:pPr>
      <w:numPr>
        <w:ilvl w:val="0"/>
        <w:numId w:val="18"/>
      </w:numPr>
      <w:ind w:hanging="360" w:start="0" w:end="0"/>
    </w:pPr>
    <w:rPr/>
  </w:style>
  <w:style w:type="paragraph" w:styleId="BodyTextBulletL2">
    <w:name w:val="Body Text Bullet L2"/>
    <w:basedOn w:val="Normal"/>
    <w:qFormat/>
    <w:pPr>
      <w:numPr>
        <w:ilvl w:val="0"/>
        <w:numId w:val="13"/>
      </w:numPr>
      <w:ind w:hanging="367" w:start="0" w:end="0"/>
    </w:pPr>
    <w:rPr/>
  </w:style>
  <w:style w:type="paragraph" w:styleId="BodyTextBulletL3">
    <w:name w:val="Body Text Bullet L3"/>
    <w:basedOn w:val="Normal"/>
    <w:qFormat/>
    <w:pPr>
      <w:numPr>
        <w:ilvl w:val="0"/>
        <w:numId w:val="19"/>
      </w:numPr>
      <w:ind w:hanging="360" w:start="0" w:end="0"/>
    </w:pPr>
    <w:rPr/>
  </w:style>
  <w:style w:type="paragraph" w:styleId="BodyTextIndent">
    <w:name w:val="Body Text Indent"/>
    <w:basedOn w:val="BodyText"/>
    <w:pPr>
      <w:ind w:hanging="0" w:start="1080" w:end="0"/>
    </w:pPr>
    <w:rPr/>
  </w:style>
  <w:style w:type="paragraph" w:styleId="TableTextBullet">
    <w:name w:val="Table Text Bullet"/>
    <w:basedOn w:val="Normal"/>
    <w:qFormat/>
    <w:pPr>
      <w:numPr>
        <w:ilvl w:val="0"/>
        <w:numId w:val="15"/>
      </w:numPr>
    </w:pPr>
    <w:rPr/>
  </w:style>
  <w:style w:type="paragraph" w:styleId="Bullet1Table">
    <w:name w:val="Bullet 1 Table"/>
    <w:basedOn w:val="TableTextBullet"/>
    <w:next w:val="TableTextBullet"/>
    <w:qFormat/>
    <w:pPr/>
    <w:rPr/>
  </w:style>
  <w:style w:type="paragraph" w:styleId="Datum">
    <w:name w:val="Datum"/>
    <w:basedOn w:val="Normal"/>
    <w:next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ing1Numbered">
    <w:name w:val="Heading 1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caps/>
      <w:sz w:val="28"/>
    </w:rPr>
  </w:style>
  <w:style w:type="paragraph" w:styleId="Head1-NoTOC">
    <w:name w:val="Head 1 # - No TOC"/>
    <w:basedOn w:val="Heading1Numbered"/>
    <w:next w:val="BodyText"/>
    <w:qFormat/>
    <w:pPr>
      <w:numPr>
        <w:ilvl w:val="0"/>
        <w:numId w:val="14"/>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ing2Numbered">
    <w:name w:val="Heading 2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8"/>
    </w:rPr>
  </w:style>
  <w:style w:type="paragraph" w:styleId="Head2-NoTOC">
    <w:name w:val="Head 2 # - No TOC"/>
    <w:basedOn w:val="Heading2Numbered"/>
    <w:next w:val="BodyText"/>
    <w:qFormat/>
    <w:pPr>
      <w:numPr>
        <w:ilvl w:val="0"/>
        <w:numId w:val="14"/>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2"/>
      </w:numPr>
    </w:pPr>
    <w:rPr/>
  </w:style>
  <w:style w:type="paragraph" w:styleId="Head3-NoTOC">
    <w:name w:val="Head 3 # - No TOC"/>
    <w:basedOn w:val="Heading3Numbered"/>
    <w:next w:val="BodyText"/>
    <w:qFormat/>
    <w:pPr>
      <w:numPr>
        <w:ilvl w:val="0"/>
        <w:numId w:val="14"/>
      </w:numPr>
    </w:pPr>
    <w:rPr/>
  </w:style>
  <w:style w:type="paragraph" w:styleId="Head4-NoTOCor">
    <w:name w:val="Head 4 - No TOC or #"/>
    <w:basedOn w:val="Heading4"/>
    <w:next w:val="TableText"/>
    <w:qFormat/>
    <w:pPr>
      <w:numPr>
        <w:ilvl w:val="0"/>
        <w:numId w:val="0"/>
      </w:numPr>
      <w:outlineLvl w:val="9"/>
    </w:pPr>
    <w:rPr/>
  </w:style>
  <w:style w:type="paragraph" w:styleId="Heading4Numbered">
    <w:name w:val="Heading 4 Numbered"/>
    <w:basedOn w:val="Normal"/>
    <w:next w:val="TableText"/>
    <w:qFormat/>
    <w:pPr>
      <w:keepNext w:val="true"/>
      <w:keepLines/>
      <w:numPr>
        <w:ilvl w:val="0"/>
        <w:numId w:val="12"/>
      </w:numPr>
      <w:spacing w:before="240" w:after="240"/>
    </w:pPr>
    <w:rPr>
      <w:rFonts w:ascii="Times New Roman Bold;Times New Roman" w:hAnsi="Times New Roman Bold;Times New Roman" w:cs="Times New Roman Bold;Times New Roman"/>
      <w:b/>
      <w:sz w:val="24"/>
    </w:rPr>
  </w:style>
  <w:style w:type="paragraph" w:styleId="Head4-NoTOC">
    <w:name w:val="Head 4 # - No TOC"/>
    <w:basedOn w:val="Heading4Numbered"/>
    <w:next w:val="BodyText"/>
    <w:qFormat/>
    <w:pPr>
      <w:numPr>
        <w:ilvl w:val="0"/>
        <w:numId w:val="14"/>
      </w:numPr>
    </w:pPr>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ableLevel1Numbered">
    <w:name w:val="Table Level 1 Numbered"/>
    <w:basedOn w:val="Normal"/>
    <w:qFormat/>
    <w:pPr>
      <w:numPr>
        <w:ilvl w:val="0"/>
        <w:numId w:val="8"/>
      </w:numPr>
    </w:pPr>
    <w:rPr/>
  </w:style>
  <w:style w:type="paragraph" w:styleId="TableLevel1-2Bullet">
    <w:name w:val="Table Level 1-2 Bullet"/>
    <w:basedOn w:val="Normal"/>
    <w:qFormat/>
    <w:pPr>
      <w:numPr>
        <w:ilvl w:val="0"/>
        <w:numId w:val="16"/>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TableLevel3Numbered">
    <w:name w:val="Table Level 3 Numbered"/>
    <w:basedOn w:val="Normal"/>
    <w:qFormat/>
    <w:pPr>
      <w:numPr>
        <w:ilvl w:val="0"/>
        <w:numId w:val="8"/>
      </w:numPr>
    </w:pPr>
    <w:rPr/>
  </w:style>
  <w:style w:type="paragraph" w:styleId="TableText">
    <w:name w:val="Table Text"/>
    <w:basedOn w:val="Normal"/>
    <w:qFormat/>
    <w:pPr/>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Bullet1Body">
    <w:name w:val="Bullet 1 Body"/>
    <w:basedOn w:val="BodyTextBullet"/>
    <w:next w:val="BodyTextBullet"/>
    <w:qFormat/>
    <w:pPr/>
    <w:rPr/>
  </w:style>
  <w:style w:type="paragraph" w:styleId="TableLevel4Numbered">
    <w:name w:val="Table Level 4 Numbered"/>
    <w:basedOn w:val="Normal"/>
    <w:qFormat/>
    <w:pPr>
      <w:numPr>
        <w:ilvl w:val="0"/>
        <w:numId w:val="8"/>
      </w:numPr>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2"/>
      </w:numPr>
    </w:pPr>
    <w:rPr>
      <w:b/>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Bullet1Level1">
    <w:name w:val="Bullet 1 Level 1"/>
    <w:basedOn w:val="Normal"/>
    <w:qFormat/>
    <w:pPr>
      <w:numPr>
        <w:ilvl w:val="0"/>
        <w:numId w:val="15"/>
      </w:numPr>
    </w:pPr>
    <w:rPr/>
  </w:style>
  <w:style w:type="paragraph" w:styleId="Bullet1BodyText">
    <w:name w:val="Bullet 1 Body Text"/>
    <w:basedOn w:val="Normal"/>
    <w:qFormat/>
    <w:pPr>
      <w:numPr>
        <w:ilvl w:val="0"/>
        <w:numId w:val="9"/>
      </w:numPr>
      <w:spacing w:before="240" w:after="240"/>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CharCharCharCharCharChar">
    <w:name w:val=" Char Char Char Char Char Char"/>
    <w:basedOn w:val="Normal"/>
    <w:qFormat/>
    <w:pPr>
      <w:spacing w:lineRule="exact" w:line="240" w:before="0" w:after="160"/>
      <w:jc w:val="both"/>
    </w:pPr>
    <w:rPr>
      <w:rFonts w:ascii="Arial" w:hAnsi="Arial" w:cs="Arial"/>
      <w:sz w:val="20"/>
      <w:szCs w:val="20"/>
    </w:rPr>
  </w:style>
  <w:style w:type="paragraph" w:styleId="Dokumentstruktur">
    <w:name w:val="Dokumentstruktur"/>
    <w:basedOn w:val="Normal"/>
    <w:qFormat/>
    <w:pPr>
      <w:shd w:fill="000080" w:val="clear"/>
    </w:pPr>
    <w:rPr>
      <w:rFonts w:ascii="Tahoma" w:hAnsi="Tahoma"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2007-01-29T19:56:00Z</dcterms:created>
  <dc:creator>TPI</dc:creator>
  <dc:description>Template for TPI's genereric RFP - Landscape.</dc:description>
  <dc:language>en-US</dc:language>
  <cp:lastModifiedBy>Wenger Plattner</cp:lastModifiedBy>
  <cp:lastPrinted>2004-12-03T14:49:00Z</cp:lastPrinted>
  <dcterms:modified xsi:type="dcterms:W3CDTF">2007-01-29T19:56:00Z</dcterms:modified>
  <cp:revision>2</cp:revision>
  <dc:subject/>
  <dc:title>RFP8 Exhibit 6 Governance</dc:title>
</cp:coreProperties>
</file>