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r>
    </w:p>
    <w:p>
      <w:pPr>
        <w:pStyle w:val="Titel"/>
        <w:rPr/>
      </w:pPr>
      <w:r>
        <w:rPr/>
      </w:r>
    </w:p>
    <w:p>
      <w:pPr>
        <w:pStyle w:val="Titel"/>
        <w:outlineLvl w:val="9"/>
        <w:rPr/>
      </w:pPr>
      <w:r>
        <w:rPr/>
        <w:t>GlobalPharma</w:t>
      </w:r>
    </w:p>
    <w:p>
      <w:pPr>
        <w:pStyle w:val="Titel"/>
        <w:outlineLvl w:val="9"/>
        <w:rPr/>
      </w:pPr>
      <w:r>
        <w:rPr/>
      </w:r>
    </w:p>
    <w:p>
      <w:pPr>
        <w:pStyle w:val="Titel"/>
        <w:outlineLvl w:val="9"/>
        <w:rPr/>
      </w:pPr>
      <w:r>
        <w:rPr/>
        <w:t>Exhibit 8</w:t>
      </w:r>
    </w:p>
    <w:p>
      <w:pPr>
        <w:pStyle w:val="Titel"/>
        <w:outlineLvl w:val="9"/>
        <w:rPr/>
      </w:pPr>
      <w:r>
        <w:rPr/>
      </w:r>
    </w:p>
    <w:p>
      <w:pPr>
        <w:pStyle w:val="Titel"/>
        <w:outlineLvl w:val="9"/>
        <w:rPr/>
      </w:pPr>
      <w:r>
        <w:rPr/>
        <w:t xml:space="preserve">Technical Architecture </w:t>
      </w:r>
    </w:p>
    <w:p>
      <w:pPr>
        <w:pStyle w:val="Titel"/>
        <w:outlineLvl w:val="9"/>
        <w:rPr/>
      </w:pPr>
      <w:r>
        <w:rPr/>
        <w:t>and</w:t>
      </w:r>
    </w:p>
    <w:p>
      <w:pPr>
        <w:pStyle w:val="Titel"/>
        <w:outlineLvl w:val="9"/>
        <w:rPr/>
      </w:pPr>
      <w:r>
        <w:rPr/>
        <w:t>product Standards</w:t>
      </w:r>
    </w:p>
    <w:p>
      <w:pPr>
        <w:pStyle w:val="Titel"/>
        <w:rPr/>
      </w:pPr>
      <w:r>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It is furnished for the performance of The Agreements only. Except with the express prior written permission of GlobalPharma, this document and the information contained herein may not be published, disclosed, or used for any other purpose.</w:t>
            </w:r>
          </w:p>
          <w:p>
            <w:pPr>
              <w:pStyle w:val="Normal"/>
              <w:spacing w:before="120" w:after="120"/>
              <w:jc w:val="center"/>
              <w:rPr/>
            </w:pPr>
            <w:r>
              <w:rPr/>
            </w:r>
          </w:p>
        </w:tc>
      </w:tr>
    </w:tbl>
    <w:p>
      <w:pPr>
        <w:pStyle w:val="Normal"/>
        <w:rPr/>
      </w:pPr>
      <w:r>
        <w:rPr/>
      </w:r>
    </w:p>
    <w:p>
      <w:pPr>
        <w:sectPr>
          <w:headerReference w:type="default" r:id="rId2"/>
          <w:footerReference w:type="default" r:id="rId3"/>
          <w:type w:val="nextPage"/>
          <w:pgSz w:w="11906" w:h="16838"/>
          <w:pgMar w:left="1440" w:right="1440" w:gutter="0" w:header="708" w:top="1728" w:footer="708" w:bottom="1728"/>
          <w:pgNumType w:fmt="decimal"/>
          <w:formProt w:val="false"/>
          <w:textDirection w:val="lrTb"/>
          <w:docGrid w:type="default" w:linePitch="360" w:charSpace="0"/>
        </w:sectPr>
        <w:pStyle w:val="Normal"/>
        <w:rPr/>
      </w:pPr>
      <w:r>
        <w:rPr/>
      </w:r>
    </w:p>
    <w:p>
      <w:pPr>
        <w:pStyle w:val="Titel"/>
        <w:rPr/>
      </w:pPr>
      <w:r>
        <w:rPr/>
        <w:t>Table of Contents</w:t>
      </w:r>
    </w:p>
    <w:sdt>
      <w:sdtPr>
        <w:docPartObj>
          <w:docPartGallery w:val="Table of Contents"/>
          <w:docPartUnique w:val="true"/>
        </w:docPartObj>
      </w:sdtPr>
      <w:sdtContent>
        <w:p>
          <w:pPr>
            <w:pStyle w:val="TOC1"/>
            <w:tabs>
              <w:tab w:val="clear" w:pos="720"/>
              <w:tab w:val="left" w:pos="440" w:leader="none"/>
              <w:tab w:val="right" w:pos="9350"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"Heading 1 Numbered;1;Heading 2 Numbered;2" </w:instrText>
          </w:r>
          <w:r>
            <w:rPr>
              <w:rStyle w:val="IndexLink"/>
              <w:lang w:val="en-US" w:eastAsia="en-US"/>
            </w:rPr>
            <w:fldChar w:fldCharType="separate"/>
          </w:r>
          <w:hyperlink w:anchor="__RefHeading___Toc157780658">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Technical Architecture Setup</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780659">
            <w:r>
              <w:rPr>
                <w:rStyle w:val="IndexLink"/>
                <w:lang w:val="en-US" w:eastAsia="en-US"/>
              </w:rPr>
              <w:t>1.1</w:t>
            </w:r>
            <w:r>
              <w:rPr>
                <w:rStyle w:val="IndexLink"/>
                <w:caps w:val="false"/>
                <w:smallCaps w:val="false"/>
                <w:sz w:val="24"/>
                <w:szCs w:val="24"/>
                <w:lang w:val="de-CH" w:eastAsia="en-US"/>
              </w:rPr>
              <w:tab/>
            </w:r>
            <w:r>
              <w:rPr>
                <w:rStyle w:val="IndexLink"/>
                <w:lang w:val="en-US" w:eastAsia="en-US"/>
              </w:rPr>
              <w:t>Development of detailed technical solution</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780660">
            <w:r>
              <w:rPr>
                <w:rStyle w:val="IndexLink"/>
                <w:lang w:val="en-US" w:eastAsia="en-US"/>
              </w:rPr>
              <w:t>1.2</w:t>
            </w:r>
            <w:r>
              <w:rPr>
                <w:rStyle w:val="IndexLink"/>
                <w:caps w:val="false"/>
                <w:smallCaps w:val="false"/>
                <w:sz w:val="24"/>
                <w:szCs w:val="24"/>
                <w:lang w:val="de-CH" w:eastAsia="en-US"/>
              </w:rPr>
              <w:tab/>
            </w:r>
            <w:r>
              <w:rPr>
                <w:rStyle w:val="IndexLink"/>
                <w:lang w:val="en-US" w:eastAsia="en-US"/>
              </w:rPr>
              <w:t>Wide Area Network (WAN) connectivity</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780661">
            <w:r>
              <w:rPr>
                <w:rStyle w:val="IndexLink"/>
                <w:lang w:val="en-US" w:eastAsia="en-US"/>
              </w:rPr>
              <w:t>1.3</w:t>
            </w:r>
            <w:r>
              <w:rPr>
                <w:rStyle w:val="IndexLink"/>
                <w:caps w:val="false"/>
                <w:smallCaps w:val="false"/>
                <w:sz w:val="24"/>
                <w:szCs w:val="24"/>
                <w:lang w:val="de-CH" w:eastAsia="en-US"/>
              </w:rPr>
              <w:tab/>
            </w:r>
            <w:r>
              <w:rPr>
                <w:rStyle w:val="IndexLink"/>
                <w:lang w:val="en-US" w:eastAsia="en-US"/>
              </w:rPr>
              <w:t>Local Area Network connectivity</w:t>
              <w:tab/>
              <w:t>6</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780662">
            <w:r>
              <w:rPr>
                <w:rStyle w:val="IndexLink"/>
                <w:lang w:val="en-US" w:eastAsia="en-US"/>
              </w:rPr>
              <w:t>1.4</w:t>
            </w:r>
            <w:r>
              <w:rPr>
                <w:rStyle w:val="IndexLink"/>
                <w:caps w:val="false"/>
                <w:smallCaps w:val="false"/>
                <w:sz w:val="24"/>
                <w:szCs w:val="24"/>
                <w:lang w:val="de-CH" w:eastAsia="en-US"/>
              </w:rPr>
              <w:tab/>
            </w:r>
            <w:r>
              <w:rPr>
                <w:rStyle w:val="IndexLink"/>
                <w:lang w:val="en-US" w:eastAsia="en-US"/>
              </w:rPr>
              <w:t>Application setup</w:t>
              <w:tab/>
              <w:t>7</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780663">
            <w:r>
              <w:rPr>
                <w:rStyle w:val="IndexLink"/>
                <w:lang w:val="en-US" w:eastAsia="en-US"/>
              </w:rPr>
              <w:t>1.5</w:t>
            </w:r>
            <w:r>
              <w:rPr>
                <w:rStyle w:val="IndexLink"/>
                <w:caps w:val="false"/>
                <w:smallCaps w:val="false"/>
                <w:sz w:val="24"/>
                <w:szCs w:val="24"/>
                <w:lang w:val="de-CH" w:eastAsia="en-US"/>
              </w:rPr>
              <w:tab/>
            </w:r>
            <w:r>
              <w:rPr>
                <w:rStyle w:val="IndexLink"/>
                <w:lang w:val="en-US" w:eastAsia="en-US"/>
              </w:rPr>
              <w:t>Voice solution</w:t>
              <w:tab/>
              <w:t>8</w:t>
            </w:r>
          </w:hyperlink>
        </w:p>
        <w:p>
          <w:pPr>
            <w:pStyle w:val="TOC2"/>
            <w:tabs>
              <w:tab w:val="clear" w:pos="720"/>
              <w:tab w:val="left" w:pos="880" w:leader="none"/>
              <w:tab w:val="right" w:pos="9350" w:leader="dot"/>
            </w:tabs>
            <w:rPr>
              <w:sz w:val="24"/>
              <w:szCs w:val="24"/>
              <w:lang w:val="de-CH" w:eastAsia="en-US"/>
            </w:rPr>
          </w:pPr>
          <w:hyperlink w:anchor="__RefHeading___Toc157780664">
            <w:r>
              <w:rPr>
                <w:rStyle w:val="IndexLink"/>
                <w:caps w:val="false"/>
                <w:smallCaps w:val="false"/>
                <w:lang w:val="en-US" w:eastAsia="en-US"/>
              </w:rPr>
              <w:t>1.6</w:t>
            </w:r>
            <w:r>
              <w:rPr>
                <w:rStyle w:val="IndexLink"/>
                <w:caps w:val="false"/>
                <w:smallCaps w:val="false"/>
                <w:sz w:val="24"/>
                <w:szCs w:val="24"/>
                <w:lang w:val="de-CH" w:eastAsia="en-US"/>
              </w:rPr>
              <w:tab/>
            </w:r>
            <w:r>
              <w:rPr>
                <w:rStyle w:val="IndexLink"/>
                <w:caps w:val="false"/>
                <w:smallCaps w:val="false"/>
                <w:lang w:val="en-US" w:eastAsia="en-US"/>
              </w:rPr>
              <w:t>Costing Aspects</w:t>
              <w:tab/>
              <w:t>9</w:t>
            </w:r>
          </w:hyperlink>
          <w:r>
            <w:rPr>
              <w:rStyle w:val="IndexLink"/>
              <w:smallCaps w:val="false"/>
              <w:caps w:val="false"/>
              <w:lang w:val="en-US" w:eastAsia="en-US"/>
            </w:rPr>
            <w:fldChar w:fldCharType="end"/>
          </w:r>
        </w:p>
      </w:sdtContent>
    </w:sdt>
    <w:p>
      <w:pPr>
        <w:pStyle w:val="Normal"/>
        <w:rPr>
          <w:b/>
          <w:bCs/>
          <w:caps/>
          <w:sz w:val="20"/>
          <w:szCs w:val="20"/>
          <w:lang w:val="de-CH" w:eastAsia="en-US"/>
        </w:rPr>
      </w:pPr>
      <w:r>
        <w:rPr>
          <w:b/>
          <w:bCs/>
          <w:caps/>
          <w:sz w:val="20"/>
          <w:szCs w:val="20"/>
          <w:lang w:val="de-CH" w:eastAsia="en-US"/>
        </w:rPr>
      </w:r>
      <w:r>
        <w:br w:type="page"/>
      </w:r>
    </w:p>
    <w:p>
      <w:pPr>
        <w:pStyle w:val="Normal"/>
        <w:rPr/>
      </w:pPr>
      <w:r>
        <w:rPr/>
      </w:r>
    </w:p>
    <w:p>
      <w:pPr>
        <w:pStyle w:val="Heading1Numbered"/>
        <w:numPr>
          <w:ilvl w:val="0"/>
          <w:numId w:val="21"/>
        </w:numPr>
        <w:ind w:hanging="0" w:start="0"/>
        <w:rPr/>
      </w:pPr>
      <w:bookmarkStart w:id="0" w:name="__RefHeading___Toc157780658"/>
      <w:bookmarkEnd w:id="0"/>
      <w:r>
        <w:rPr/>
        <w:t>Technical Architecture Setup</w:t>
      </w:r>
    </w:p>
    <w:p>
      <w:pPr>
        <w:pStyle w:val="Heading2Numbered"/>
        <w:numPr>
          <w:ilvl w:val="1"/>
          <w:numId w:val="13"/>
        </w:numPr>
        <w:ind w:hanging="0" w:start="0"/>
        <w:rPr/>
      </w:pPr>
      <w:bookmarkStart w:id="1" w:name="__RefHeading___Toc157780659"/>
      <w:bookmarkEnd w:id="1"/>
      <w:r>
        <w:rPr/>
        <w:t>Development of detailed technical solution</w:t>
      </w:r>
    </w:p>
    <w:p>
      <w:pPr>
        <w:pStyle w:val="Heading3Numbered"/>
        <w:numPr>
          <w:ilvl w:val="2"/>
          <w:numId w:val="13"/>
        </w:numPr>
        <w:ind w:hanging="0" w:start="0"/>
        <w:rPr/>
      </w:pPr>
      <w:r>
        <w:rPr/>
        <w:t>The Service Provider’s responsibilities include, but are not limited to:</w:t>
      </w:r>
    </w:p>
    <w:p>
      <w:pPr>
        <w:pStyle w:val="Heading4Numbered"/>
        <w:numPr>
          <w:ilvl w:val="3"/>
          <w:numId w:val="13"/>
        </w:numPr>
        <w:ind w:hanging="0" w:start="0"/>
        <w:rPr/>
      </w:pPr>
      <w:r>
        <w:rPr/>
        <w:t xml:space="preserve">Develop its detailed technical solution before the start of implementation in compliance with the current environment and strategy of GlobalPharma </w:t>
      </w:r>
    </w:p>
    <w:p>
      <w:pPr>
        <w:pStyle w:val="Heading4Numbered"/>
        <w:numPr>
          <w:ilvl w:val="3"/>
          <w:numId w:val="13"/>
        </w:numPr>
        <w:ind w:hanging="0" w:start="0"/>
        <w:rPr/>
      </w:pPr>
      <w:r>
        <w:rPr/>
        <w:t>Obtain decision or approval of recommended technical solution from GlobalPharma on GlobalPharma IT architecture</w:t>
      </w:r>
    </w:p>
    <w:p>
      <w:pPr>
        <w:pStyle w:val="Heading2Numbered"/>
        <w:numPr>
          <w:ilvl w:val="1"/>
          <w:numId w:val="13"/>
        </w:numPr>
        <w:ind w:hanging="0" w:start="0"/>
        <w:rPr/>
      </w:pPr>
      <w:bookmarkStart w:id="2" w:name="__RefHeading___Toc157780660"/>
      <w:r>
        <w:rPr/>
        <w:t>Wide Area Network (WAN) connectivity</w:t>
      </w:r>
      <w:bookmarkEnd w:id="2"/>
      <w:r>
        <w:rPr/>
        <w:t xml:space="preserve"> </w:t>
      </w:r>
    </w:p>
    <w:p>
      <w:pPr>
        <w:pStyle w:val="Heading3Numbered"/>
        <w:numPr>
          <w:ilvl w:val="2"/>
          <w:numId w:val="13"/>
        </w:numPr>
        <w:ind w:hanging="0" w:start="0"/>
        <w:rPr/>
      </w:pPr>
      <w:r>
        <w:rPr/>
        <w:t>The Service Provider’s responsibilities include, but are not limited to:</w:t>
      </w:r>
    </w:p>
    <w:p>
      <w:pPr>
        <w:pStyle w:val="Heading3Numbered"/>
        <w:numPr>
          <w:ilvl w:val="2"/>
          <w:numId w:val="13"/>
        </w:numPr>
        <w:ind w:hanging="0" w:start="0"/>
        <w:rPr/>
      </w:pPr>
      <w:r>
        <w:rPr/>
        <w:t xml:space="preserve">Provide fully managed WAN connectivity from the Service provider's network to the designated Demilitarized Zones (DMZ) termination points within GlobalPharma. </w:t>
      </w:r>
    </w:p>
    <w:p>
      <w:pPr>
        <w:pStyle w:val="Heading3Numbered"/>
        <w:numPr>
          <w:ilvl w:val="2"/>
          <w:numId w:val="13"/>
        </w:numPr>
        <w:ind w:hanging="0" w:start="0"/>
        <w:rPr/>
      </w:pPr>
      <w:r>
        <w:rPr/>
        <w:t>Connect to GlobalPharma selected Demilitarized Zones (DMZ) as indicated in the schematic connection overview:</w:t>
      </w:r>
    </w:p>
    <w:p>
      <w:pPr>
        <w:pStyle w:val="TableText"/>
        <w:rPr/>
      </w:pPr>
      <w:r>
        <w:rPr/>
      </w:r>
    </w:p>
    <w:p>
      <w:pPr>
        <w:pStyle w:val="TableText"/>
        <w:ind w:start="720" w:end="0"/>
        <w:rPr>
          <w:lang w:val="en-US" w:eastAsia="en-US"/>
        </w:rPr>
      </w:pPr>
      <w:r>
        <w:rPr>
          <w:lang w:val="en-US" w:eastAsia="en-US"/>
        </w:rPr>
        <w:drawing>
          <wp:inline distT="0" distB="0" distL="0" distR="0">
            <wp:extent cx="4953000" cy="533400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4"/>
                    <a:srcRect l="-3" t="-4" r="-3" b="-4"/>
                    <a:stretch>
                      <a:fillRect/>
                    </a:stretch>
                  </pic:blipFill>
                  <pic:spPr bwMode="auto">
                    <a:xfrm>
                      <a:off x="0" y="0"/>
                      <a:ext cx="4953000" cy="5334000"/>
                    </a:xfrm>
                    <a:prstGeom prst="rect">
                      <a:avLst/>
                    </a:prstGeom>
                    <a:noFill/>
                  </pic:spPr>
                </pic:pic>
              </a:graphicData>
            </a:graphic>
          </wp:inline>
        </w:drawing>
      </w:r>
    </w:p>
    <w:p>
      <w:pPr>
        <w:pStyle w:val="Heading3Numbered"/>
        <w:numPr>
          <w:ilvl w:val="2"/>
          <w:numId w:val="13"/>
        </w:numPr>
        <w:ind w:hanging="0" w:start="0"/>
        <w:rPr/>
      </w:pPr>
      <w:r>
        <w:rPr/>
        <w:t>Use the Service Provider MPLS based WAN solution to connect the Service Provider delivery centers to the GlobalPharma data centers in Zurich and East Hanover where all the application servers are hosted.</w:t>
      </w:r>
    </w:p>
    <w:p>
      <w:pPr>
        <w:pStyle w:val="Heading3Numbered"/>
        <w:numPr>
          <w:ilvl w:val="2"/>
          <w:numId w:val="13"/>
        </w:numPr>
        <w:ind w:hanging="0" w:start="0"/>
        <w:rPr/>
      </w:pPr>
      <w:r>
        <w:rPr/>
        <w:t>Provide and manage the end to end WAN links (supporting the services provided) from Bucharest Delivery Center to the GlobalPharma Zurich DMZ (covering Zurich, Germany, France, Italy and Spain, UK) and from the India Delivery Center to the GlobalPharma East Hanover (covering GlobalPharma US) to the appropriate GlobalPharma DMZ between Service Provider delivery centers and the nearest BT POP to the mentioned GlobalPharma DMZ.</w:t>
      </w:r>
    </w:p>
    <w:p>
      <w:pPr>
        <w:pStyle w:val="Heading3Numbered"/>
        <w:numPr>
          <w:ilvl w:val="2"/>
          <w:numId w:val="13"/>
        </w:numPr>
        <w:ind w:hanging="0" w:start="0"/>
        <w:rPr/>
      </w:pPr>
      <w:r>
        <w:rPr/>
        <w:t>Ensure that all required Service Levels are in place to support WAN connectivity together with its MPLS provider, British Telecom.</w:t>
      </w:r>
    </w:p>
    <w:p>
      <w:pPr>
        <w:pStyle w:val="Heading3Numbered"/>
        <w:numPr>
          <w:ilvl w:val="2"/>
          <w:numId w:val="13"/>
        </w:numPr>
        <w:ind w:hanging="0" w:start="0"/>
        <w:rPr/>
      </w:pPr>
      <w:r>
        <w:rPr/>
        <w:t xml:space="preserve">Service Provider will setup connectivity with the bandwidth specified for both Europe and the US, both primary and secondary line will have 2 MB bandwidth. This bandwidth above is applicable for the full scope of transition for phase 1 (2007 portion of the project). </w:t>
      </w:r>
    </w:p>
    <w:p>
      <w:pPr>
        <w:pStyle w:val="Heading3Numbered"/>
        <w:numPr>
          <w:ilvl w:val="2"/>
          <w:numId w:val="13"/>
        </w:numPr>
        <w:ind w:hanging="0" w:start="0"/>
        <w:rPr/>
      </w:pPr>
      <w:r>
        <w:rPr/>
        <w:t>Based on future application clarification and bandwidth testing, it will be possible to change the actual bandwidth – to be mutually agreed by GlobalPharma and Service Provider.</w:t>
      </w:r>
    </w:p>
    <w:p>
      <w:pPr>
        <w:pStyle w:val="Heading3Numbered"/>
        <w:numPr>
          <w:ilvl w:val="2"/>
          <w:numId w:val="13"/>
        </w:numPr>
        <w:ind w:hanging="0" w:start="0"/>
        <w:rPr/>
      </w:pPr>
      <w:r>
        <w:rPr/>
        <w:t>Provide internet access for any business related internet access for GlobalPharma assigned associates.</w:t>
      </w:r>
    </w:p>
    <w:p>
      <w:pPr>
        <w:pStyle w:val="Heading3Numbered"/>
        <w:numPr>
          <w:ilvl w:val="2"/>
          <w:numId w:val="13"/>
        </w:numPr>
        <w:ind w:hanging="0" w:start="0"/>
        <w:rPr/>
      </w:pPr>
      <w:r>
        <w:rPr/>
        <w:t>Supplier for WAN setup will be British Telecom for both Parties. The last mile to GlobalPharma Zurich and East Hanover will be ordered by the Service Provider on the basis of the specification of the Service Provider.</w:t>
      </w:r>
    </w:p>
    <w:p>
      <w:pPr>
        <w:pStyle w:val="Heading3Numbered"/>
        <w:numPr>
          <w:ilvl w:val="2"/>
          <w:numId w:val="13"/>
        </w:numPr>
        <w:ind w:hanging="0" w:start="0"/>
        <w:rPr/>
      </w:pPr>
      <w:r>
        <w:rPr/>
        <w:t>Service Provider will follow the GlobalPharma specifications for Network Address Translation as provided by GlobalPharma. This will be described in the detailed Technical Solution (see above Section 1.1.).</w:t>
      </w:r>
    </w:p>
    <w:p>
      <w:pPr>
        <w:pStyle w:val="Heading3Numbered"/>
        <w:numPr>
          <w:ilvl w:val="2"/>
          <w:numId w:val="13"/>
        </w:numPr>
        <w:ind w:hanging="0" w:start="0"/>
        <w:rPr/>
      </w:pPr>
      <w:r>
        <w:rPr/>
        <w:t xml:space="preserve">Service Provider to provide Cisco VPN device and internet access for setting up a temporary VPN connection based on the specification and security settings provided by GlobalPharma in order to be able to test application connectivity upfront. This VPN connection will be cut off after the stabilization of the WAN connection. </w:t>
      </w:r>
    </w:p>
    <w:p>
      <w:pPr>
        <w:pStyle w:val="TableText"/>
        <w:rPr/>
      </w:pPr>
      <w:r>
        <w:rPr/>
      </w:r>
    </w:p>
    <w:p>
      <w:pPr>
        <w:pStyle w:val="Heading2Numbered"/>
        <w:numPr>
          <w:ilvl w:val="1"/>
          <w:numId w:val="13"/>
        </w:numPr>
        <w:ind w:hanging="0" w:start="0"/>
        <w:rPr/>
      </w:pPr>
      <w:bookmarkStart w:id="3" w:name="__RefHeading___Toc157780661"/>
      <w:bookmarkEnd w:id="3"/>
      <w:r>
        <w:rPr/>
        <w:t>Local Area Network connectivity</w:t>
      </w:r>
    </w:p>
    <w:p>
      <w:pPr>
        <w:pStyle w:val="Heading3Numbered"/>
        <w:numPr>
          <w:ilvl w:val="2"/>
          <w:numId w:val="13"/>
        </w:numPr>
        <w:ind w:hanging="0" w:start="0"/>
        <w:rPr/>
      </w:pPr>
      <w:r>
        <w:rPr/>
        <w:t>The Service Provider’s responsibilities include, but are not limited to:</w:t>
      </w:r>
    </w:p>
    <w:p>
      <w:pPr>
        <w:pStyle w:val="Heading3Numbered"/>
        <w:numPr>
          <w:ilvl w:val="2"/>
          <w:numId w:val="13"/>
        </w:numPr>
        <w:ind w:hanging="0" w:start="0"/>
        <w:rPr/>
      </w:pPr>
      <w:r>
        <w:rPr/>
        <w:t xml:space="preserve">Provide a secure end-user connectivity for GlobalPharma specific associates at all delivery centers by using its shared infrastructure installed at the Service Providers delivery centers serving multiple clients. </w:t>
      </w:r>
    </w:p>
    <w:p>
      <w:pPr>
        <w:pStyle w:val="Heading3Numbered"/>
        <w:numPr>
          <w:ilvl w:val="2"/>
          <w:numId w:val="13"/>
        </w:numPr>
        <w:ind w:hanging="0" w:start="0"/>
        <w:rPr/>
      </w:pPr>
      <w:r>
        <w:rPr/>
        <w:t>Provide highly available (fully redundant) internet access for business related transactions at Service Providers delivery centers</w:t>
      </w:r>
    </w:p>
    <w:p>
      <w:pPr>
        <w:pStyle w:val="Heading3Numbered"/>
        <w:numPr>
          <w:ilvl w:val="2"/>
          <w:numId w:val="13"/>
        </w:numPr>
        <w:ind w:hanging="0" w:start="0"/>
        <w:rPr/>
      </w:pPr>
      <w:r>
        <w:rPr/>
        <w:t xml:space="preserve">Use Service Providers shared server farm infrastructure for various utility servers such as user authentication (Windows Active Directory), file &amp; print, Symantec Anti-virus, patch management, imaging &amp; workflow, FTP (File Transfer Protocol). </w:t>
      </w:r>
    </w:p>
    <w:p>
      <w:pPr>
        <w:pStyle w:val="Heading3Numbered"/>
        <w:numPr>
          <w:ilvl w:val="2"/>
          <w:numId w:val="13"/>
        </w:numPr>
        <w:ind w:hanging="0" w:start="0"/>
        <w:rPr/>
      </w:pPr>
      <w:r>
        <w:rPr/>
        <w:t xml:space="preserve">GlobalPharma will restrict access with specific security policies for Service Provider corporate applications such as leave, payroll, and transport management systems for general employee related activities. </w:t>
      </w:r>
    </w:p>
    <w:p>
      <w:pPr>
        <w:pStyle w:val="Heading3Numbered"/>
        <w:numPr>
          <w:ilvl w:val="2"/>
          <w:numId w:val="13"/>
        </w:numPr>
        <w:ind w:hanging="0" w:start="0"/>
        <w:rPr/>
      </w:pPr>
      <w:r>
        <w:rPr/>
        <w:t>Provide PC’s with standard and hardened OS images with remotely enforced anti-virus/patch management configurations. Service Provider will work with GlobalPharma IT team to custom-build new OS image for GlobalPharma specific processes.</w:t>
      </w:r>
    </w:p>
    <w:p>
      <w:pPr>
        <w:pStyle w:val="Heading3Numbered"/>
        <w:numPr>
          <w:ilvl w:val="2"/>
          <w:numId w:val="13"/>
        </w:numPr>
        <w:ind w:hanging="0" w:start="0"/>
        <w:rPr/>
      </w:pPr>
      <w:r>
        <w:rPr/>
        <w:t xml:space="preserve">Provide dedicated Service Provider level Virtual LAN (VLAN) </w:t>
      </w:r>
    </w:p>
    <w:p>
      <w:pPr>
        <w:pStyle w:val="Heading3Numbered"/>
        <w:numPr>
          <w:ilvl w:val="2"/>
          <w:numId w:val="13"/>
        </w:numPr>
        <w:ind w:hanging="0" w:start="0"/>
        <w:rPr/>
      </w:pPr>
      <w:r>
        <w:rPr/>
        <w:t>Provide shared telephony system, RightFax (Fax application), workflow server, backbone infrastructure of active directory, anti-virus and printing</w:t>
      </w:r>
    </w:p>
    <w:p>
      <w:pPr>
        <w:pStyle w:val="Heading3Numbered"/>
        <w:numPr>
          <w:ilvl w:val="2"/>
          <w:numId w:val="13"/>
        </w:numPr>
        <w:ind w:hanging="0" w:start="0"/>
        <w:rPr/>
      </w:pPr>
      <w:r>
        <w:rPr/>
        <w:t>Enable network communication to any other network (workflow, Service Provider backbone, GlobalPharma) on a need basis.</w:t>
      </w:r>
    </w:p>
    <w:p>
      <w:pPr>
        <w:pStyle w:val="Heading3Numbered"/>
        <w:numPr>
          <w:ilvl w:val="2"/>
          <w:numId w:val="13"/>
        </w:numPr>
        <w:ind w:hanging="0" w:start="0"/>
        <w:rPr/>
      </w:pPr>
      <w:r>
        <w:rPr/>
        <w:t xml:space="preserve">Manage any incoming / outgoing traffic through Service Provider firewalls. </w:t>
      </w:r>
    </w:p>
    <w:p>
      <w:pPr>
        <w:pStyle w:val="Heading3Numbered"/>
        <w:numPr>
          <w:ilvl w:val="2"/>
          <w:numId w:val="13"/>
        </w:numPr>
        <w:ind w:hanging="0" w:start="0"/>
        <w:rPr/>
      </w:pPr>
      <w:r>
        <w:rPr/>
        <w:t>Provide Service Providers standard security and monitoring tools aligned with GlobalPharma requirements</w:t>
      </w:r>
    </w:p>
    <w:p>
      <w:pPr>
        <w:pStyle w:val="Heading3Numbered"/>
        <w:numPr>
          <w:ilvl w:val="2"/>
          <w:numId w:val="13"/>
        </w:numPr>
        <w:ind w:hanging="0" w:start="0"/>
        <w:rPr/>
      </w:pPr>
      <w:r>
        <w:rPr/>
        <w:t>Ensure that the PCs in the GlobalPharma VLAN at Service Provider can access only PCs in the same VLAN.</w:t>
      </w:r>
    </w:p>
    <w:p>
      <w:pPr>
        <w:pStyle w:val="Heading3Numbered"/>
        <w:numPr>
          <w:ilvl w:val="2"/>
          <w:numId w:val="13"/>
        </w:numPr>
        <w:ind w:hanging="0" w:start="0"/>
        <w:rPr/>
      </w:pPr>
      <w:r>
        <w:rPr/>
        <w:t>Ensure that only the workstations in the GlobalPharma VLAN at Service Provider can access the GlobalPharma network through Firewalls.</w:t>
      </w:r>
    </w:p>
    <w:p>
      <w:pPr>
        <w:pStyle w:val="Heading3Numbered"/>
        <w:numPr>
          <w:ilvl w:val="2"/>
          <w:numId w:val="13"/>
        </w:numPr>
        <w:ind w:hanging="0" w:start="0"/>
        <w:rPr/>
      </w:pPr>
      <w:r>
        <w:rPr/>
        <w:t>Ensure that workstations in other VLAN cannot access the GlobalPharma dedicated PCs, or the GlobalPharma network itself.</w:t>
      </w:r>
    </w:p>
    <w:p>
      <w:pPr>
        <w:pStyle w:val="Heading2Numbered"/>
        <w:numPr>
          <w:ilvl w:val="1"/>
          <w:numId w:val="13"/>
        </w:numPr>
        <w:ind w:hanging="0" w:start="0"/>
        <w:rPr/>
      </w:pPr>
      <w:bookmarkStart w:id="4" w:name="__RefHeading___Toc157780662"/>
      <w:bookmarkEnd w:id="4"/>
      <w:r>
        <w:rPr/>
        <w:t>Application setup</w:t>
      </w:r>
    </w:p>
    <w:p>
      <w:pPr>
        <w:pStyle w:val="Heading3Numbered"/>
        <w:numPr>
          <w:ilvl w:val="2"/>
          <w:numId w:val="13"/>
        </w:numPr>
        <w:ind w:hanging="0" w:start="0"/>
        <w:rPr/>
      </w:pPr>
      <w:r>
        <w:rPr/>
        <w:t>The Service Provider’s responsibilities include, but are not limited to:</w:t>
      </w:r>
    </w:p>
    <w:p>
      <w:pPr>
        <w:pStyle w:val="Heading3Numbered"/>
        <w:numPr>
          <w:ilvl w:val="2"/>
          <w:numId w:val="13"/>
        </w:numPr>
        <w:ind w:hanging="0" w:start="0"/>
        <w:rPr/>
      </w:pPr>
      <w:r>
        <w:rPr/>
        <w:t>Provide, manage and support the following software (including licenses) on the local workstations used in the delivery centers:</w:t>
      </w:r>
    </w:p>
    <w:p>
      <w:pPr>
        <w:pStyle w:val="BodyTextBullet"/>
        <w:numPr>
          <w:ilvl w:val="0"/>
          <w:numId w:val="18"/>
        </w:numPr>
        <w:rPr/>
      </w:pPr>
      <w:r>
        <w:rPr/>
        <w:t>Windows operating system</w:t>
      </w:r>
    </w:p>
    <w:p>
      <w:pPr>
        <w:pStyle w:val="BodyTextBullet"/>
        <w:numPr>
          <w:ilvl w:val="0"/>
          <w:numId w:val="18"/>
        </w:numPr>
        <w:rPr/>
      </w:pPr>
      <w:r>
        <w:rPr/>
        <w:t>Ms Office</w:t>
      </w:r>
    </w:p>
    <w:p>
      <w:pPr>
        <w:pStyle w:val="BodyTextBullet"/>
        <w:numPr>
          <w:ilvl w:val="0"/>
          <w:numId w:val="18"/>
        </w:numPr>
        <w:rPr/>
      </w:pPr>
      <w:r>
        <w:rPr/>
        <w:t>Symantec Anti-Virus</w:t>
      </w:r>
    </w:p>
    <w:p>
      <w:pPr>
        <w:pStyle w:val="BodyTextBullet"/>
        <w:numPr>
          <w:ilvl w:val="0"/>
          <w:numId w:val="18"/>
        </w:numPr>
        <w:rPr/>
      </w:pPr>
      <w:r>
        <w:rPr/>
        <w:t>Lotus Sametime</w:t>
      </w:r>
    </w:p>
    <w:p>
      <w:pPr>
        <w:pStyle w:val="BodyTextBullet"/>
        <w:numPr>
          <w:ilvl w:val="0"/>
          <w:numId w:val="18"/>
        </w:numPr>
        <w:rPr/>
      </w:pPr>
      <w:r>
        <w:rPr/>
        <w:t>Acrobat Reader</w:t>
      </w:r>
    </w:p>
    <w:p>
      <w:pPr>
        <w:pStyle w:val="BodyTextBullet"/>
        <w:numPr>
          <w:ilvl w:val="0"/>
          <w:numId w:val="18"/>
        </w:numPr>
        <w:rPr/>
      </w:pPr>
      <w:r>
        <w:rPr/>
        <w:t>Internet Explorer</w:t>
      </w:r>
    </w:p>
    <w:p>
      <w:pPr>
        <w:pStyle w:val="BodyTextBullet"/>
        <w:numPr>
          <w:ilvl w:val="0"/>
          <w:numId w:val="18"/>
        </w:numPr>
        <w:rPr/>
      </w:pPr>
      <w:r>
        <w:rPr/>
        <w:t>Savvion workflow tool</w:t>
      </w:r>
    </w:p>
    <w:p>
      <w:pPr>
        <w:pStyle w:val="BodyTextBullet"/>
        <w:numPr>
          <w:ilvl w:val="0"/>
          <w:numId w:val="18"/>
        </w:numPr>
        <w:rPr/>
      </w:pPr>
      <w:r>
        <w:rPr/>
        <w:t>Service Provider intranet - web based</w:t>
      </w:r>
    </w:p>
    <w:p>
      <w:pPr>
        <w:pStyle w:val="BodyTextBullet"/>
        <w:numPr>
          <w:ilvl w:val="0"/>
          <w:numId w:val="18"/>
        </w:numPr>
        <w:rPr/>
      </w:pPr>
      <w:r>
        <w:rPr/>
        <w:t>Service Provider eLearning - web based</w:t>
      </w:r>
    </w:p>
    <w:p>
      <w:pPr>
        <w:pStyle w:val="BodyTextBullet"/>
        <w:numPr>
          <w:ilvl w:val="0"/>
          <w:numId w:val="18"/>
        </w:numPr>
        <w:rPr/>
      </w:pPr>
      <w:r>
        <w:rPr/>
        <w:t>Bandit application (helpdesk ticket system, meeting room booking, other team related information) - web based</w:t>
      </w:r>
    </w:p>
    <w:p>
      <w:pPr>
        <w:pStyle w:val="BodyTextBullet"/>
        <w:numPr>
          <w:ilvl w:val="0"/>
          <w:numId w:val="18"/>
        </w:numPr>
        <w:rPr/>
      </w:pPr>
      <w:r>
        <w:rPr/>
        <w:t>FaxUtil (client server application, for the fax server solution)</w:t>
      </w:r>
    </w:p>
    <w:p>
      <w:pPr>
        <w:pStyle w:val="Heading3Numbered"/>
        <w:numPr>
          <w:ilvl w:val="2"/>
          <w:numId w:val="13"/>
        </w:numPr>
        <w:ind w:hanging="0" w:start="0"/>
        <w:rPr/>
      </w:pPr>
      <w:r>
        <w:rPr/>
        <w:t>Install or support installation (based on the documentation provided by GlobalPharma) of the following applications on own machines considering GlobalPharma 3rd party security/compliance regulations and sizing recommendations, support own infrastructure and manage Disaster Recovery and Service/Business Continuity</w:t>
      </w:r>
    </w:p>
    <w:p>
      <w:pPr>
        <w:pStyle w:val="BodyTextBullet"/>
        <w:numPr>
          <w:ilvl w:val="0"/>
          <w:numId w:val="18"/>
        </w:numPr>
        <w:rPr/>
      </w:pPr>
      <w:r>
        <w:rPr/>
        <w:t>E-mail client (Lotus Notes)</w:t>
      </w:r>
    </w:p>
    <w:p>
      <w:pPr>
        <w:pStyle w:val="BodyTextBullet"/>
        <w:numPr>
          <w:ilvl w:val="0"/>
          <w:numId w:val="18"/>
        </w:numPr>
        <w:rPr/>
      </w:pPr>
      <w:r>
        <w:rPr/>
        <w:t>SAP GUI</w:t>
      </w:r>
    </w:p>
    <w:p>
      <w:pPr>
        <w:pStyle w:val="BodyTextBullet"/>
        <w:numPr>
          <w:ilvl w:val="0"/>
          <w:numId w:val="18"/>
        </w:numPr>
        <w:rPr/>
      </w:pPr>
      <w:r>
        <w:rPr/>
        <w:t>Any other needed business applications necessary to deliver the Services as defined in Exhibits 2.1 et seq.</w:t>
      </w:r>
    </w:p>
    <w:p>
      <w:pPr>
        <w:pStyle w:val="Heading3Numbered"/>
        <w:numPr>
          <w:ilvl w:val="2"/>
          <w:numId w:val="13"/>
        </w:numPr>
        <w:ind w:hanging="0" w:start="0"/>
        <w:rPr/>
      </w:pPr>
      <w:r>
        <w:rPr>
          <w:iCs/>
        </w:rPr>
        <w:t>Maintain the SAP Gui and any software that has to be installed on the local hard drives at the Service Provider side (on 1st level) based on the documentation and instructions prepared by GlobalPharma, for that GlobalPharma will</w:t>
      </w:r>
      <w:r>
        <w:rPr/>
      </w:r>
    </w:p>
    <w:p>
      <w:pPr>
        <w:pStyle w:val="BodyTextBullet"/>
        <w:numPr>
          <w:ilvl w:val="0"/>
          <w:numId w:val="18"/>
        </w:numPr>
        <w:rPr/>
      </w:pPr>
      <w:r>
        <w:rPr/>
        <w:t>host all the applications at GlobalPharma data center and take responsibility for availability, up time and facilitate Service Provider accessing the applications remotely,</w:t>
      </w:r>
    </w:p>
    <w:p>
      <w:pPr>
        <w:pStyle w:val="BodyTextBullet"/>
        <w:numPr>
          <w:ilvl w:val="0"/>
          <w:numId w:val="18"/>
        </w:numPr>
        <w:rPr/>
      </w:pPr>
      <w:r>
        <w:rPr/>
        <w:t>ensure that all GlobalPharma owned applications would have an acceptable response time below 400 milliseconds network latency. If it turns out that this is not valid, then GlobalPharma will investigate to put the affected applications into a remote access solution (like Citrix) or terminal services.</w:t>
      </w:r>
    </w:p>
    <w:p>
      <w:pPr>
        <w:pStyle w:val="BodyTextBullet"/>
        <w:numPr>
          <w:ilvl w:val="0"/>
          <w:numId w:val="18"/>
        </w:numPr>
        <w:rPr/>
      </w:pPr>
      <w:r>
        <w:rPr/>
        <w:t>ensure a test availability of GlobalPharma systems to be accessed via WAN and thoroughly test and map the applications against the business process SLA’s,</w:t>
      </w:r>
    </w:p>
    <w:p>
      <w:pPr>
        <w:pStyle w:val="BodyTextBullet"/>
        <w:numPr>
          <w:ilvl w:val="0"/>
          <w:numId w:val="18"/>
        </w:numPr>
        <w:rPr/>
      </w:pPr>
      <w:r>
        <w:rPr/>
        <w:t>allow appropriate application access at their firewalls for Service Provider associates to access all business related applications,</w:t>
      </w:r>
    </w:p>
    <w:p>
      <w:pPr>
        <w:pStyle w:val="BodyTextBullet"/>
        <w:numPr>
          <w:ilvl w:val="0"/>
          <w:numId w:val="18"/>
        </w:numPr>
        <w:rPr/>
      </w:pPr>
      <w:r>
        <w:rPr/>
        <w:t>provide all GlobalPharma in scope application licenses,</w:t>
      </w:r>
    </w:p>
    <w:p>
      <w:pPr>
        <w:pStyle w:val="BodyTextBullet"/>
        <w:numPr>
          <w:ilvl w:val="0"/>
          <w:numId w:val="18"/>
        </w:numPr>
        <w:rPr/>
      </w:pPr>
      <w:r>
        <w:rPr/>
        <w:t>provide installation kit and user manual for GlobalPharma specific applications,</w:t>
      </w:r>
    </w:p>
    <w:p>
      <w:pPr>
        <w:pStyle w:val="BodyTextBullet"/>
        <w:numPr>
          <w:ilvl w:val="0"/>
          <w:numId w:val="18"/>
        </w:numPr>
        <w:rPr>
          <w:rFonts w:ascii="Arial Unicode MS" w:hAnsi="Arial Unicode MS" w:eastAsia="Arial Unicode MS" w:cs="Arial Unicode MS"/>
          <w:bCs/>
          <w:szCs w:val="22"/>
        </w:rPr>
      </w:pPr>
      <w:r>
        <w:rPr/>
        <w:t>provide remote support for GlobalPharma systems/services.</w:t>
      </w:r>
    </w:p>
    <w:p>
      <w:pPr>
        <w:pStyle w:val="Heading3Numbered"/>
        <w:numPr>
          <w:ilvl w:val="2"/>
          <w:numId w:val="13"/>
        </w:numPr>
        <w:ind w:hanging="0" w:start="0"/>
        <w:rPr/>
      </w:pPr>
      <w:r>
        <w:rPr/>
        <w:t>Use “@GlobalPharma.com” e-mail addresses for all GlobalPharma business related communication, for which GlobalPharma has to create the e-mail accounts and provide access to the GlobalPharma e-mail server.</w:t>
      </w:r>
    </w:p>
    <w:p>
      <w:pPr>
        <w:pStyle w:val="Heading3Numbered"/>
        <w:numPr>
          <w:ilvl w:val="2"/>
          <w:numId w:val="13"/>
        </w:numPr>
        <w:ind w:hanging="0" w:start="0"/>
        <w:rPr/>
      </w:pPr>
      <w:r>
        <w:rPr/>
        <w:t>Implement Savvion workflow system for UK Accounts Payables or use GlobalPharma existing (all other locations in scope) workflow management systems.</w:t>
      </w:r>
    </w:p>
    <w:p>
      <w:pPr>
        <w:pStyle w:val="Heading3Numbered"/>
        <w:numPr>
          <w:ilvl w:val="2"/>
          <w:numId w:val="13"/>
        </w:numPr>
        <w:ind w:hanging="0" w:start="0"/>
        <w:rPr/>
      </w:pPr>
      <w:r>
        <w:rPr/>
        <w:t xml:space="preserve">Implement common reporting platform based on COGNOS, for which GlobalPharma will deliver the necessary export interfaces from the existing workflow systems and the Service Provider will deliver the import interfaces into the COGNOS system. </w:t>
      </w:r>
    </w:p>
    <w:p>
      <w:pPr>
        <w:pStyle w:val="Heading2Numbered"/>
        <w:numPr>
          <w:ilvl w:val="1"/>
          <w:numId w:val="13"/>
        </w:numPr>
        <w:ind w:hanging="0" w:start="0"/>
        <w:rPr/>
      </w:pPr>
      <w:bookmarkStart w:id="5" w:name="__RefHeading___Toc157780663"/>
      <w:bookmarkEnd w:id="5"/>
      <w:r>
        <w:rPr/>
        <w:t>Voice solution</w:t>
      </w:r>
    </w:p>
    <w:p>
      <w:pPr>
        <w:pStyle w:val="Heading3Numbered"/>
        <w:numPr>
          <w:ilvl w:val="2"/>
          <w:numId w:val="13"/>
        </w:numPr>
        <w:ind w:hanging="0" w:start="0"/>
        <w:rPr/>
      </w:pPr>
      <w:r>
        <w:rPr/>
        <w:t>The Service Provider’s responsibilities include, but are not limited to:</w:t>
      </w:r>
    </w:p>
    <w:p>
      <w:pPr>
        <w:pStyle w:val="Heading3Numbered"/>
        <w:numPr>
          <w:ilvl w:val="2"/>
          <w:numId w:val="13"/>
        </w:numPr>
        <w:ind w:hanging="0" w:start="0"/>
        <w:rPr/>
      </w:pPr>
      <w:r>
        <w:rPr/>
        <w:t xml:space="preserve">Provide shared Avaya voice switch (Avaya S8700) of Service Provider for automatic call distribution to agents. </w:t>
      </w:r>
    </w:p>
    <w:p>
      <w:pPr>
        <w:pStyle w:val="Heading3Numbered"/>
        <w:numPr>
          <w:ilvl w:val="2"/>
          <w:numId w:val="13"/>
        </w:numPr>
        <w:ind w:hanging="0" w:start="0"/>
        <w:rPr/>
      </w:pPr>
      <w:r>
        <w:rPr/>
        <w:t>Provide standard call monitoring reports using its shared CMS server that will be kept in the Service Provider corporate shared network. This CMS server is based out of India/ Romania.</w:t>
      </w:r>
    </w:p>
    <w:p>
      <w:pPr>
        <w:pStyle w:val="Heading3Numbered"/>
        <w:numPr>
          <w:ilvl w:val="2"/>
          <w:numId w:val="13"/>
        </w:numPr>
        <w:ind w:hanging="0" w:start="0"/>
        <w:rPr/>
      </w:pPr>
      <w:r>
        <w:rPr/>
        <w:t xml:space="preserve">Use Service Provider shared TDM. Infrastructure for incoming/outgoing calls over shared DS3 bandwidth of Service Provider, for which GlobalPharma will </w:t>
      </w:r>
    </w:p>
    <w:p>
      <w:pPr>
        <w:pStyle w:val="BodyTextBullet"/>
        <w:numPr>
          <w:ilvl w:val="0"/>
          <w:numId w:val="18"/>
        </w:numPr>
        <w:rPr/>
      </w:pPr>
      <w:r>
        <w:rPr/>
        <w:t>Provide the new (or use the existing) DID define / toll free numbers for calling the associates at Service Provider,</w:t>
      </w:r>
    </w:p>
    <w:p>
      <w:pPr>
        <w:pStyle w:val="BodyTextBullet"/>
        <w:numPr>
          <w:ilvl w:val="0"/>
          <w:numId w:val="18"/>
        </w:numPr>
        <w:rPr/>
      </w:pPr>
      <w:r>
        <w:rPr/>
        <w:t>Provide the voice connectivity to Service Provider POP at Dallas / Cincinnati and Belfast / Dublin from where the voice will be transported to Service Provider delivery centers using the connectivity provided by Service Provider between its delivery centers and POP at US and UK,</w:t>
      </w:r>
    </w:p>
    <w:p>
      <w:pPr>
        <w:pStyle w:val="BodyTextBullet"/>
        <w:numPr>
          <w:ilvl w:val="0"/>
          <w:numId w:val="18"/>
        </w:numPr>
        <w:rPr/>
      </w:pPr>
      <w:r>
        <w:rPr/>
        <w:t>Terminate voice T1’s from Service Provider network to Service Provider Cincinnati / Dallas POP’s at US and Belfast / Dublin POP at UK for GlobalPharma inbound toll free or DID numbers ,</w:t>
      </w:r>
    </w:p>
    <w:p>
      <w:pPr>
        <w:pStyle w:val="BodyTextBullet"/>
        <w:numPr>
          <w:ilvl w:val="0"/>
          <w:numId w:val="18"/>
        </w:numPr>
        <w:rPr/>
      </w:pPr>
      <w:r>
        <w:rPr/>
        <w:t>Provide the new (or use the existing) DID / toll free numbers and routing the calls to Romania.</w:t>
      </w:r>
    </w:p>
    <w:p>
      <w:pPr>
        <w:pStyle w:val="Heading3Numbered"/>
        <w:numPr>
          <w:ilvl w:val="2"/>
          <w:numId w:val="13"/>
        </w:numPr>
        <w:ind w:hanging="0" w:start="0"/>
        <w:rPr/>
      </w:pPr>
      <w:r>
        <w:rPr/>
        <w:t>Receive faxes by the RightFax server provided by Service Provider. This server is able to send/receive faxes from different phone numbers and store them on the local file server.</w:t>
      </w:r>
    </w:p>
    <w:p>
      <w:pPr>
        <w:pStyle w:val="Heading3Numbered"/>
        <w:numPr>
          <w:ilvl w:val="2"/>
          <w:numId w:val="13"/>
        </w:numPr>
        <w:ind w:hanging="0" w:start="0"/>
        <w:rPr/>
      </w:pPr>
      <w:r>
        <w:rPr/>
        <w:t xml:space="preserve">Provide Voicemail as a part of shared infrastructure. Voicemail server will be based in Romania/ India. Announcements for voicemail would be provided by GlobalPharma. </w:t>
      </w:r>
    </w:p>
    <w:p>
      <w:pPr>
        <w:pStyle w:val="Heading3Numbered"/>
        <w:numPr>
          <w:ilvl w:val="2"/>
          <w:numId w:val="13"/>
        </w:numPr>
        <w:ind w:hanging="0" w:start="0"/>
        <w:rPr/>
      </w:pPr>
      <w:r>
        <w:rPr/>
        <w:t>Provide, maintain and manage the Romanian DID numbers.</w:t>
      </w:r>
    </w:p>
    <w:p>
      <w:pPr>
        <w:pStyle w:val="Heading2Numbered"/>
        <w:numPr>
          <w:ilvl w:val="1"/>
          <w:numId w:val="13"/>
        </w:numPr>
        <w:ind w:hanging="0" w:start="0"/>
        <w:rPr/>
      </w:pPr>
      <w:bookmarkStart w:id="6" w:name="__RefHeading___Toc157780664"/>
      <w:bookmarkEnd w:id="6"/>
      <w:r>
        <w:rPr/>
        <w:t>Costing Aspects</w:t>
      </w:r>
    </w:p>
    <w:p>
      <w:pPr>
        <w:pStyle w:val="Heading3Numbered"/>
        <w:numPr>
          <w:ilvl w:val="2"/>
          <w:numId w:val="13"/>
        </w:numPr>
        <w:ind w:hanging="0" w:start="0"/>
        <w:rPr/>
      </w:pPr>
      <w:r>
        <w:rPr/>
        <w:t>One-time costs, included in the base charge of the Service Provider</w:t>
      </w:r>
    </w:p>
    <w:p>
      <w:pPr>
        <w:pStyle w:val="BodyTextBullet"/>
        <w:numPr>
          <w:ilvl w:val="0"/>
          <w:numId w:val="18"/>
        </w:numPr>
        <w:rPr/>
      </w:pPr>
      <w:r>
        <w:rPr/>
        <w:t>Set up &amp; support the Service Provider shared infrastructure (servers, printers, phone system, faxing solution, etc.),</w:t>
      </w:r>
    </w:p>
    <w:p>
      <w:pPr>
        <w:pStyle w:val="BodyTextBullet"/>
        <w:numPr>
          <w:ilvl w:val="0"/>
          <w:numId w:val="18"/>
        </w:numPr>
        <w:rPr/>
      </w:pPr>
      <w:r>
        <w:rPr/>
        <w:t>Provision and support GlobalPharma dedicated desktops and phones (Dell PC, Avaya IP phone),</w:t>
      </w:r>
    </w:p>
    <w:p>
      <w:pPr>
        <w:pStyle w:val="BodyTextBullet"/>
        <w:numPr>
          <w:ilvl w:val="0"/>
          <w:numId w:val="18"/>
        </w:numPr>
        <w:rPr/>
      </w:pPr>
      <w:r>
        <w:rPr/>
        <w:t xml:space="preserve">Responsibility for network connectivity from the nearest BT POPs from Zurich and East Hanover until Service Provider delivery locations, </w:t>
      </w:r>
    </w:p>
    <w:p>
      <w:pPr>
        <w:pStyle w:val="BodyTextBullet"/>
        <w:numPr>
          <w:ilvl w:val="0"/>
          <w:numId w:val="18"/>
        </w:numPr>
        <w:rPr/>
      </w:pPr>
      <w:r>
        <w:rPr/>
        <w:t>Routing internally in the Service Provider network between different delivery locations,</w:t>
      </w:r>
    </w:p>
    <w:p>
      <w:pPr>
        <w:pStyle w:val="BodyTextBullet"/>
        <w:numPr>
          <w:ilvl w:val="0"/>
          <w:numId w:val="18"/>
        </w:numPr>
        <w:rPr>
          <w:b/>
          <w:bCs/>
        </w:rPr>
      </w:pPr>
      <w:r>
        <w:rPr/>
        <w:t>Setup the local phone and fax numbers in Bucharest,</w:t>
      </w:r>
    </w:p>
    <w:p>
      <w:pPr>
        <w:pStyle w:val="BodyTextBullet"/>
        <w:numPr>
          <w:ilvl w:val="0"/>
          <w:numId w:val="18"/>
        </w:numPr>
        <w:rPr/>
      </w:pPr>
      <w:r>
        <w:rPr/>
        <w:t xml:space="preserve">Setup the voice connectivity between Service Provider POPs and India Delivery centers, </w:t>
      </w:r>
    </w:p>
    <w:p>
      <w:pPr>
        <w:pStyle w:val="BodyTextBullet"/>
        <w:numPr>
          <w:ilvl w:val="0"/>
          <w:numId w:val="18"/>
        </w:numPr>
        <w:rPr/>
      </w:pPr>
      <w:r>
        <w:rPr/>
        <w:t>Implementation of the upload process (getting data from GlobalPharma systems) in Service Provider customer and reporting portal for service level management and reporting purposes.</w:t>
      </w:r>
    </w:p>
    <w:p>
      <w:pPr>
        <w:pStyle w:val="BodyTextBullet"/>
        <w:numPr>
          <w:ilvl w:val="0"/>
          <w:numId w:val="18"/>
        </w:numPr>
        <w:rPr/>
      </w:pPr>
      <w:r>
        <w:rPr/>
        <w:t>Creation of 5 Cognos reports per country, above that 200 EUR/annum ongoing per report will be charged to GlobalPharma</w:t>
      </w:r>
    </w:p>
    <w:p>
      <w:pPr>
        <w:pStyle w:val="BodyTextBullet"/>
        <w:numPr>
          <w:ilvl w:val="0"/>
          <w:numId w:val="18"/>
        </w:numPr>
        <w:rPr/>
      </w:pPr>
      <w:r>
        <w:rPr/>
        <w:t>Provision of Clarify licenses for problem management - 5 licenses for GlobalPharma and 10 licenses for ServicePro</w:t>
      </w:r>
    </w:p>
    <w:p>
      <w:pPr>
        <w:pStyle w:val="BodyTextBullet"/>
        <w:numPr>
          <w:ilvl w:val="0"/>
          <w:numId w:val="18"/>
        </w:numPr>
        <w:rPr/>
      </w:pPr>
      <w:r>
        <w:rPr/>
        <w:t xml:space="preserve">Provision of 20 Cognos report viewer licenses for GlobalPharma, and 10 licenses for ServicePro </w:t>
      </w:r>
    </w:p>
    <w:p>
      <w:pPr>
        <w:pStyle w:val="Heading3Numbered"/>
        <w:numPr>
          <w:ilvl w:val="2"/>
          <w:numId w:val="13"/>
        </w:numPr>
        <w:ind w:hanging="0" w:start="0"/>
        <w:rPr/>
      </w:pPr>
      <w:r>
        <w:rPr/>
        <w:t>One time costs, not contained in the base charge of the Service Provider are:</w:t>
      </w:r>
    </w:p>
    <w:p>
      <w:pPr>
        <w:pStyle w:val="BodyTextBullet"/>
        <w:numPr>
          <w:ilvl w:val="0"/>
          <w:numId w:val="18"/>
        </w:numPr>
        <w:rPr/>
      </w:pPr>
      <w:r>
        <w:rPr/>
        <w:t>Routing internally in the GlobalPharma network and provide network devices ( for example, Firewalls) from the last mile connection (between GlobalPharma network in Zurich and East Hanover and the nearest BT POP )</w:t>
      </w:r>
    </w:p>
    <w:p>
      <w:pPr>
        <w:pStyle w:val="BodyTextBullet"/>
        <w:numPr>
          <w:ilvl w:val="0"/>
          <w:numId w:val="18"/>
        </w:numPr>
        <w:rPr/>
      </w:pPr>
      <w:r>
        <w:rPr/>
        <w:t xml:space="preserve">Development of the required outputs in the ERP/Workflow systems for Service Provider to be able to report metrics (filetype and contents to be agreed mutually during Solution Identification (SOL ID) phase) </w:t>
      </w:r>
    </w:p>
    <w:p>
      <w:pPr>
        <w:pStyle w:val="BodyTextBullet"/>
        <w:numPr>
          <w:ilvl w:val="0"/>
          <w:numId w:val="18"/>
        </w:numPr>
        <w:rPr/>
      </w:pPr>
      <w:r>
        <w:rPr/>
        <w:t>Development of the upload interface of the scanned images to the GlobalPharma workflow systems.</w:t>
      </w:r>
    </w:p>
    <w:p>
      <w:pPr>
        <w:pStyle w:val="Heading3Numbered"/>
        <w:numPr>
          <w:ilvl w:val="2"/>
          <w:numId w:val="13"/>
        </w:numPr>
        <w:ind w:hanging="0" w:start="0"/>
        <w:rPr/>
      </w:pPr>
      <w:r>
        <w:rPr/>
        <w:t>Recurring Costs, included in the Base Charge of the Service Provider</w:t>
      </w:r>
    </w:p>
    <w:p>
      <w:pPr>
        <w:pStyle w:val="BodyTextBullet"/>
        <w:numPr>
          <w:ilvl w:val="0"/>
          <w:numId w:val="18"/>
        </w:numPr>
        <w:rPr/>
      </w:pPr>
      <w:r>
        <w:rPr/>
        <w:t>All annual maintenance costs related to Service Provider shared infrastructure</w:t>
      </w:r>
    </w:p>
    <w:p>
      <w:pPr>
        <w:pStyle w:val="BodyTextBullet"/>
        <w:numPr>
          <w:ilvl w:val="0"/>
          <w:numId w:val="18"/>
        </w:numPr>
        <w:rPr/>
      </w:pPr>
      <w:r>
        <w:rPr/>
        <w:t>Telephone costs from the Service Provider POPs to India</w:t>
      </w:r>
    </w:p>
    <w:p>
      <w:pPr>
        <w:pStyle w:val="BodyTextBullet"/>
        <w:numPr>
          <w:ilvl w:val="0"/>
          <w:numId w:val="18"/>
        </w:numPr>
        <w:rPr>
          <w:b/>
          <w:bCs/>
        </w:rPr>
      </w:pPr>
      <w:r>
        <w:rPr/>
        <w:t>Maintenance and support the local phone and fax numbers in Bucharest</w:t>
      </w:r>
    </w:p>
    <w:p>
      <w:pPr>
        <w:pStyle w:val="BodyTextBullet"/>
        <w:numPr>
          <w:ilvl w:val="0"/>
          <w:numId w:val="18"/>
        </w:numPr>
        <w:rPr/>
      </w:pPr>
      <w:r>
        <w:rPr/>
        <w:t>Provision and support the licenses of standard desktop applications (Windows, MS Office, Antivirus, Service Provider e-mail, etc.)</w:t>
      </w:r>
    </w:p>
    <w:p>
      <w:pPr>
        <w:pStyle w:val="BodyTextBullet"/>
        <w:numPr>
          <w:ilvl w:val="0"/>
          <w:numId w:val="18"/>
        </w:numPr>
        <w:rPr/>
      </w:pPr>
      <w:r>
        <w:rPr/>
        <w:t>Provision of workflow tool and archiving for the UK scope</w:t>
      </w:r>
    </w:p>
    <w:p>
      <w:pPr>
        <w:pStyle w:val="BodyTextBullet"/>
        <w:numPr>
          <w:ilvl w:val="0"/>
          <w:numId w:val="18"/>
        </w:numPr>
        <w:rPr/>
      </w:pPr>
      <w:r>
        <w:rPr/>
        <w:t>Provision of scanning solutions for the following countries: UK, France, Spain, Italy and Germany.</w:t>
      </w:r>
    </w:p>
    <w:p>
      <w:pPr>
        <w:pStyle w:val="Heading3Numbered"/>
        <w:numPr>
          <w:ilvl w:val="2"/>
          <w:numId w:val="13"/>
        </w:numPr>
        <w:ind w:hanging="0" w:start="0"/>
        <w:rPr/>
      </w:pPr>
      <w:r>
        <w:rPr/>
        <w:t>Recurring Costs, not included in the base charge of the Service Provider</w:t>
      </w:r>
    </w:p>
    <w:p>
      <w:pPr>
        <w:pStyle w:val="BodyTextBullet"/>
        <w:numPr>
          <w:ilvl w:val="0"/>
          <w:numId w:val="18"/>
        </w:numPr>
        <w:rPr/>
      </w:pPr>
      <w:r>
        <w:rPr/>
        <w:t>Recurring maintenance and test costs for all GlobalPharma infrastructure elements</w:t>
      </w:r>
    </w:p>
    <w:p>
      <w:pPr>
        <w:pStyle w:val="BodyTextBullet"/>
        <w:numPr>
          <w:ilvl w:val="0"/>
          <w:numId w:val="18"/>
        </w:numPr>
        <w:rPr/>
      </w:pPr>
      <w:r>
        <w:rPr/>
        <w:t xml:space="preserve">Transfer costs of the Direct Inbound Dialing (DID) numbers heading for India of the outsourced organizations / toll free numbers to the Service Provider POP at Dallas / Cincinnati for the US and Dublin / Belfast for the UK </w:t>
      </w:r>
    </w:p>
    <w:p>
      <w:pPr>
        <w:pStyle w:val="BodyTextBullet"/>
        <w:numPr>
          <w:ilvl w:val="0"/>
          <w:numId w:val="18"/>
        </w:numPr>
        <w:rPr/>
      </w:pPr>
      <w:r>
        <w:rPr/>
        <w:t>Country internal calling costs for diversion to the Service Provider POP.</w:t>
      </w:r>
    </w:p>
    <w:p>
      <w:pPr>
        <w:pStyle w:val="BodyTextBullet"/>
        <w:numPr>
          <w:ilvl w:val="0"/>
          <w:numId w:val="18"/>
        </w:numPr>
        <w:rPr/>
      </w:pPr>
      <w:r>
        <w:rPr/>
        <w:t>Outgoing (Service Provider to GlobalPharma  / business partners of GlobalPharma) PSTN charges from US / UK POP.</w:t>
      </w:r>
    </w:p>
    <w:p>
      <w:pPr>
        <w:pStyle w:val="BodyTextBullet"/>
        <w:numPr>
          <w:ilvl w:val="0"/>
          <w:numId w:val="18"/>
        </w:numPr>
        <w:rPr/>
      </w:pPr>
      <w:r>
        <w:rPr/>
        <w:t xml:space="preserve">Maintenance and support of the (existing) local phone and fax numbers, and setting up a fixed voice line connectivity to Service Provider POPs in UK and US. Route the local calls to Service Provider </w:t>
      </w:r>
    </w:p>
    <w:p>
      <w:pPr>
        <w:pStyle w:val="BodyTextBullet"/>
        <w:numPr>
          <w:ilvl w:val="0"/>
          <w:numId w:val="18"/>
        </w:numPr>
        <w:rPr/>
      </w:pPr>
      <w:r>
        <w:rPr/>
        <w:t>Outgoing PSTN (service provider to GlobalPharma / business partners of GlobalPharma) charges</w:t>
      </w:r>
    </w:p>
    <w:p>
      <w:pPr>
        <w:pStyle w:val="BodyTextBullet"/>
        <w:numPr>
          <w:ilvl w:val="0"/>
          <w:numId w:val="18"/>
        </w:numPr>
        <w:rPr/>
      </w:pPr>
      <w:r>
        <w:rPr/>
        <w:t>Maintenance and support the (existing) local phone and fax numbers and take the responsibility for routing the calls to Bucharest (routing costs to be borne by GlobalPharma)</w:t>
      </w:r>
    </w:p>
    <w:p>
      <w:pPr>
        <w:pStyle w:val="BodyTextBullet"/>
        <w:numPr>
          <w:ilvl w:val="0"/>
          <w:numId w:val="18"/>
        </w:numPr>
        <w:spacing w:before="120" w:after="120"/>
        <w:rPr/>
      </w:pPr>
      <w:r>
        <w:rPr/>
        <w:t>Provision and support of the licenses of all GlobalPharma specific applications (like Lotus Notes, Ariba, IXOS, SAP, and any other local business application).</w:t>
      </w:r>
    </w:p>
    <w:sectPr>
      <w:headerReference w:type="default" r:id="rId5"/>
      <w:headerReference w:type="first" r:id="rId6"/>
      <w:footerReference w:type="default" r:id="rId7"/>
      <w:footerReference w:type="first" r:id="rId8"/>
      <w:type w:val="nextPage"/>
      <w:pgSz w:w="12240" w:h="15840"/>
      <w:pgMar w:left="1440" w:right="1440" w:gutter="0" w:header="708" w:top="1729" w:footer="708" w:bottom="172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Sabon">
    <w:charset w:val="00" w:characterSet="windows-1252"/>
    <w:family w:val="roman"/>
    <w:pitch w:val="variable"/>
  </w:font>
  <w:font w:name="Arial Unicode MS">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E-8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p>
    <w:pPr>
      <w:pStyle w:val="Footer"/>
      <w:tabs>
        <w:tab w:val="clear" w:pos="7200"/>
        <w:tab w:val="center" w:pos="4680" w:leader="none"/>
        <w:tab w:val="right" w:pos="9180" w:leader="none"/>
        <w:tab w:val="right" w:pos="14400" w:leader="none"/>
      </w:tabs>
      <w:spacing w:before="120" w:after="120"/>
      <w:rPr/>
    </w:pPr>
    <w:r>
      <w:rPr/>
      <w:t xml:space="preserve">GlobalPharma </w:t>
      <w:tab/>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E-8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p>
    <w:pPr>
      <w:pStyle w:val="Footer"/>
      <w:tabs>
        <w:tab w:val="clear" w:pos="7200"/>
        <w:tab w:val="center" w:pos="4680" w:leader="none"/>
        <w:tab w:val="right" w:pos="9180" w:leader="none"/>
        <w:tab w:val="right" w:pos="14400" w:leader="none"/>
      </w:tabs>
      <w:spacing w:before="120" w:after="120"/>
      <w:rPr/>
    </w:pPr>
    <w:r>
      <w:rPr/>
      <w:t xml:space="preserve">GlobalPharma </w:t>
      <w:tab/>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3">
          <wp:simplePos x="0" y="0"/>
          <wp:positionH relativeFrom="column">
            <wp:posOffset>4719320</wp:posOffset>
          </wp:positionH>
          <wp:positionV relativeFrom="paragraph">
            <wp:posOffset>-29845</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p>
    <w:pPr>
      <w:pStyle w:val="Header"/>
      <w:spacing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22">
          <wp:simplePos x="0" y="0"/>
          <wp:positionH relativeFrom="column">
            <wp:posOffset>4719320</wp:posOffset>
          </wp:positionH>
          <wp:positionV relativeFrom="paragraph">
            <wp:posOffset>-29845</wp:posOffset>
          </wp:positionV>
          <wp:extent cx="1028700" cy="385445"/>
          <wp:effectExtent l="0" t="0" r="0" b="0"/>
          <wp:wrapNone/>
          <wp:docPr id="4"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p>
    <w:pPr>
      <w:pStyle w:val="Header"/>
      <w:spacing w:before="12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bullet"/>
      <w:lvlText w:val=""/>
      <w:lvlJc w:val="start"/>
      <w:pPr>
        <w:tabs>
          <w:tab w:val="num" w:pos="1440"/>
        </w:tabs>
        <w:ind w:start="1440" w:hanging="360"/>
      </w:pPr>
      <w:rPr>
        <w:rFonts w:ascii="Symbol" w:hAnsi="Symbol" w:cs="Symbol" w:hint="default"/>
      </w:rPr>
    </w:lvl>
  </w:abstractNum>
  <w:abstractNum w:abstractNumId="11">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2">
    <w:lvl w:ilvl="0">
      <w:start w:val="1"/>
      <w:numFmt w:val="bullet"/>
      <w:lvlText w:val=""/>
      <w:lvlJc w:val="start"/>
      <w:pPr>
        <w:tabs>
          <w:tab w:val="num" w:pos="1800"/>
        </w:tabs>
        <w:ind w:start="180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lvl>
    <w:lvl w:ilvl="3">
      <w:start w:val="1"/>
      <w:numFmt w:val="decimal"/>
      <w:lvlText w:val="%1.%2.%3.%4"/>
      <w:lvlJc w:val="start"/>
      <w:pPr>
        <w:tabs>
          <w:tab w:val="num" w:pos="1296"/>
        </w:tabs>
        <w:ind w:start="1296" w:hanging="1296"/>
      </w:pPr>
      <w:rPr>
        <w:sz w:val="24"/>
        <w:i w:val="false"/>
        <w:b/>
        <w:rFonts w:ascii="Times New Roman Bold;Times New Roman" w:hAnsi="Times New Roman Bold;Times New Roman" w:cs="Times New Roman Bold;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1440"/>
        </w:tabs>
        <w:ind w:start="1440" w:hanging="360"/>
      </w:pPr>
      <w:rPr>
        <w:rFonts w:ascii="Symbol" w:hAnsi="Symbol" w:cs="Symbol" w:hint="default"/>
      </w:rPr>
    </w:lvl>
  </w:abstractNum>
  <w:abstractNum w:abstractNumId="18">
    <w:lvl w:ilvl="0">
      <w:start w:val="1"/>
      <w:numFmt w:val="bullet"/>
      <w:lvlText w:val=""/>
      <w:lvlJc w:val="start"/>
      <w:pPr>
        <w:tabs>
          <w:tab w:val="num" w:pos="1627"/>
        </w:tabs>
        <w:ind w:start="1627" w:hanging="547"/>
      </w:pPr>
      <w:rPr>
        <w:rFonts w:ascii="Symbol" w:hAnsi="Symbol" w:cs="Symbol" w:hint="default"/>
      </w:rPr>
    </w:lvl>
  </w:abstractNum>
  <w:abstractNum w:abstractNumId="19">
    <w:lvl w:ilvl="0">
      <w:start w:val="1"/>
      <w:numFmt w:val="bullet"/>
      <w:lvlText w:val=""/>
      <w:lvlJc w:val="start"/>
      <w:pPr>
        <w:tabs>
          <w:tab w:val="num" w:pos="2160"/>
        </w:tabs>
        <w:ind w:start="2160" w:hanging="533"/>
      </w:pPr>
      <w:rPr>
        <w:rFonts w:ascii="Symbol" w:hAnsi="Symbol" w:cs="Symbol" w:hint="default"/>
      </w:rPr>
    </w:lvl>
  </w:abstractNum>
  <w:abstractNum w:abstractNumId="20">
    <w:lvl w:ilvl="0">
      <w:start w:val="1"/>
      <w:numFmt w:val="bullet"/>
      <w:lvlText w:val=""/>
      <w:lvlJc w:val="start"/>
      <w:pPr>
        <w:tabs>
          <w:tab w:val="num" w:pos="3240"/>
        </w:tabs>
        <w:ind w:start="3240" w:hanging="533"/>
      </w:pPr>
      <w:rPr>
        <w:rFonts w:ascii="Symbol" w:hAnsi="Symbol" w:cs="Symbol" w:hint="default"/>
      </w:rPr>
    </w:lvl>
  </w:abstractNum>
  <w:abstractNum w:abstractNumId="21">
    <w:lvl w:ilvl="0">
      <w:start w:val="1"/>
      <w:numFmt w:val="decimal"/>
      <w:lvlText w:val="%1."/>
      <w:lvlJc w:val="start"/>
      <w:pPr>
        <w:tabs>
          <w:tab w:val="num" w:pos="504"/>
        </w:tabs>
        <w:ind w:start="504" w:hanging="504"/>
      </w:pPr>
      <w:rPr>
        <w:sz w:val="28"/>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0"/>
        <w:numId w:val="21"/>
      </w:numPr>
      <w:outlineLvl w:val="1"/>
    </w:pPr>
    <w:rPr>
      <w:bCs w:val="false"/>
      <w:iCs/>
      <w:caps w:val="false"/>
      <w:smallCaps w:val="false"/>
      <w:szCs w:val="28"/>
    </w:rPr>
  </w:style>
  <w:style w:type="paragraph" w:styleId="Heading3">
    <w:name w:val="heading 3"/>
    <w:basedOn w:val="Heading2"/>
    <w:next w:val="TableText"/>
    <w:qFormat/>
    <w:pPr>
      <w:numPr>
        <w:ilvl w:val="0"/>
        <w:numId w:val="21"/>
      </w:numPr>
      <w:outlineLvl w:val="2"/>
    </w:pPr>
    <w:rPr>
      <w:bCs/>
      <w:sz w:val="24"/>
      <w:szCs w:val="26"/>
    </w:rPr>
  </w:style>
  <w:style w:type="paragraph" w:styleId="Heading4">
    <w:name w:val="heading 4"/>
    <w:basedOn w:val="Heading3"/>
    <w:next w:val="TableText"/>
    <w:qFormat/>
    <w:pPr>
      <w:numPr>
        <w:ilvl w:val="0"/>
        <w:numId w:val="21"/>
      </w:numPr>
      <w:outlineLvl w:val="3"/>
    </w:pPr>
    <w:rPr>
      <w:bCs w:val="false"/>
      <w:i/>
      <w:szCs w:val="28"/>
    </w:rPr>
  </w:style>
  <w:style w:type="paragraph" w:styleId="Heading5">
    <w:name w:val="heading 5"/>
    <w:basedOn w:val="Normal"/>
    <w:next w:val="Normal"/>
    <w:qFormat/>
    <w:pPr>
      <w:keepNext w:val="true"/>
      <w:numPr>
        <w:ilvl w:val="4"/>
        <w:numId w:val="1"/>
      </w:numPr>
      <w:jc w:val="center"/>
      <w:outlineLvl w:val="4"/>
    </w:pPr>
    <w:rPr>
      <w:b/>
      <w:bCs/>
      <w:sz w:val="18"/>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Bold;Times New Roman" w:hAnsi="Times New Roman Bold;Times New Roman" w:cs="Times New Roman Bold;Times New Roman"/>
      <w:b/>
      <w:i w:val="false"/>
      <w:sz w:val="28"/>
    </w:rPr>
  </w:style>
  <w:style w:type="character" w:styleId="WW8Num12z2">
    <w:name w:val="WW8Num12z2"/>
    <w:qFormat/>
    <w:rPr>
      <w:rFonts w:ascii="Symbol" w:hAnsi="Symbol" w:cs="Symbol"/>
      <w:b/>
      <w:i w:val="false"/>
      <w:sz w:val="28"/>
    </w:rPr>
  </w:style>
  <w:style w:type="character" w:styleId="WW8Num12z3">
    <w:name w:val="WW8Num12z3"/>
    <w:qFormat/>
    <w:rPr>
      <w:rFonts w:ascii="Times New Roman Bold;Times New Roman" w:hAnsi="Times New Roman Bold;Times New Roman" w:cs="Times New Roman Bold;Times New Roman"/>
      <w:b/>
      <w:i w:val="false"/>
      <w:sz w:val="24"/>
    </w:rPr>
  </w:style>
  <w:style w:type="character" w:styleId="WW8Num12z4">
    <w:name w:val="WW8Num12z4"/>
    <w:qFormat/>
    <w:rPr>
      <w:rFonts w:ascii="Times New Roman Bold;Times New Roman" w:hAnsi="Times New Roman Bold;Times New Roman" w:cs="Times New Roman Bold;Times New Roman"/>
      <w:b/>
      <w:i w:val="false"/>
      <w:sz w:val="22"/>
      <w:szCs w:val="22"/>
    </w:rPr>
  </w:style>
  <w:style w:type="character" w:styleId="WW8Num12z5">
    <w:name w:val="WW8Num12z5"/>
    <w:qFormat/>
    <w:rPr>
      <w:rFonts w:ascii="Times New Roman" w:hAnsi="Times New Roman" w:cs="Times New Roman"/>
      <w:b w:val="false"/>
      <w:i w:val="false"/>
      <w:sz w:val="22"/>
    </w:rPr>
  </w:style>
  <w:style w:type="character" w:styleId="WW8Num12z8">
    <w:name w:val="WW8Num12z8"/>
    <w:qFormat/>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3">
    <w:name w:val="WW8Num13z3"/>
    <w:qFormat/>
    <w:rPr>
      <w:rFonts w:ascii="Times New Roman Bold;Times New Roman" w:hAnsi="Times New Roman Bold;Times New Roman" w:cs="Times New Roman Bold;Times New Roman"/>
      <w:b/>
      <w:i w:val="false"/>
      <w:sz w:val="24"/>
    </w:rPr>
  </w:style>
  <w:style w:type="character" w:styleId="WW8Num13z4">
    <w:name w:val="WW8Num13z4"/>
    <w:qFormat/>
    <w:rPr>
      <w:rFonts w:ascii="Times New Roman Bold;Times New Roman" w:hAnsi="Times New Roman Bold;Times New Roman" w:cs="Times New Roman Bold;Times New Roman"/>
      <w:b/>
      <w:i w:val="false"/>
      <w:sz w:val="22"/>
      <w:szCs w:val="22"/>
    </w:rPr>
  </w:style>
  <w:style w:type="character" w:styleId="WW8Num13z5">
    <w:name w:val="WW8Num13z5"/>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Bold;Times New Roman" w:hAnsi="Times New Roman Bold;Times New Roman" w:cs="Times New Roman Bold;Times New Roman"/>
      <w:b/>
      <w:i w:val="false"/>
      <w:sz w:val="28"/>
    </w:rPr>
  </w:style>
  <w:style w:type="character" w:styleId="WW8Num15z2">
    <w:name w:val="WW8Num15z2"/>
    <w:qFormat/>
    <w:rPr>
      <w:rFonts w:ascii="Symbol" w:hAnsi="Symbol" w:cs="Symbol"/>
      <w:b/>
      <w:i w:val="false"/>
      <w:sz w:val="28"/>
    </w:rPr>
  </w:style>
  <w:style w:type="character" w:styleId="WW8Num15z3">
    <w:name w:val="WW8Num15z3"/>
    <w:qFormat/>
    <w:rPr>
      <w:rFonts w:ascii="Times New Roman Bold;Times New Roman" w:hAnsi="Times New Roman Bold;Times New Roman" w:cs="Times New Roman Bold;Times New Roman"/>
      <w:b/>
      <w:i w:val="false"/>
      <w:sz w:val="24"/>
    </w:rPr>
  </w:style>
  <w:style w:type="character" w:styleId="WW8Num15z4">
    <w:name w:val="WW8Num15z4"/>
    <w:qFormat/>
    <w:rPr>
      <w:rFonts w:ascii="Times New Roman Bold;Times New Roman" w:hAnsi="Times New Roman Bold;Times New Roman" w:cs="Times New Roman Bold;Times New Roman"/>
      <w:b/>
      <w:i w:val="false"/>
      <w:sz w:val="22"/>
      <w:szCs w:val="22"/>
    </w:rPr>
  </w:style>
  <w:style w:type="character" w:styleId="WW8Num15z7">
    <w:name w:val="WW8Num15z7"/>
    <w:qFormat/>
    <w:rPr>
      <w:rFonts w:ascii="Times New Roman" w:hAnsi="Times New Roman" w:cs="Times New Roman"/>
      <w:b w:val="false"/>
      <w:i w:val="false"/>
      <w:sz w:val="22"/>
    </w:rPr>
  </w:style>
  <w:style w:type="character" w:styleId="WW8Num15z8">
    <w:name w:val="WW8Num15z8"/>
    <w:qFormat/>
    <w:rPr/>
  </w:style>
  <w:style w:type="character" w:styleId="WW8Num16z0">
    <w:name w:val="WW8Num16z0"/>
    <w:qFormat/>
    <w:rPr>
      <w:rFonts w:ascii="Times New Roman Bold;Times New Roman" w:hAnsi="Times New Roman Bold;Times New Roman" w:cs="Times New Roman Bold;Times New Roman"/>
      <w:b/>
      <w:i w:val="false"/>
      <w:sz w:val="28"/>
    </w:rPr>
  </w:style>
  <w:style w:type="character" w:styleId="WW8Num16z2">
    <w:name w:val="WW8Num16z2"/>
    <w:qFormat/>
    <w:rPr>
      <w:rFonts w:ascii="Times New Roman" w:hAnsi="Times New Roman" w:cs="Times New Roman"/>
      <w:b/>
      <w:i w:val="false"/>
      <w:sz w:val="24"/>
    </w:rPr>
  </w:style>
  <w:style w:type="character" w:styleId="WW8Num16z4">
    <w:name w:val="WW8Num16z4"/>
    <w:qFormat/>
    <w:rPr>
      <w:rFonts w:ascii="Times New Roman" w:hAnsi="Times New Roman" w:cs="Times New Roman"/>
      <w:b w:val="false"/>
      <w:i w:val="false"/>
      <w:sz w:val="22"/>
    </w:rPr>
  </w:style>
  <w:style w:type="character" w:styleId="WW8Num16z8">
    <w:name w:val="WW8Num16z8"/>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Bold;Times New Roman"/>
      <w:b/>
      <w:i w:val="false"/>
      <w:sz w:val="28"/>
    </w:rPr>
  </w:style>
  <w:style w:type="character" w:styleId="WW8Num18z2">
    <w:name w:val="WW8Num18z2"/>
    <w:qFormat/>
    <w:rPr>
      <w:rFonts w:ascii="Symbol" w:hAnsi="Symbol" w:cs="Symbol"/>
      <w:b/>
      <w:i w:val="false"/>
      <w:sz w:val="28"/>
    </w:rPr>
  </w:style>
  <w:style w:type="character" w:styleId="WW8Num18z3">
    <w:name w:val="WW8Num18z3"/>
    <w:qFormat/>
    <w:rPr>
      <w:rFonts w:ascii="Times New Roman Bold;Times New Roman" w:hAnsi="Times New Roman Bold;Times New Roman" w:cs="Times New Roman Bold;Times New Roman"/>
      <w:b/>
      <w:i w:val="false"/>
      <w:sz w:val="24"/>
    </w:rPr>
  </w:style>
  <w:style w:type="character" w:styleId="WW8Num18z4">
    <w:name w:val="WW8Num18z4"/>
    <w:qFormat/>
    <w:rPr>
      <w:rFonts w:ascii="Times New Roman Bold;Times New Roman" w:hAnsi="Times New Roman Bold;Times New Roman" w:cs="Times New Roman Bold;Times New Roman"/>
      <w:b/>
      <w:i w:val="false"/>
      <w:sz w:val="22"/>
      <w:szCs w:val="22"/>
    </w:rPr>
  </w:style>
  <w:style w:type="character" w:styleId="WW8Num18z5">
    <w:name w:val="WW8Num18z5"/>
    <w:qFormat/>
    <w:rPr>
      <w:rFonts w:ascii="Times New Roman" w:hAnsi="Times New Roman" w:cs="Times New Roman"/>
      <w:b w:val="false"/>
      <w:i w:val="false"/>
      <w:sz w:val="22"/>
    </w:rPr>
  </w:style>
  <w:style w:type="character" w:styleId="WW8Num18z8">
    <w:name w:val="WW8Num18z8"/>
    <w:qFormat/>
    <w:rPr/>
  </w:style>
  <w:style w:type="character" w:styleId="WW8Num19z0">
    <w:name w:val="WW8Num19z0"/>
    <w:qFormat/>
    <w:rPr>
      <w:rFonts w:ascii="Times New Roman Bold;Times New Roman" w:hAnsi="Times New Roman Bold;Times New Roman" w:cs="Times New Roman Bold;Times New Roman"/>
      <w:b/>
      <w:i w:val="false"/>
      <w:sz w:val="28"/>
    </w:rPr>
  </w:style>
  <w:style w:type="character" w:styleId="WW8Num19z2">
    <w:name w:val="WW8Num19z2"/>
    <w:qFormat/>
    <w:rPr>
      <w:rFonts w:ascii="Symbol" w:hAnsi="Symbol" w:cs="Symbol"/>
      <w:b/>
      <w:i w:val="false"/>
      <w:sz w:val="28"/>
    </w:rPr>
  </w:style>
  <w:style w:type="character" w:styleId="WW8Num19z3">
    <w:name w:val="WW8Num19z3"/>
    <w:qFormat/>
    <w:rPr>
      <w:rFonts w:ascii="Times New Roman Bold;Times New Roman" w:hAnsi="Times New Roman Bold;Times New Roman" w:cs="Times New Roman Bold;Times New Roman"/>
      <w:b/>
      <w:i w:val="false"/>
      <w:sz w:val="24"/>
    </w:rPr>
  </w:style>
  <w:style w:type="character" w:styleId="WW8Num19z4">
    <w:name w:val="WW8Num19z4"/>
    <w:qFormat/>
    <w:rPr>
      <w:rFonts w:ascii="Times New Roman Bold;Times New Roman" w:hAnsi="Times New Roman Bold;Times New Roman" w:cs="Times New Roman Bold;Times New Roman"/>
      <w:b/>
      <w:i w:val="false"/>
      <w:sz w:val="22"/>
      <w:szCs w:val="22"/>
    </w:rPr>
  </w:style>
  <w:style w:type="character" w:styleId="WW8Num19z8">
    <w:name w:val="WW8Num19z8"/>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Bold;Times New Roman"/>
      <w:b/>
      <w:i w:val="false"/>
      <w:color w:val="000000"/>
      <w:sz w:val="28"/>
      <w:szCs w:val="28"/>
    </w:rPr>
  </w:style>
  <w:style w:type="character" w:styleId="WW8Num23z1">
    <w:name w:val="WW8Num23z1"/>
    <w:qFormat/>
    <w:rPr>
      <w:rFonts w:ascii="Times New Roman" w:hAnsi="Times New Roman" w:cs="Times New Roman"/>
      <w:b w:val="false"/>
      <w:i w:val="false"/>
      <w:sz w:val="22"/>
    </w:rPr>
  </w:style>
  <w:style w:type="character" w:styleId="WW8Num23z4">
    <w:name w:val="WW8Num23z4"/>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Bold;Times New Roman" w:hAnsi="Times New Roman Bold;Times New Roman" w:cs="Times New Roman"/>
      <w:b/>
      <w:i w:val="false"/>
      <w:color w:val="000000"/>
      <w:sz w:val="28"/>
    </w:rPr>
  </w:style>
  <w:style w:type="character" w:styleId="WW8Num25z1">
    <w:name w:val="WW8Num25z1"/>
    <w:qFormat/>
    <w:rPr>
      <w:rFonts w:ascii="Times New Roman Bold;Times New Roman" w:hAnsi="Times New Roman Bold;Times New Roman" w:cs="Times New Roman"/>
      <w:b/>
      <w:i w:val="false"/>
      <w:sz w:val="24"/>
    </w:rPr>
  </w:style>
  <w:style w:type="character" w:styleId="WW8Num25z2">
    <w:name w:val="WW8Num25z2"/>
    <w:qFormat/>
    <w:rPr>
      <w:rFonts w:ascii="Times New Roman" w:hAnsi="Times New Roman" w:cs="Times New Roman"/>
      <w:b w:val="false"/>
      <w:i w:val="false"/>
      <w:sz w:val="22"/>
    </w:rPr>
  </w:style>
  <w:style w:type="character" w:styleId="WW8Num25z4">
    <w:name w:val="WW8Num25z4"/>
    <w:qFormat/>
    <w:rPr/>
  </w:style>
  <w:style w:type="character" w:styleId="Absatz-Standardschriftart">
    <w:name w:val="Absatz-Standardschriftart"/>
    <w:qFormat/>
    <w:rPr/>
  </w:style>
  <w:style w:type="character" w:styleId="PageNumber">
    <w:name w:val="page number"/>
    <w:basedOn w:val="Absatz-Standardschriftar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Heading2NumberedChar">
    <w:name w:val="Heading 2 Numbered Char"/>
    <w:basedOn w:val="Absatz-Standardschriftart"/>
    <w:qFormat/>
    <w:rPr>
      <w:rFonts w:ascii="Times New Roman Bold;Times New Roman" w:hAnsi="Times New Roman Bold;Times New Roman" w:cs="Times New Roman Bold;Times New Roman"/>
      <w:b/>
      <w:sz w:val="28"/>
      <w:szCs w:val="24"/>
      <w:lang w:val="en-US" w:bidi="ar-SA"/>
    </w:rPr>
  </w:style>
  <w:style w:type="character" w:styleId="Heading1NumberedCharChar">
    <w:name w:val="Heading 1 Numbered Char Char"/>
    <w:basedOn w:val="Absatz-Standardschriftart"/>
    <w:qFormat/>
    <w:rPr>
      <w:rFonts w:ascii="Times New Roman Bold;Times New Roman" w:hAnsi="Times New Roman Bold;Times New Roman" w:cs="Times New Roman Bold;Times New Roman"/>
      <w:b/>
      <w:caps/>
      <w:sz w:val="28"/>
      <w:szCs w:val="24"/>
      <w:lang w:val="en-US" w:bidi="ar-SA"/>
    </w:rPr>
  </w:style>
  <w:style w:type="character" w:styleId="Heading3NumberedChar">
    <w:name w:val="Heading 3 Numbered Char"/>
    <w:basedOn w:val="Heading2NumberedChar"/>
    <w:qFormat/>
    <w:rPr>
      <w:sz w:val="24"/>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ind w:hanging="0" w:start="1077"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numPr>
        <w:ilvl w:val="0"/>
        <w:numId w:val="21"/>
      </w:numPr>
      <w:spacing w:before="240" w:after="240"/>
      <w:outlineLvl w:val="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480" w:after="120"/>
    </w:pPr>
    <w:rPr>
      <w:rFonts w:ascii="Times New Roman Bold;Times New Roman" w:hAnsi="Times New Roman Bold;Times New Roman" w:cs="Times New Roman Bold;Times New Roman"/>
      <w:b/>
      <w:sz w:val="28"/>
    </w:rPr>
  </w:style>
  <w:style w:type="paragraph" w:styleId="Heading3Numbered">
    <w:name w:val="Heading 3 Numbered"/>
    <w:basedOn w:val="Heading2Numbered"/>
    <w:next w:val="TableText"/>
    <w:qFormat/>
    <w:pPr>
      <w:numPr>
        <w:ilvl w:val="0"/>
        <w:numId w:val="13"/>
      </w:numPr>
      <w:spacing w:before="240" w:after="120"/>
    </w:pPr>
    <w:rPr>
      <w:rFonts w:ascii="Times New Roman" w:hAnsi="Times New Roman" w:cs="Times New Roman"/>
      <w:b w:val="false"/>
      <w:sz w:val="24"/>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1"/>
      </w:numPr>
      <w:spacing w:before="180" w:after="180"/>
    </w:pPr>
    <w:rPr/>
  </w:style>
  <w:style w:type="paragraph" w:styleId="BodyLevel2Numbered">
    <w:name w:val="Body Level 2 Numbered"/>
    <w:basedOn w:val="Normal"/>
    <w:qFormat/>
    <w:pPr>
      <w:numPr>
        <w:ilvl w:val="0"/>
        <w:numId w:val="11"/>
      </w:numPr>
      <w:spacing w:before="180" w:after="180"/>
    </w:pPr>
    <w:rPr/>
  </w:style>
  <w:style w:type="paragraph" w:styleId="BodyLevel3Numbered">
    <w:name w:val="Body Level 3 Numbered"/>
    <w:basedOn w:val="Normal"/>
    <w:qFormat/>
    <w:pPr>
      <w:numPr>
        <w:ilvl w:val="0"/>
        <w:numId w:val="11"/>
      </w:numPr>
      <w:spacing w:before="180" w:after="180"/>
    </w:pPr>
    <w:rPr/>
  </w:style>
  <w:style w:type="paragraph" w:styleId="BodyLevel4Numbered">
    <w:name w:val="Body Level 4 Numbered"/>
    <w:basedOn w:val="Normal"/>
    <w:qFormat/>
    <w:pPr>
      <w:numPr>
        <w:ilvl w:val="0"/>
        <w:numId w:val="11"/>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Sprechblasentext">
    <w:name w:val="Sprechblasentext"/>
    <w:basedOn w:val="Normal"/>
    <w:qFormat/>
    <w:pPr/>
    <w:rPr>
      <w:rFonts w:ascii="Tahoma" w:hAnsi="Tahoma" w:cs="Tahoma"/>
      <w:sz w:val="16"/>
      <w:szCs w:val="16"/>
    </w:rPr>
  </w:style>
  <w:style w:type="paragraph" w:styleId="BodyTextBullet">
    <w:name w:val="Body Text Bullet"/>
    <w:basedOn w:val="Normal"/>
    <w:qFormat/>
    <w:pPr>
      <w:numPr>
        <w:ilvl w:val="0"/>
        <w:numId w:val="18"/>
      </w:numPr>
      <w:tabs>
        <w:tab w:val="clear" w:pos="720"/>
        <w:tab w:val="left" w:pos="1440" w:leader="none"/>
      </w:tabs>
      <w:ind w:hanging="360" w:start="1440" w:end="0"/>
    </w:pPr>
    <w:rPr/>
  </w:style>
  <w:style w:type="paragraph" w:styleId="BodyTextBulletL1">
    <w:name w:val="Body Text Bullet L1"/>
    <w:basedOn w:val="Normal"/>
    <w:qFormat/>
    <w:pPr>
      <w:numPr>
        <w:ilvl w:val="0"/>
        <w:numId w:val="19"/>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0"/>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21"/>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7"/>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2"/>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omment">
    <w:name w:val="Comment"/>
    <w:basedOn w:val="Normal"/>
    <w:qFormat/>
    <w:pPr>
      <w:overflowPunct w:val="false"/>
      <w:autoSpaceDE w:val="false"/>
      <w:spacing w:before="0" w:after="0"/>
      <w:textAlignment w:val="baseline"/>
    </w:pPr>
    <w:rPr>
      <w:rFonts w:ascii="Sabon" w:hAnsi="Sabon" w:cs="Sabon"/>
      <w:szCs w:val="20"/>
      <w:lang w:eastAsia="ja-JP"/>
    </w:rPr>
  </w:style>
  <w:style w:type="paragraph" w:styleId="StandardWeb">
    <w:name w:val="Standard (Web)"/>
    <w:basedOn w:val="Normal"/>
    <w:qFormat/>
    <w:pPr>
      <w:spacing w:before="280" w:after="280"/>
    </w:pPr>
    <w:rPr>
      <w:sz w:val="24"/>
    </w:rPr>
  </w:style>
  <w:style w:type="paragraph" w:styleId="Textkrper3">
    <w:name w:val="Textkörper 3"/>
    <w:basedOn w:val="Normal"/>
    <w:qFormat/>
    <w:pPr/>
    <w:rPr>
      <w:sz w:val="16"/>
      <w:szCs w:val="16"/>
    </w:rPr>
  </w:style>
  <w:style w:type="paragraph" w:styleId="Bodytext1">
    <w:name w:val="Body text1"/>
    <w:basedOn w:val="Textkrper3"/>
    <w:qFormat/>
    <w:pPr>
      <w:numPr>
        <w:ilvl w:val="0"/>
        <w:numId w:val="10"/>
      </w:numPr>
      <w:tabs>
        <w:tab w:val="clear" w:pos="720"/>
        <w:tab w:val="left" w:pos="2268" w:leader="none"/>
        <w:tab w:val="left" w:pos="8748" w:leader="none"/>
      </w:tabs>
      <w:spacing w:before="0" w:after="0"/>
    </w:pPr>
    <w:rPr>
      <w:sz w:val="22"/>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3.wmf"/><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2007-01-29T19:55:00Z</dcterms:created>
  <dc:creator>Kai Krippner</dc:creator>
  <dc:description/>
  <dc:language>en-US</dc:language>
  <cp:lastModifiedBy>Wenger Plattner</cp:lastModifiedBy>
  <dcterms:modified xsi:type="dcterms:W3CDTF">2007-01-29T19:55:00Z</dcterms:modified>
  <cp:revision>2</cp:revision>
  <dc:subject>Exhibit 8 Tech Arch and Standards Novartis</dc:subject>
  <dc:title>RFP8 Exhibit 8 Technical Architecdture and Standards</dc:title>
</cp:coreProperties>
</file>