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jc w:val="center"/>
        <w:rPr/>
      </w:pPr>
      <w:r>
        <w:rPr/>
      </w:r>
    </w:p>
    <w:p>
      <w:pPr>
        <w:pStyle w:val="Titel"/>
        <w:rPr/>
      </w:pPr>
      <w:r>
        <w:rPr/>
      </w:r>
    </w:p>
    <w:p>
      <w:pPr>
        <w:pStyle w:val="Titel"/>
        <w:rPr/>
      </w:pPr>
      <w:r>
        <w:rPr/>
        <w:t>GlobalPharma</w:t>
      </w:r>
    </w:p>
    <w:p>
      <w:pPr>
        <w:pStyle w:val="Titel"/>
        <w:rPr/>
      </w:pPr>
      <w:r>
        <w:rPr/>
        <w:t>exhibit 9</w:t>
      </w:r>
    </w:p>
    <w:p>
      <w:pPr>
        <w:pStyle w:val="Titel"/>
        <w:rPr/>
      </w:pPr>
      <w:r>
        <w:rPr/>
      </w:r>
    </w:p>
    <w:p>
      <w:pPr>
        <w:pStyle w:val="Titel"/>
        <w:rPr/>
      </w:pPr>
      <w:r>
        <w:rPr/>
        <w:t>current and planned projects</w:t>
      </w:r>
    </w:p>
    <w:p>
      <w:pPr>
        <w:pStyle w:val="Titel"/>
        <w:rPr/>
      </w:pPr>
      <w:r>
        <w:rPr/>
      </w:r>
    </w:p>
    <w:p>
      <w:pPr>
        <w:pStyle w:val="Titel"/>
        <w:rPr/>
      </w:pPr>
      <w:r>
        <w:rPr/>
      </w:r>
    </w:p>
    <w:p>
      <w:pPr>
        <w:pStyle w:val="Titel"/>
        <w:rPr/>
      </w:pPr>
      <w:r>
        <w:rPr/>
      </w:r>
    </w:p>
    <w:p>
      <w:pPr>
        <w:pStyle w:val="Titel"/>
        <w:rPr/>
      </w:pPr>
      <w:r>
        <w:rPr/>
      </w:r>
    </w:p>
    <w:tbl>
      <w:tblPr>
        <w:tblW w:w="7697" w:type="dxa"/>
        <w:jc w:val="center"/>
        <w:tblInd w:w="0" w:type="dxa"/>
        <w:tblLayout w:type="fixed"/>
        <w:tblCellMar>
          <w:top w:w="0" w:type="dxa"/>
          <w:start w:w="108" w:type="dxa"/>
          <w:bottom w:w="0" w:type="dxa"/>
          <w:end w:w="108" w:type="dxa"/>
        </w:tblCellMar>
      </w:tblPr>
      <w:tblGrid>
        <w:gridCol w:w="7697"/>
      </w:tblGrid>
      <w:tr>
        <w:trPr/>
        <w:tc>
          <w:tcPr>
            <w:tcW w:w="769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120" w:after="120"/>
              <w:jc w:val="center"/>
              <w:rPr/>
            </w:pPr>
            <w:r>
              <w:rPr/>
            </w:r>
          </w:p>
          <w:p>
            <w:pPr>
              <w:pStyle w:val="Normal"/>
              <w:jc w:val="center"/>
              <w:rPr/>
            </w:pPr>
            <w:r>
              <w:rPr/>
              <w:t>This document contains confidential and proprietary information of GlobalPharma. It is furnished for the performance of The Agreements only. Except with the express prior written permission of GlobalPharma, this document and the information contained herein may not be published, disclosed, or used for any other purpose.</w:t>
            </w:r>
          </w:p>
          <w:p>
            <w:pPr>
              <w:pStyle w:val="Normal"/>
              <w:spacing w:before="120" w:after="120"/>
              <w:jc w:val="center"/>
              <w:rPr/>
            </w:pPr>
            <w:r>
              <w:rPr/>
            </w:r>
          </w:p>
        </w:tc>
      </w:tr>
    </w:tbl>
    <w:p>
      <w:pPr>
        <w:pStyle w:val="Normal"/>
        <w:rPr/>
      </w:pPr>
      <w:r>
        <w:rPr/>
      </w:r>
    </w:p>
    <w:p>
      <w:pPr>
        <w:sectPr>
          <w:headerReference w:type="default" r:id="rId2"/>
          <w:footerReference w:type="default" r:id="rId3"/>
          <w:type w:val="nextPage"/>
          <w:pgSz w:w="11906" w:h="16838"/>
          <w:pgMar w:left="1440" w:right="1440" w:gutter="0" w:header="720" w:top="1728" w:footer="720" w:bottom="1728"/>
          <w:pgNumType w:fmt="decimal"/>
          <w:formProt w:val="false"/>
          <w:textDirection w:val="lrTb"/>
          <w:docGrid w:type="default" w:linePitch="360" w:charSpace="0"/>
        </w:sectPr>
        <w:pStyle w:val="Normal"/>
        <w:rPr/>
      </w:pPr>
      <w:r>
        <w:rPr/>
      </w:r>
    </w:p>
    <w:p>
      <w:pPr>
        <w:pStyle w:val="Titel"/>
        <w:rPr/>
      </w:pPr>
      <w:r>
        <w:rPr/>
        <w:t>Table of Contents</w:t>
      </w:r>
    </w:p>
    <w:sdt>
      <w:sdtPr>
        <w:docPartObj>
          <w:docPartGallery w:val="Table of Contents"/>
          <w:docPartUnique w:val="true"/>
        </w:docPartObj>
      </w:sdtPr>
      <w:sdtContent>
        <w:p>
          <w:pPr>
            <w:pStyle w:val="TOC1"/>
            <w:tabs>
              <w:tab w:val="clear" w:pos="720"/>
              <w:tab w:val="left" w:pos="660" w:leader="none"/>
              <w:tab w:val="right" w:pos="9350" w:leader="dot"/>
            </w:tabs>
            <w:rPr>
              <w:b w:val="false"/>
              <w:caps w:val="false"/>
              <w:smallCaps w:val="false"/>
              <w:sz w:val="24"/>
              <w:lang w:val="en-US" w:eastAsia="en-US"/>
            </w:rPr>
          </w:pPr>
          <w:r>
            <w:fldChar w:fldCharType="begin"/>
          </w:r>
          <w:r>
            <w:rPr>
              <w:rStyle w:val="IndexLink"/>
              <w:lang w:val="en-US" w:eastAsia="en-US"/>
            </w:rPr>
            <w:instrText xml:space="preserve"> TOC \o "2-3" \h \z \t "Heading 1,1,Heading,1,Heading 1 Numbered,1,Heading 2 Numbered,2,Heading 3 Numbered,3" </w:instrText>
          </w:r>
          <w:r>
            <w:rPr>
              <w:rStyle w:val="IndexLink"/>
              <w:lang w:val="en-US" w:eastAsia="en-US"/>
            </w:rPr>
            <w:fldChar w:fldCharType="separate"/>
          </w:r>
          <w:hyperlink w:anchor="__RefHeading___Toc147228576">
            <w:r>
              <w:rPr>
                <w:rStyle w:val="IndexLink"/>
                <w:lang w:val="en-US" w:eastAsia="en-US"/>
              </w:rPr>
              <w:t>1.0</w:t>
            </w:r>
            <w:r>
              <w:rPr>
                <w:rStyle w:val="IndexLink"/>
                <w:b w:val="false"/>
                <w:caps w:val="false"/>
                <w:smallCaps w:val="false"/>
                <w:sz w:val="24"/>
                <w:lang w:val="en-US" w:eastAsia="en-US"/>
              </w:rPr>
              <w:tab/>
            </w:r>
            <w:r>
              <w:rPr>
                <w:rStyle w:val="IndexLink"/>
                <w:lang w:val="en-US" w:eastAsia="en-US"/>
              </w:rPr>
              <w:t>Sow’s 2.2 – 2.8 (inclusive) projects</w:t>
              <w:tab/>
              <w:t>2</w:t>
            </w:r>
          </w:hyperlink>
        </w:p>
        <w:p>
          <w:pPr>
            <w:pStyle w:val="TOC2"/>
            <w:tabs>
              <w:tab w:val="clear" w:pos="720"/>
              <w:tab w:val="left" w:pos="880" w:leader="none"/>
              <w:tab w:val="right" w:pos="9350" w:leader="dot"/>
            </w:tabs>
            <w:rPr>
              <w:sz w:val="24"/>
              <w:lang w:val="en-US" w:eastAsia="en-US"/>
            </w:rPr>
          </w:pPr>
          <w:hyperlink w:anchor="__RefHeading___Toc147228577">
            <w:r>
              <w:rPr>
                <w:rStyle w:val="IndexLink"/>
                <w:lang w:val="en-US" w:eastAsia="en-US"/>
              </w:rPr>
              <w:t>1.1</w:t>
            </w:r>
            <w:r>
              <w:rPr>
                <w:rStyle w:val="IndexLink"/>
                <w:sz w:val="24"/>
                <w:lang w:val="en-US" w:eastAsia="en-US"/>
              </w:rPr>
              <w:tab/>
            </w:r>
            <w:r>
              <w:rPr>
                <w:rStyle w:val="IndexLink"/>
                <w:lang w:val="en-US" w:eastAsia="en-US"/>
              </w:rPr>
              <w:t>Current Projects</w:t>
              <w:tab/>
              <w:t>2</w:t>
            </w:r>
          </w:hyperlink>
        </w:p>
        <w:p>
          <w:pPr>
            <w:pStyle w:val="TOC3"/>
            <w:tabs>
              <w:tab w:val="clear" w:pos="720"/>
              <w:tab w:val="left" w:pos="1320" w:leader="none"/>
              <w:tab w:val="right" w:pos="9350" w:leader="dot"/>
            </w:tabs>
            <w:rPr>
              <w:sz w:val="24"/>
              <w:lang w:val="en-US" w:eastAsia="en-US"/>
            </w:rPr>
          </w:pPr>
          <w:hyperlink w:anchor="__RefHeading___Toc147228578">
            <w:r>
              <w:rPr>
                <w:rStyle w:val="IndexLink"/>
                <w:lang w:val="en-US" w:eastAsia="en-US"/>
              </w:rPr>
              <w:t>1.1.1</w:t>
            </w:r>
            <w:r>
              <w:rPr>
                <w:rStyle w:val="IndexLink"/>
                <w:sz w:val="24"/>
                <w:lang w:val="en-US" w:eastAsia="en-US"/>
              </w:rPr>
              <w:tab/>
            </w:r>
            <w:r>
              <w:rPr>
                <w:rStyle w:val="IndexLink"/>
                <w:lang w:val="en-US" w:eastAsia="en-US"/>
              </w:rPr>
              <w:t>In-flight Projects</w:t>
              <w:tab/>
              <w:t>3</w:t>
            </w:r>
          </w:hyperlink>
        </w:p>
        <w:p>
          <w:pPr>
            <w:pStyle w:val="TOC2"/>
            <w:tabs>
              <w:tab w:val="clear" w:pos="720"/>
              <w:tab w:val="left" w:pos="880" w:leader="none"/>
              <w:tab w:val="right" w:pos="9350" w:leader="dot"/>
            </w:tabs>
            <w:rPr>
              <w:sz w:val="24"/>
              <w:lang w:val="en-US" w:eastAsia="en-US"/>
            </w:rPr>
          </w:pPr>
          <w:hyperlink w:anchor="__RefHeading___Toc147228579">
            <w:r>
              <w:rPr>
                <w:rStyle w:val="IndexLink"/>
                <w:lang w:val="en-US" w:eastAsia="en-US"/>
              </w:rPr>
              <w:t>1.2</w:t>
            </w:r>
            <w:r>
              <w:rPr>
                <w:rStyle w:val="IndexLink"/>
                <w:sz w:val="24"/>
                <w:lang w:val="en-US" w:eastAsia="en-US"/>
              </w:rPr>
              <w:tab/>
            </w:r>
            <w:r>
              <w:rPr>
                <w:rStyle w:val="IndexLink"/>
                <w:lang w:val="en-US" w:eastAsia="en-US"/>
              </w:rPr>
              <w:t>Planned Projects</w:t>
              <w:tab/>
              <w:t>5</w:t>
            </w:r>
          </w:hyperlink>
          <w:r>
            <w:rPr>
              <w:rStyle w:val="IndexLink"/>
              <w:lang w:val="en-US" w:eastAsia="en-US"/>
            </w:rPr>
            <w:fldChar w:fldCharType="end"/>
          </w:r>
        </w:p>
      </w:sdtContent>
    </w:sdt>
    <w:p>
      <w:pPr>
        <w:pStyle w:val="Normal"/>
        <w:rPr>
          <w:b/>
          <w:bCs/>
          <w:sz w:val="24"/>
          <w:lang w:val="en-US" w:eastAsia="en-US"/>
        </w:rPr>
      </w:pPr>
      <w:r>
        <w:rPr>
          <w:b/>
          <w:bCs/>
          <w:sz w:val="24"/>
          <w:lang w:val="en-US" w:eastAsia="en-US"/>
        </w:rPr>
      </w:r>
      <w:r>
        <w:br w:type="page"/>
      </w:r>
    </w:p>
    <w:p>
      <w:pPr>
        <w:pStyle w:val="Heading1Numbered"/>
        <w:numPr>
          <w:ilvl w:val="0"/>
          <w:numId w:val="12"/>
        </w:numPr>
        <w:ind w:hanging="0" w:start="0"/>
        <w:rPr/>
      </w:pPr>
      <w:bookmarkStart w:id="0" w:name="__RefHeading___Toc147228576"/>
      <w:bookmarkEnd w:id="0"/>
      <w:r>
        <w:rPr/>
        <w:t>Sow</w:t>
      </w:r>
      <w:r>
        <w:rPr>
          <w:rFonts w:cs="Times New Roman" w:ascii="Times New Roman" w:hAnsi="Times New Roman"/>
        </w:rPr>
        <w:t>’</w:t>
      </w:r>
      <w:r>
        <w:rPr/>
        <w:t>s 2.1 – 2.8 (inclusive) projects</w:t>
      </w:r>
    </w:p>
    <w:p>
      <w:pPr>
        <w:pStyle w:val="BodyText"/>
        <w:rPr/>
      </w:pPr>
      <w:r>
        <w:rPr/>
        <w:t xml:space="preserve">This Exhibit will describe the Current Projects and Planned Projects associated with any statement of work (SOW; in particular </w:t>
      </w:r>
      <w:r>
        <w:rPr>
          <w:b/>
        </w:rPr>
        <w:t>Exhibits 2.1 et seq</w:t>
      </w:r>
      <w:r>
        <w:rPr/>
        <w:t>. and other documents describing the Services in scope of the Agreement). Where indicated, the Service Provider will either manage the new environment post-implementation of the project, or will assume management responsibility for the project and the ongoing management of the new environment.</w:t>
      </w:r>
    </w:p>
    <w:p>
      <w:pPr>
        <w:pStyle w:val="Heading2Numbered"/>
        <w:numPr>
          <w:ilvl w:val="1"/>
          <w:numId w:val="12"/>
        </w:numPr>
        <w:ind w:hanging="0" w:start="0"/>
        <w:rPr/>
      </w:pPr>
      <w:bookmarkStart w:id="1" w:name="__RefHeading___Toc147228577"/>
      <w:bookmarkEnd w:id="1"/>
      <w:r>
        <w:rPr/>
        <w:t>Current Projects</w:t>
      </w:r>
    </w:p>
    <w:p>
      <w:pPr>
        <w:pStyle w:val="BodyText"/>
        <w:rPr/>
      </w:pPr>
      <w:r>
        <w:rPr/>
        <w:t>This section will describe the Current Projects associated with any statement of work. Where indicated, the Service Provider will either manage the new environment post-implementation of the project, or will assume management responsibility for the project and the ongoing management of the new environment.</w:t>
      </w:r>
      <w:r>
        <w:br w:type="page"/>
      </w:r>
    </w:p>
    <w:p>
      <w:pPr>
        <w:pStyle w:val="BodyText"/>
        <w:rPr/>
      </w:pPr>
      <w:r>
        <w:rPr/>
      </w:r>
    </w:p>
    <w:p>
      <w:pPr>
        <w:pStyle w:val="Heading3Numbered"/>
        <w:numPr>
          <w:ilvl w:val="2"/>
          <w:numId w:val="12"/>
        </w:numPr>
        <w:ind w:hanging="0" w:start="0"/>
        <w:rPr/>
      </w:pPr>
      <w:bookmarkStart w:id="2" w:name="__RefHeading___Toc147228578"/>
      <w:r>
        <w:rPr/>
        <w:t>In-flight Projects</w:t>
      </w:r>
      <w:bookmarkEnd w:id="2"/>
      <w:r>
        <w:rPr/>
        <w:t xml:space="preserve"> </w:t>
      </w:r>
    </w:p>
    <w:p>
      <w:pPr>
        <w:pStyle w:val="TableText"/>
        <w:rPr/>
      </w:pPr>
      <w:r>
        <w:rPr/>
        <w:t>Projects mentioned in this chapter are planned to be finished, fully implemented before Commencement Date.</w:t>
      </w:r>
    </w:p>
    <w:p>
      <w:pPr>
        <w:pStyle w:val="TableText"/>
        <w:rPr/>
      </w:pPr>
      <w:r>
        <w:rPr/>
        <w:t xml:space="preserve">1.1.1.1 U.S. Projects  </w:t>
        <w:tab/>
        <w:tab/>
      </w:r>
    </w:p>
    <w:tbl>
      <w:tblPr>
        <w:tblW w:w="10680" w:type="dxa"/>
        <w:jc w:val="start"/>
        <w:tblInd w:w="99" w:type="dxa"/>
        <w:tblLayout w:type="fixed"/>
        <w:tblCellMar>
          <w:top w:w="0" w:type="dxa"/>
          <w:start w:w="108" w:type="dxa"/>
          <w:bottom w:w="0" w:type="dxa"/>
          <w:end w:w="108" w:type="dxa"/>
        </w:tblCellMar>
      </w:tblPr>
      <w:tblGrid>
        <w:gridCol w:w="1461"/>
        <w:gridCol w:w="2379"/>
        <w:gridCol w:w="1980"/>
        <w:gridCol w:w="1700"/>
        <w:gridCol w:w="1820"/>
        <w:gridCol w:w="1340"/>
      </w:tblGrid>
      <w:tr>
        <w:trPr>
          <w:trHeight w:val="510" w:hRule="atLeast"/>
        </w:trPr>
        <w:tc>
          <w:tcPr>
            <w:tcW w:w="1461" w:type="dxa"/>
            <w:tcBorders>
              <w:top w:val="single" w:sz="4" w:space="0" w:color="000000"/>
              <w:start w:val="single" w:sz="4" w:space="0" w:color="000000"/>
              <w:bottom w:val="single" w:sz="4" w:space="0" w:color="000000"/>
            </w:tcBorders>
            <w:shd w:fill="000080" w:val="clear"/>
          </w:tcPr>
          <w:p>
            <w:pPr>
              <w:pStyle w:val="Normal"/>
              <w:spacing w:before="0" w:after="0"/>
              <w:jc w:val="center"/>
              <w:rPr>
                <w:rFonts w:ascii="Arial" w:hAnsi="Arial" w:cs="Arial"/>
                <w:b/>
                <w:bCs/>
                <w:color w:val="FFFFFF"/>
                <w:sz w:val="20"/>
                <w:szCs w:val="20"/>
              </w:rPr>
            </w:pPr>
            <w:r>
              <w:rPr>
                <w:rFonts w:cs="Arial" w:ascii="Arial" w:hAnsi="Arial"/>
                <w:b/>
                <w:bCs/>
                <w:color w:val="FFFFFF"/>
                <w:sz w:val="20"/>
                <w:szCs w:val="20"/>
              </w:rPr>
              <w:t>Project</w:t>
            </w:r>
          </w:p>
        </w:tc>
        <w:tc>
          <w:tcPr>
            <w:tcW w:w="2379" w:type="dxa"/>
            <w:tcBorders>
              <w:top w:val="single" w:sz="4" w:space="0" w:color="000000"/>
              <w:bottom w:val="single" w:sz="4" w:space="0" w:color="000000"/>
            </w:tcBorders>
            <w:shd w:fill="000080" w:val="clear"/>
          </w:tcPr>
          <w:p>
            <w:pPr>
              <w:pStyle w:val="Normal"/>
              <w:spacing w:before="0" w:after="0"/>
              <w:jc w:val="center"/>
              <w:rPr>
                <w:rFonts w:ascii="Arial" w:hAnsi="Arial" w:cs="Arial"/>
                <w:b/>
                <w:bCs/>
                <w:color w:val="FFFFFF"/>
                <w:sz w:val="20"/>
                <w:szCs w:val="20"/>
              </w:rPr>
            </w:pPr>
            <w:r>
              <w:rPr>
                <w:rFonts w:cs="Arial" w:ascii="Arial" w:hAnsi="Arial"/>
                <w:b/>
                <w:bCs/>
                <w:color w:val="FFFFFF"/>
                <w:sz w:val="20"/>
                <w:szCs w:val="20"/>
              </w:rPr>
              <w:t>Description</w:t>
            </w:r>
          </w:p>
        </w:tc>
        <w:tc>
          <w:tcPr>
            <w:tcW w:w="1980" w:type="dxa"/>
            <w:tcBorders>
              <w:top w:val="single" w:sz="4" w:space="0" w:color="000000"/>
              <w:bottom w:val="single" w:sz="4" w:space="0" w:color="000000"/>
            </w:tcBorders>
            <w:shd w:fill="000080" w:val="clear"/>
          </w:tcPr>
          <w:p>
            <w:pPr>
              <w:pStyle w:val="Normal"/>
              <w:spacing w:before="0" w:after="0"/>
              <w:jc w:val="center"/>
              <w:rPr>
                <w:rFonts w:ascii="Arial" w:hAnsi="Arial" w:cs="Arial"/>
                <w:b/>
                <w:bCs/>
                <w:color w:val="FFFFFF"/>
                <w:sz w:val="20"/>
                <w:szCs w:val="20"/>
              </w:rPr>
            </w:pPr>
            <w:r>
              <w:rPr>
                <w:rFonts w:cs="Arial" w:ascii="Arial" w:hAnsi="Arial"/>
                <w:b/>
                <w:bCs/>
                <w:color w:val="FFFFFF"/>
                <w:sz w:val="20"/>
                <w:szCs w:val="20"/>
              </w:rPr>
              <w:t>Project Objective</w:t>
            </w:r>
          </w:p>
        </w:tc>
        <w:tc>
          <w:tcPr>
            <w:tcW w:w="1700" w:type="dxa"/>
            <w:tcBorders>
              <w:top w:val="single" w:sz="4" w:space="0" w:color="000000"/>
              <w:bottom w:val="single" w:sz="4" w:space="0" w:color="000000"/>
            </w:tcBorders>
            <w:shd w:fill="000080" w:val="clear"/>
          </w:tcPr>
          <w:p>
            <w:pPr>
              <w:pStyle w:val="Normal"/>
              <w:spacing w:before="0" w:after="0"/>
              <w:jc w:val="center"/>
              <w:rPr>
                <w:rFonts w:ascii="Arial" w:hAnsi="Arial" w:cs="Arial"/>
                <w:b/>
                <w:bCs/>
                <w:color w:val="FFFFFF"/>
                <w:sz w:val="20"/>
                <w:szCs w:val="20"/>
              </w:rPr>
            </w:pPr>
            <w:r>
              <w:rPr>
                <w:rFonts w:cs="Arial" w:ascii="Arial" w:hAnsi="Arial"/>
                <w:b/>
                <w:bCs/>
                <w:color w:val="FFFFFF"/>
                <w:sz w:val="20"/>
                <w:szCs w:val="20"/>
              </w:rPr>
              <w:t>Productivity Target</w:t>
            </w:r>
          </w:p>
        </w:tc>
        <w:tc>
          <w:tcPr>
            <w:tcW w:w="1820" w:type="dxa"/>
            <w:tcBorders>
              <w:top w:val="single" w:sz="4" w:space="0" w:color="000000"/>
              <w:bottom w:val="single" w:sz="4" w:space="0" w:color="000000"/>
            </w:tcBorders>
            <w:shd w:fill="000080" w:val="clear"/>
          </w:tcPr>
          <w:p>
            <w:pPr>
              <w:pStyle w:val="Normal"/>
              <w:spacing w:before="0" w:after="0"/>
              <w:jc w:val="center"/>
              <w:rPr>
                <w:rFonts w:ascii="Arial" w:hAnsi="Arial" w:cs="Arial"/>
                <w:b/>
                <w:bCs/>
                <w:color w:val="FFFFFF"/>
                <w:sz w:val="20"/>
                <w:szCs w:val="20"/>
              </w:rPr>
            </w:pPr>
            <w:r>
              <w:rPr>
                <w:rFonts w:cs="Arial" w:ascii="Arial" w:hAnsi="Arial"/>
                <w:b/>
                <w:bCs/>
                <w:color w:val="FFFFFF"/>
                <w:sz w:val="20"/>
                <w:szCs w:val="20"/>
              </w:rPr>
              <w:t>Status</w:t>
            </w:r>
          </w:p>
        </w:tc>
        <w:tc>
          <w:tcPr>
            <w:tcW w:w="1340" w:type="dxa"/>
            <w:tcBorders>
              <w:top w:val="single" w:sz="4" w:space="0" w:color="000000"/>
              <w:bottom w:val="single" w:sz="4" w:space="0" w:color="000000"/>
              <w:end w:val="single" w:sz="4" w:space="0" w:color="000000"/>
            </w:tcBorders>
            <w:shd w:fill="000080" w:val="clear"/>
          </w:tcPr>
          <w:p>
            <w:pPr>
              <w:pStyle w:val="Normal"/>
              <w:spacing w:before="0" w:after="0"/>
              <w:jc w:val="center"/>
              <w:rPr>
                <w:rFonts w:ascii="Arial" w:hAnsi="Arial" w:cs="Arial"/>
                <w:b/>
                <w:bCs/>
                <w:color w:val="FFFFFF"/>
                <w:sz w:val="20"/>
                <w:szCs w:val="20"/>
              </w:rPr>
            </w:pPr>
            <w:r>
              <w:rPr>
                <w:rFonts w:cs="Arial" w:ascii="Arial" w:hAnsi="Arial"/>
                <w:b/>
                <w:bCs/>
                <w:color w:val="FFFFFF"/>
                <w:sz w:val="20"/>
                <w:szCs w:val="20"/>
              </w:rPr>
              <w:t>Completion Date</w:t>
            </w:r>
          </w:p>
        </w:tc>
      </w:tr>
      <w:tr>
        <w:trPr>
          <w:trHeight w:val="3315" w:hRule="atLeast"/>
        </w:trPr>
        <w:tc>
          <w:tcPr>
            <w:tcW w:w="1461" w:type="dxa"/>
            <w:tcBorders>
              <w:start w:val="single" w:sz="4" w:space="0" w:color="000000"/>
              <w:bottom w:val="single" w:sz="4" w:space="0" w:color="000000"/>
              <w:end w:val="single" w:sz="4" w:space="0" w:color="000000"/>
            </w:tcBorders>
          </w:tcPr>
          <w:p>
            <w:pPr>
              <w:pStyle w:val="Normal"/>
              <w:spacing w:before="0" w:after="0"/>
              <w:rPr>
                <w:rFonts w:ascii="Arial" w:hAnsi="Arial" w:cs="Arial"/>
                <w:b/>
                <w:bCs/>
                <w:sz w:val="20"/>
                <w:szCs w:val="20"/>
              </w:rPr>
            </w:pPr>
            <w:r>
              <w:rPr>
                <w:rFonts w:cs="Arial" w:ascii="Arial" w:hAnsi="Arial"/>
                <w:b/>
                <w:bCs/>
                <w:sz w:val="20"/>
                <w:szCs w:val="20"/>
              </w:rPr>
              <w:t>Invoice scanning</w:t>
            </w:r>
          </w:p>
        </w:tc>
        <w:tc>
          <w:tcPr>
            <w:tcW w:w="2379" w:type="dxa"/>
            <w:tcBorders>
              <w:bottom w:val="single" w:sz="4" w:space="0" w:color="000000"/>
              <w:end w:val="single" w:sz="4" w:space="0" w:color="000000"/>
            </w:tcBorders>
          </w:tcPr>
          <w:p>
            <w:pPr>
              <w:pStyle w:val="Normal"/>
              <w:spacing w:before="0" w:after="0"/>
              <w:rPr>
                <w:rFonts w:ascii="Arial" w:hAnsi="Arial" w:cs="Arial"/>
                <w:sz w:val="20"/>
                <w:szCs w:val="20"/>
              </w:rPr>
            </w:pPr>
            <w:r>
              <w:rPr>
                <w:rFonts w:cs="Arial" w:ascii="Arial" w:hAnsi="Arial"/>
                <w:sz w:val="20"/>
                <w:szCs w:val="20"/>
              </w:rPr>
              <w:t>Centralize receipt of all paper invoices, scan, convert to digital using OCR and circulate for approval using existing Ariba workflow capabilities</w:t>
            </w:r>
          </w:p>
        </w:tc>
        <w:tc>
          <w:tcPr>
            <w:tcW w:w="1980" w:type="dxa"/>
            <w:tcBorders>
              <w:bottom w:val="single" w:sz="4" w:space="0" w:color="000000"/>
              <w:end w:val="single" w:sz="4" w:space="0" w:color="000000"/>
            </w:tcBorders>
          </w:tcPr>
          <w:p>
            <w:pPr>
              <w:pStyle w:val="Normal"/>
              <w:spacing w:before="0" w:after="0"/>
              <w:rPr>
                <w:rFonts w:ascii="Arial" w:hAnsi="Arial" w:cs="Arial"/>
                <w:sz w:val="20"/>
                <w:szCs w:val="20"/>
              </w:rPr>
            </w:pPr>
            <w:r>
              <w:rPr>
                <w:rFonts w:cs="Arial" w:ascii="Arial" w:hAnsi="Arial"/>
                <w:sz w:val="20"/>
                <w:szCs w:val="20"/>
              </w:rPr>
              <w:t>Improve control environment (better visibility into outstanding invoices and compliance with POP system), reduce transactional processing costs and improve payment to terms (allowing enhanced access to vendor prompt pay discounts)</w:t>
            </w:r>
          </w:p>
        </w:tc>
        <w:tc>
          <w:tcPr>
            <w:tcW w:w="1700" w:type="dxa"/>
            <w:tcBorders>
              <w:bottom w:val="single" w:sz="4" w:space="0" w:color="000000"/>
              <w:end w:val="single" w:sz="4" w:space="0" w:color="000000"/>
            </w:tcBorders>
          </w:tcPr>
          <w:p>
            <w:pPr>
              <w:pStyle w:val="Normal"/>
              <w:spacing w:before="0" w:after="0"/>
              <w:rPr>
                <w:rFonts w:ascii="Arial" w:hAnsi="Arial" w:cs="Arial"/>
                <w:sz w:val="20"/>
                <w:szCs w:val="20"/>
              </w:rPr>
            </w:pPr>
            <w:r>
              <w:rPr>
                <w:rFonts w:cs="Arial" w:ascii="Arial" w:hAnsi="Arial"/>
                <w:sz w:val="20"/>
                <w:szCs w:val="20"/>
              </w:rPr>
              <w:t>Elimination of 5 headcount in Accounts Payable</w:t>
            </w:r>
          </w:p>
        </w:tc>
        <w:tc>
          <w:tcPr>
            <w:tcW w:w="1820" w:type="dxa"/>
            <w:tcBorders>
              <w:bottom w:val="single" w:sz="4" w:space="0" w:color="000000"/>
              <w:end w:val="single" w:sz="4" w:space="0" w:color="000000"/>
            </w:tcBorders>
          </w:tcPr>
          <w:p>
            <w:pPr>
              <w:pStyle w:val="Normal"/>
              <w:spacing w:before="0" w:after="0"/>
              <w:rPr>
                <w:rFonts w:ascii="Arial" w:hAnsi="Arial" w:cs="Arial"/>
                <w:sz w:val="20"/>
                <w:szCs w:val="20"/>
              </w:rPr>
            </w:pPr>
            <w:r>
              <w:rPr>
                <w:rFonts w:cs="Arial" w:ascii="Arial" w:hAnsi="Arial"/>
                <w:sz w:val="20"/>
                <w:szCs w:val="20"/>
              </w:rPr>
              <w:t xml:space="preserve">Under implementation </w:t>
            </w:r>
          </w:p>
        </w:tc>
        <w:tc>
          <w:tcPr>
            <w:tcW w:w="1340" w:type="dxa"/>
            <w:tcBorders>
              <w:bottom w:val="single" w:sz="4" w:space="0" w:color="000000"/>
              <w:end w:val="single" w:sz="4" w:space="0" w:color="000000"/>
            </w:tcBorders>
          </w:tcPr>
          <w:p>
            <w:pPr>
              <w:pStyle w:val="Normal"/>
              <w:spacing w:before="0" w:after="0"/>
              <w:rPr/>
            </w:pPr>
            <w:r>
              <w:rPr>
                <w:rFonts w:cs="Arial" w:ascii="Arial" w:hAnsi="Arial"/>
                <w:sz w:val="20"/>
                <w:szCs w:val="20"/>
              </w:rPr>
              <w:t>Q1 2006</w:t>
            </w:r>
          </w:p>
        </w:tc>
      </w:tr>
      <w:tr>
        <w:trPr>
          <w:trHeight w:val="1020" w:hRule="atLeast"/>
        </w:trPr>
        <w:tc>
          <w:tcPr>
            <w:tcW w:w="1461" w:type="dxa"/>
            <w:tcBorders>
              <w:start w:val="single" w:sz="4" w:space="0" w:color="000000"/>
              <w:bottom w:val="single" w:sz="4" w:space="0" w:color="000000"/>
              <w:end w:val="single" w:sz="4" w:space="0" w:color="000000"/>
            </w:tcBorders>
          </w:tcPr>
          <w:p>
            <w:pPr>
              <w:pStyle w:val="Normal"/>
              <w:spacing w:before="0" w:after="0"/>
              <w:rPr>
                <w:rFonts w:ascii="Arial" w:hAnsi="Arial" w:cs="Arial"/>
                <w:b/>
                <w:bCs/>
                <w:sz w:val="20"/>
                <w:szCs w:val="20"/>
              </w:rPr>
            </w:pPr>
            <w:r>
              <w:rPr>
                <w:rFonts w:cs="Arial" w:ascii="Arial" w:hAnsi="Arial"/>
                <w:b/>
                <w:bCs/>
                <w:sz w:val="20"/>
                <w:szCs w:val="20"/>
              </w:rPr>
              <w:t>Vendor eEnablement</w:t>
            </w:r>
          </w:p>
        </w:tc>
        <w:tc>
          <w:tcPr>
            <w:tcW w:w="2379" w:type="dxa"/>
            <w:tcBorders>
              <w:bottom w:val="single" w:sz="4" w:space="0" w:color="000000"/>
              <w:end w:val="single" w:sz="4" w:space="0" w:color="000000"/>
            </w:tcBorders>
          </w:tcPr>
          <w:p>
            <w:pPr>
              <w:pStyle w:val="Normal"/>
              <w:spacing w:before="0" w:after="0"/>
              <w:rPr>
                <w:rFonts w:ascii="Arial" w:hAnsi="Arial" w:cs="Arial"/>
                <w:sz w:val="20"/>
                <w:szCs w:val="20"/>
              </w:rPr>
            </w:pPr>
            <w:r>
              <w:rPr>
                <w:rFonts w:cs="Arial" w:ascii="Arial" w:hAnsi="Arial"/>
                <w:sz w:val="20"/>
                <w:szCs w:val="20"/>
              </w:rPr>
              <w:t>Use third party firm to accelerate movement of additional vendors to electronic invoicing</w:t>
            </w:r>
          </w:p>
        </w:tc>
        <w:tc>
          <w:tcPr>
            <w:tcW w:w="1980" w:type="dxa"/>
            <w:tcBorders>
              <w:bottom w:val="single" w:sz="4" w:space="0" w:color="000000"/>
              <w:end w:val="single" w:sz="4" w:space="0" w:color="000000"/>
            </w:tcBorders>
          </w:tcPr>
          <w:p>
            <w:pPr>
              <w:pStyle w:val="Normal"/>
              <w:spacing w:before="0" w:after="0"/>
              <w:rPr>
                <w:rFonts w:ascii="Arial" w:hAnsi="Arial" w:cs="Arial"/>
                <w:sz w:val="20"/>
                <w:szCs w:val="20"/>
              </w:rPr>
            </w:pPr>
            <w:r>
              <w:rPr>
                <w:rFonts w:cs="Arial" w:ascii="Arial" w:hAnsi="Arial"/>
                <w:sz w:val="20"/>
                <w:szCs w:val="20"/>
              </w:rPr>
              <w:t>Reduce number of paper invoices; eliminate manual transactions</w:t>
            </w:r>
          </w:p>
        </w:tc>
        <w:tc>
          <w:tcPr>
            <w:tcW w:w="1700" w:type="dxa"/>
            <w:tcBorders>
              <w:bottom w:val="single" w:sz="4" w:space="0" w:color="000000"/>
              <w:end w:val="single" w:sz="4" w:space="0" w:color="000000"/>
            </w:tcBorders>
          </w:tcPr>
          <w:p>
            <w:pPr>
              <w:pStyle w:val="Normal"/>
              <w:spacing w:before="0" w:after="0"/>
              <w:rPr>
                <w:rFonts w:ascii="Arial" w:hAnsi="Arial" w:cs="Arial"/>
                <w:sz w:val="20"/>
                <w:szCs w:val="20"/>
              </w:rPr>
            </w:pPr>
            <w:r>
              <w:rPr>
                <w:rFonts w:cs="Arial" w:ascii="Arial" w:hAnsi="Arial"/>
                <w:sz w:val="20"/>
                <w:szCs w:val="20"/>
              </w:rPr>
              <w:t>Elimination of 3 headcount in Accounts Payable</w:t>
            </w:r>
          </w:p>
        </w:tc>
        <w:tc>
          <w:tcPr>
            <w:tcW w:w="1820" w:type="dxa"/>
            <w:tcBorders>
              <w:bottom w:val="single" w:sz="4" w:space="0" w:color="000000"/>
              <w:end w:val="single" w:sz="4" w:space="0" w:color="000000"/>
            </w:tcBorders>
          </w:tcPr>
          <w:p>
            <w:pPr>
              <w:pStyle w:val="Normal"/>
              <w:spacing w:before="0" w:after="0"/>
              <w:rPr>
                <w:rFonts w:ascii="Arial" w:hAnsi="Arial" w:cs="Arial"/>
                <w:sz w:val="20"/>
                <w:szCs w:val="20"/>
              </w:rPr>
            </w:pPr>
            <w:r>
              <w:rPr>
                <w:rFonts w:cs="Arial" w:ascii="Arial" w:hAnsi="Arial"/>
                <w:sz w:val="20"/>
                <w:szCs w:val="20"/>
              </w:rPr>
              <w:t>Third party provider engaged; vendor enrollment process underway</w:t>
            </w:r>
          </w:p>
        </w:tc>
        <w:tc>
          <w:tcPr>
            <w:tcW w:w="1340" w:type="dxa"/>
            <w:tcBorders>
              <w:bottom w:val="single" w:sz="4" w:space="0" w:color="000000"/>
              <w:end w:val="single" w:sz="4" w:space="0" w:color="000000"/>
            </w:tcBorders>
          </w:tcPr>
          <w:p>
            <w:pPr>
              <w:pStyle w:val="Normal"/>
              <w:spacing w:before="0" w:after="0"/>
              <w:rPr>
                <w:rFonts w:ascii="Arial" w:hAnsi="Arial" w:cs="Arial"/>
                <w:sz w:val="20"/>
                <w:szCs w:val="20"/>
              </w:rPr>
            </w:pPr>
            <w:r>
              <w:rPr>
                <w:rFonts w:cs="Arial" w:ascii="Arial" w:hAnsi="Arial"/>
                <w:sz w:val="20"/>
                <w:szCs w:val="20"/>
              </w:rPr>
              <w:t>4Q 2006</w:t>
            </w:r>
          </w:p>
        </w:tc>
      </w:tr>
    </w:tbl>
    <w:p>
      <w:pPr>
        <w:pStyle w:val="TableText"/>
        <w:rPr/>
      </w:pPr>
      <w:r>
        <w:rPr/>
      </w:r>
    </w:p>
    <w:p>
      <w:pPr>
        <w:pStyle w:val="TableText"/>
        <w:rPr/>
      </w:pPr>
      <w:r>
        <w:rPr/>
        <w:t xml:space="preserve">1.1.1.2 Zurich E-invoicing project </w:t>
      </w:r>
    </w:p>
    <w:p>
      <w:pPr>
        <w:pStyle w:val="TableText"/>
        <w:rPr/>
      </w:pPr>
      <w:r>
        <w:rPr/>
        <w:t xml:space="preserve">E-invoicing implemented in Zurich in 2006. Number of FTE in scope for Maxima was calculated on a e-Invoicing ratio of 66 %.  As of December 06 the ratio stands at 54 % connected. Additional 7 % is in testing phase and should be achieved by June 2007. </w:t>
      </w:r>
    </w:p>
    <w:p>
      <w:pPr>
        <w:pStyle w:val="TableText"/>
        <w:rPr/>
      </w:pPr>
      <w:r>
        <w:rPr/>
        <w:drawing>
          <wp:inline distT="0" distB="0" distL="0" distR="0">
            <wp:extent cx="5939155" cy="486600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3" t="-4" r="-3" b="-4"/>
                    <a:stretch>
                      <a:fillRect/>
                    </a:stretch>
                  </pic:blipFill>
                  <pic:spPr bwMode="auto">
                    <a:xfrm>
                      <a:off x="0" y="0"/>
                      <a:ext cx="5939155" cy="4866005"/>
                    </a:xfrm>
                    <a:prstGeom prst="rect">
                      <a:avLst/>
                    </a:prstGeom>
                    <a:noFill/>
                  </pic:spPr>
                </pic:pic>
              </a:graphicData>
            </a:graphic>
          </wp:inline>
        </w:drawing>
      </w:r>
      <w:r>
        <w:rPr/>
        <w:tab/>
        <w:tab/>
      </w:r>
    </w:p>
    <w:p>
      <w:pPr>
        <w:pStyle w:val="TableText"/>
        <w:rPr/>
      </w:pPr>
      <w:r>
        <w:rPr/>
        <w:t>1.1.1.3 UK Project</w:t>
        <w:tab/>
      </w:r>
    </w:p>
    <w:p>
      <w:pPr>
        <w:pStyle w:val="TableText"/>
        <w:rPr/>
      </w:pPr>
      <w:r>
        <w:rPr/>
        <w:t xml:space="preserve">UK implements a project to simplify T&amp;E process. Planned reduction of 1 FTE before Commencement Date, already included in FTE’s in scope. </w:t>
      </w:r>
    </w:p>
    <w:p>
      <w:pPr>
        <w:pStyle w:val="TableText"/>
        <w:rPr/>
      </w:pPr>
      <w:r>
        <w:rPr/>
        <w:drawing>
          <wp:inline distT="0" distB="0" distL="0" distR="0">
            <wp:extent cx="6628765" cy="4981575"/>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8" t="-10" r="-8" b="-10"/>
                    <a:stretch>
                      <a:fillRect/>
                    </a:stretch>
                  </pic:blipFill>
                  <pic:spPr bwMode="auto">
                    <a:xfrm>
                      <a:off x="0" y="0"/>
                      <a:ext cx="6628765" cy="4981575"/>
                    </a:xfrm>
                    <a:prstGeom prst="rect">
                      <a:avLst/>
                    </a:prstGeom>
                    <a:noFill/>
                  </pic:spPr>
                </pic:pic>
              </a:graphicData>
            </a:graphic>
          </wp:inline>
        </w:drawing>
      </w:r>
    </w:p>
    <w:p>
      <w:pPr>
        <w:pStyle w:val="TableText"/>
        <w:rPr/>
      </w:pPr>
      <w:r>
        <w:rPr/>
      </w:r>
    </w:p>
    <w:p>
      <w:pPr>
        <w:pStyle w:val="Heading2Numbered"/>
        <w:numPr>
          <w:ilvl w:val="1"/>
          <w:numId w:val="12"/>
        </w:numPr>
        <w:ind w:hanging="0" w:start="0"/>
        <w:rPr/>
      </w:pPr>
      <w:bookmarkStart w:id="3" w:name="__RefHeading___Toc147228579"/>
      <w:bookmarkEnd w:id="3"/>
      <w:r>
        <w:rPr/>
        <w:t>Planned Projects</w:t>
      </w:r>
    </w:p>
    <w:p>
      <w:pPr>
        <w:pStyle w:val="BodyText"/>
        <w:rPr/>
      </w:pPr>
      <w:r>
        <w:rPr/>
        <w:t>This section will describe the Planned Projects associated with the statements of work. Where indicated, the Service Provider will either manage the new environment post-implementation of the project, or will assume management responsibility for the project and the ongoing management of the new environment.</w:t>
      </w:r>
    </w:p>
    <w:p>
      <w:pPr>
        <w:pStyle w:val="BodyText"/>
        <w:spacing w:before="180" w:after="180"/>
        <w:rPr/>
      </w:pPr>
      <w:r>
        <w:rPr/>
        <w:t xml:space="preserve">1.2.1. There are no planned projects, which could impact processes and FTE’s in scope of the project. </w:t>
      </w:r>
    </w:p>
    <w:sectPr>
      <w:headerReference w:type="default" r:id="rId6"/>
      <w:headerReference w:type="first" r:id="rId7"/>
      <w:footerReference w:type="default" r:id="rId8"/>
      <w:footerReference w:type="first" r:id="rId9"/>
      <w:type w:val="nextPage"/>
      <w:pgSz w:w="12240" w:h="15840"/>
      <w:pgMar w:left="1440" w:right="1440" w:gutter="0" w:header="720" w:top="1728" w:footer="720" w:bottom="172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tab/>
      <w:t xml:space="preserve">E-9  –  </w:t>
    </w:r>
    <w:r>
      <w:rPr>
        <w:szCs w:val="18"/>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7</w:t>
    </w:r>
    <w:r>
      <w:rPr>
        <w:rStyle w:val="PageNumber"/>
      </w:rPr>
      <w:fldChar w:fldCharType="end"/>
    </w:r>
  </w:p>
  <w:p>
    <w:pPr>
      <w:pStyle w:val="Footer"/>
      <w:spacing w:before="120" w:after="120"/>
      <w:rPr/>
    </w:pPr>
    <w:r>
      <w:rPr/>
      <w:t>Copyright © 2005, Technology Partners International, Inc. All Rights Reserved/</w:t>
      <w:br/>
      <w:t>GlobalPharma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tab/>
      <w:t xml:space="preserve">E-9  –  </w:t>
    </w:r>
    <w:r>
      <w:rPr>
        <w:szCs w:val="18"/>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7</w:t>
    </w:r>
    <w:r>
      <w:rPr>
        <w:rStyle w:val="PageNumber"/>
      </w:rPr>
      <w:fldChar w:fldCharType="end"/>
    </w:r>
  </w:p>
  <w:p>
    <w:pPr>
      <w:pStyle w:val="Footer"/>
      <w:spacing w:before="120" w:after="120"/>
      <w:rPr/>
    </w:pPr>
    <w:r>
      <w:rPr/>
      <w:t>Copyright © 2005, Technology Partners International, Inc. All Rights Reserved/</w:t>
      <w:br/>
      <w:t>GlobalPharma CONFIDENTIAL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drawing>
        <wp:anchor behindDoc="1" distT="0" distB="0" distL="114935" distR="114935" simplePos="0" locked="0" layoutInCell="1" allowOverlap="1" relativeHeight="5">
          <wp:simplePos x="0" y="0"/>
          <wp:positionH relativeFrom="column">
            <wp:posOffset>4711065</wp:posOffset>
          </wp:positionH>
          <wp:positionV relativeFrom="paragraph">
            <wp:posOffset>-29210</wp:posOffset>
          </wp:positionV>
          <wp:extent cx="1028700" cy="385445"/>
          <wp:effectExtent l="0" t="0" r="0" b="0"/>
          <wp:wrapNone/>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drawing>
        <wp:inline distT="0" distB="0" distL="0" distR="0">
          <wp:extent cx="1494155" cy="345440"/>
          <wp:effectExtent l="0" t="0" r="0" b="0"/>
          <wp:docPr id="2"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tab/>
    </w:r>
  </w:p>
  <w:p>
    <w:pPr>
      <w:pStyle w:val="Header"/>
      <w:spacing w:before="12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drawing>
        <wp:anchor behindDoc="1" distT="0" distB="0" distL="114935" distR="114935" simplePos="0" locked="0" layoutInCell="1" allowOverlap="1" relativeHeight="15">
          <wp:simplePos x="0" y="0"/>
          <wp:positionH relativeFrom="column">
            <wp:posOffset>4711065</wp:posOffset>
          </wp:positionH>
          <wp:positionV relativeFrom="paragraph">
            <wp:posOffset>-29210</wp:posOffset>
          </wp:positionV>
          <wp:extent cx="1028700" cy="385445"/>
          <wp:effectExtent l="0" t="0" r="0" b="0"/>
          <wp:wrapNone/>
          <wp:docPr id="5"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Copy 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drawing>
        <wp:inline distT="0" distB="0" distL="0" distR="0">
          <wp:extent cx="1494155" cy="345440"/>
          <wp:effectExtent l="0" t="0" r="0" b="0"/>
          <wp:docPr id="6"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tab/>
    </w:r>
  </w:p>
  <w:p>
    <w:pPr>
      <w:pStyle w:val="Header"/>
      <w:spacing w:before="120" w:after="12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decimal"/>
      <w:lvlText w:val="%1."/>
      <w:lvlJc w:val="start"/>
      <w:pPr>
        <w:tabs>
          <w:tab w:val="num" w:pos="720"/>
        </w:tabs>
        <w:ind w:start="720" w:hanging="504"/>
      </w:pPr>
      <w:rPr>
        <w:sz w:val="22"/>
        <w:i w:val="false"/>
        <w:b w:val="false"/>
        <w:rFonts w:ascii="Times New Roman" w:hAnsi="Times New Roman" w:cs="Times New Roman"/>
        <w:color w:val="000000"/>
      </w:rPr>
    </w:lvl>
    <w:lvl w:ilvl="1">
      <w:start w:val="1"/>
      <w:numFmt w:val="decimal"/>
      <w:lvlText w:val="%1.%2."/>
      <w:lvlJc w:val="start"/>
      <w:pPr>
        <w:tabs>
          <w:tab w:val="num" w:pos="720"/>
        </w:tabs>
        <w:ind w:start="720" w:hanging="504"/>
      </w:pPr>
      <w:rPr>
        <w:sz w:val="22"/>
        <w:i w:val="false"/>
        <w:b w:val="false"/>
        <w:rFonts w:ascii="Times New Roman" w:hAnsi="Times New Roman" w:cs="Times New Roman"/>
      </w:rPr>
    </w:lvl>
    <w:lvl w:ilvl="2">
      <w:start w:val="1"/>
      <w:numFmt w:val="decimal"/>
      <w:lvlText w:val="%1.%2.%3."/>
      <w:lvlJc w:val="start"/>
      <w:pPr>
        <w:tabs>
          <w:tab w:val="num" w:pos="1296"/>
        </w:tabs>
        <w:ind w:start="1296" w:hanging="1080"/>
      </w:pPr>
      <w:rPr>
        <w:sz w:val="22"/>
        <w:i w:val="false"/>
        <w:b w:val="false"/>
        <w:rFonts w:ascii="Times New Roman" w:hAnsi="Times New Roman" w:cs="Times New Roman"/>
      </w:rPr>
    </w:lvl>
    <w:lvl w:ilvl="3">
      <w:start w:val="1"/>
      <w:numFmt w:val="decimal"/>
      <w:lvlText w:val="%1.%2.%3.%4."/>
      <w:lvlJc w:val="start"/>
      <w:pPr>
        <w:tabs>
          <w:tab w:val="num" w:pos="1296"/>
        </w:tabs>
        <w:ind w:start="1296" w:hanging="1080"/>
      </w:pPr>
      <w:rPr>
        <w:sz w:val="22"/>
        <w:i w:val="false"/>
        <w:b w:val="false"/>
        <w:rFonts w:ascii="Times New Roman" w:hAnsi="Times New Roman" w:cs="Times New Roman"/>
      </w:rPr>
    </w:lvl>
    <w:lvl w:ilvl="4">
      <w:start w:val="1"/>
      <w:numFmt w:val="upperLetter"/>
      <w:lvlText w:val="%5."/>
      <w:lvlJc w:val="start"/>
      <w:pPr>
        <w:tabs>
          <w:tab w:val="num" w:pos="1296"/>
        </w:tabs>
        <w:ind w:start="1296" w:hanging="576"/>
      </w:pPr>
      <w:rPr/>
    </w:lvl>
    <w:lvl w:ilvl="5">
      <w:start w:val="1"/>
      <w:numFmt w:val="decimal"/>
      <w:lvlText w:val="%6."/>
      <w:lvlJc w:val="start"/>
      <w:pPr>
        <w:tabs>
          <w:tab w:val="num" w:pos="1296"/>
        </w:tabs>
        <w:ind w:start="1296" w:hanging="576"/>
      </w:pPr>
      <w:rPr/>
    </w:lvl>
    <w:lvl w:ilvl="6">
      <w:start w:val="1"/>
      <w:numFmt w:val="lowerLetter"/>
      <w:lvlText w:val="%7."/>
      <w:lvlJc w:val="start"/>
      <w:pPr>
        <w:tabs>
          <w:tab w:val="num" w:pos="1728"/>
        </w:tabs>
        <w:ind w:start="1728" w:hanging="432"/>
      </w:pPr>
      <w:rPr/>
    </w:lvl>
    <w:lvl w:ilvl="7">
      <w:start w:val="1"/>
      <w:numFmt w:val="lowerRoman"/>
      <w:lvlText w:val="%8.)"/>
      <w:lvlJc w:val="start"/>
      <w:pPr>
        <w:tabs>
          <w:tab w:val="num" w:pos="1728"/>
        </w:tabs>
        <w:ind w:start="1728" w:hanging="432"/>
      </w:pPr>
      <w:rPr/>
    </w:lvl>
    <w:lvl w:ilvl="8">
      <w:start w:val="1"/>
      <w:numFmt w:val="none"/>
      <w:suff w:val="nothing"/>
      <w:lvlText w:val=""/>
      <w:lvlJc w:val="start"/>
      <w:pPr>
        <w:tabs>
          <w:tab w:val="num" w:pos="360"/>
        </w:tabs>
        <w:ind w:start="0" w:hanging="0"/>
      </w:pPr>
      <w:rPr/>
    </w:lvl>
  </w:abstractNum>
  <w:abstractNum w:abstractNumId="9">
    <w:lvl w:ilvl="0">
      <w:start w:val="1"/>
      <w:numFmt w:val="bullet"/>
      <w:lvlText w:val=""/>
      <w:lvlJc w:val="start"/>
      <w:pPr>
        <w:tabs>
          <w:tab w:val="num" w:pos="1800"/>
        </w:tabs>
        <w:ind w:start="1800" w:hanging="360"/>
      </w:pPr>
      <w:rPr>
        <w:rFonts w:ascii="Symbol" w:hAnsi="Symbol" w:cs="Symbol" w:hint="default"/>
      </w:rPr>
    </w:lvl>
  </w:abstractNum>
  <w:abstractNum w:abstractNumId="10">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decimal"/>
      <w:lvlText w:val="%1.%2.%3.%4"/>
      <w:lvlJc w:val="start"/>
      <w:pPr>
        <w:tabs>
          <w:tab w:val="num" w:pos="3240"/>
        </w:tabs>
        <w:ind w:start="3240" w:hanging="1613"/>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1">
    <w:lvl w:ilvl="0">
      <w:start w:val="1"/>
      <w:numFmt w:val="bullet"/>
      <w:lvlText w:val=""/>
      <w:lvlJc w:val="start"/>
      <w:pPr>
        <w:tabs>
          <w:tab w:val="num" w:pos="1800"/>
        </w:tabs>
        <w:ind w:start="1800" w:hanging="360"/>
      </w:pPr>
      <w:rPr>
        <w:rFonts w:ascii="Symbol" w:hAnsi="Symbol" w:cs="Symbol" w:hint="default"/>
      </w:rPr>
    </w:lvl>
  </w:abstractNum>
  <w:abstractNum w:abstractNumId="12">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decimal"/>
      <w:lvlText w:val="%1.%2.%3.%4.%5"/>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3">
    <w:lvl w:ilvl="0">
      <w:start w:val="1"/>
      <w:numFmt w:val="bullet"/>
      <w:lvlText w:val=""/>
      <w:lvlJc w:val="start"/>
      <w:pPr>
        <w:tabs>
          <w:tab w:val="num" w:pos="2707"/>
        </w:tabs>
        <w:ind w:start="2707" w:hanging="547"/>
      </w:pPr>
      <w:rPr>
        <w:rFonts w:ascii="Symbol" w:hAnsi="Symbol" w:cs="Symbol" w:hint="default"/>
      </w:rPr>
    </w:lvl>
  </w:abstractNum>
  <w:abstractNum w:abstractNumId="14">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bullet"/>
      <w:lvlText w:val=""/>
      <w:lvlJc w:val="start"/>
      <w:pPr>
        <w:tabs>
          <w:tab w:val="num" w:pos="1440"/>
        </w:tabs>
        <w:ind w:start="1440" w:hanging="360"/>
      </w:pPr>
      <w:rPr>
        <w:rFonts w:ascii="Symbol" w:hAnsi="Symbol" w:cs="Symbol" w:hint="default"/>
      </w:rPr>
    </w:lvl>
  </w:abstractNum>
  <w:abstractNum w:abstractNumId="17">
    <w:lvl w:ilvl="0">
      <w:start w:val="1"/>
      <w:numFmt w:val="bullet"/>
      <w:lvlText w:val=""/>
      <w:lvlJc w:val="start"/>
      <w:pPr>
        <w:tabs>
          <w:tab w:val="num" w:pos="1627"/>
        </w:tabs>
        <w:ind w:start="1627" w:hanging="547"/>
      </w:pPr>
      <w:rPr>
        <w:rFonts w:ascii="Symbol" w:hAnsi="Symbol" w:cs="Symbol" w:hint="default"/>
      </w:rPr>
    </w:lvl>
  </w:abstractNum>
  <w:abstractNum w:abstractNumId="18">
    <w:lvl w:ilvl="0">
      <w:start w:val="1"/>
      <w:numFmt w:val="bullet"/>
      <w:lvlText w:val=""/>
      <w:lvlJc w:val="start"/>
      <w:pPr>
        <w:tabs>
          <w:tab w:val="num" w:pos="2160"/>
        </w:tabs>
        <w:ind w:start="2160" w:hanging="533"/>
      </w:pPr>
      <w:rPr>
        <w:rFonts w:ascii="Symbol" w:hAnsi="Symbol" w:cs="Symbol" w:hint="default"/>
      </w:rPr>
    </w:lvl>
  </w:abstractNum>
  <w:abstractNum w:abstractNumId="19">
    <w:lvl w:ilvl="0">
      <w:start w:val="1"/>
      <w:numFmt w:val="bullet"/>
      <w:lvlText w:val=""/>
      <w:lvlJc w:val="start"/>
      <w:pPr>
        <w:tabs>
          <w:tab w:val="num" w:pos="3240"/>
        </w:tabs>
        <w:ind w:start="3240" w:hanging="53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val="bestFit" w:percent="20"/>
  <w:trackRevisions/>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TableText"/>
    <w:qFormat/>
    <w:pPr>
      <w:keepNext w:val="true"/>
      <w:keepLines/>
      <w:numPr>
        <w:ilvl w:val="0"/>
        <w:numId w:val="1"/>
      </w:numPr>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TableText"/>
    <w:qFormat/>
    <w:pPr>
      <w:numPr>
        <w:ilvl w:val="1"/>
        <w:numId w:val="1"/>
      </w:numPr>
      <w:outlineLvl w:val="1"/>
    </w:pPr>
    <w:rPr>
      <w:bCs w:val="false"/>
      <w:iCs/>
      <w:caps w:val="false"/>
      <w:smallCaps w:val="false"/>
      <w:szCs w:val="28"/>
    </w:rPr>
  </w:style>
  <w:style w:type="paragraph" w:styleId="Heading3">
    <w:name w:val="heading 3"/>
    <w:basedOn w:val="Heading2"/>
    <w:next w:val="TableText"/>
    <w:qFormat/>
    <w:pPr>
      <w:numPr>
        <w:ilvl w:val="2"/>
        <w:numId w:val="1"/>
      </w:numPr>
      <w:outlineLvl w:val="2"/>
    </w:pPr>
    <w:rPr>
      <w:bCs/>
      <w:sz w:val="24"/>
      <w:szCs w:val="26"/>
    </w:rPr>
  </w:style>
  <w:style w:type="paragraph" w:styleId="Heading4">
    <w:name w:val="heading 4"/>
    <w:basedOn w:val="Heading3"/>
    <w:next w:val="TableText"/>
    <w:qFormat/>
    <w:pPr>
      <w:numPr>
        <w:ilvl w:val="3"/>
        <w:numId w:val="1"/>
      </w:numPr>
      <w:outlineLvl w:val="3"/>
    </w:pPr>
    <w:rPr>
      <w:bCs w:val="false"/>
      <w:i/>
      <w:szCs w:val="28"/>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Times New Roman" w:hAnsi="Times New Roman" w:cs="Times New Roman"/>
      <w:b w:val="false"/>
      <w:i w:val="false"/>
      <w:color w:val="000000"/>
      <w:sz w:val="22"/>
    </w:rPr>
  </w:style>
  <w:style w:type="character" w:styleId="WW8Num11z1">
    <w:name w:val="WW8Num11z1"/>
    <w:qFormat/>
    <w:rPr>
      <w:rFonts w:ascii="Times New Roman" w:hAnsi="Times New Roman" w:cs="Times New Roman"/>
      <w:b w:val="false"/>
      <w:i w:val="false"/>
      <w:sz w:val="22"/>
    </w:rPr>
  </w:style>
  <w:style w:type="character" w:styleId="WW8Num11z4">
    <w:name w:val="WW8Num11z4"/>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Times New Roman" w:hAnsi="Times New Roman" w:cs="Times New Roman"/>
      <w:b w:val="false"/>
      <w:i w:val="false"/>
      <w:color w:val="000000"/>
      <w:sz w:val="22"/>
    </w:rPr>
  </w:style>
  <w:style w:type="character" w:styleId="WW8Num13z1">
    <w:name w:val="WW8Num13z1"/>
    <w:qFormat/>
    <w:rPr>
      <w:rFonts w:ascii="Times New Roman" w:hAnsi="Times New Roman" w:cs="Times New Roman"/>
      <w:b w:val="false"/>
      <w:i w:val="false"/>
      <w:sz w:val="22"/>
    </w:rPr>
  </w:style>
  <w:style w:type="character" w:styleId="WW8Num13z4">
    <w:name w:val="WW8Num13z4"/>
    <w:qFormat/>
    <w:rPr/>
  </w:style>
  <w:style w:type="character" w:styleId="WW8Num15z0">
    <w:name w:val="WW8Num15z0"/>
    <w:qFormat/>
    <w:rPr>
      <w:rFonts w:ascii="Times New Roman" w:hAnsi="Times New Roman" w:cs="Times New Roman"/>
      <w:b w:val="false"/>
      <w:i w:val="false"/>
      <w:color w:val="000000"/>
      <w:sz w:val="22"/>
    </w:rPr>
  </w:style>
  <w:style w:type="character" w:styleId="WW8Num15z1">
    <w:name w:val="WW8Num15z1"/>
    <w:qFormat/>
    <w:rPr>
      <w:rFonts w:ascii="Times New Roman" w:hAnsi="Times New Roman" w:cs="Times New Roman"/>
      <w:b w:val="false"/>
      <w:i w:val="false"/>
      <w:sz w:val="22"/>
    </w:rPr>
  </w:style>
  <w:style w:type="character" w:styleId="WW8Num15z4">
    <w:name w:val="WW8Num15z4"/>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Times New Roman" w:hAnsi="Times New Roman" w:cs="Times New Roman"/>
      <w:b w:val="false"/>
      <w:i w:val="false"/>
      <w:color w:val="000000"/>
      <w:sz w:val="22"/>
    </w:rPr>
  </w:style>
  <w:style w:type="character" w:styleId="WW8Num17z1">
    <w:name w:val="WW8Num17z1"/>
    <w:qFormat/>
    <w:rPr>
      <w:rFonts w:ascii="Times New Roman" w:hAnsi="Times New Roman" w:cs="Times New Roman"/>
      <w:b w:val="false"/>
      <w:i w:val="false"/>
      <w:sz w:val="22"/>
    </w:rPr>
  </w:style>
  <w:style w:type="character" w:styleId="WW8Num17z4">
    <w:name w:val="WW8Num17z4"/>
    <w:qFormat/>
    <w:rPr/>
  </w:style>
  <w:style w:type="character" w:styleId="WW8Num18z0">
    <w:name w:val="WW8Num18z0"/>
    <w:qFormat/>
    <w:rPr>
      <w:rFonts w:ascii="Times New Roman Bold;Times New Roman" w:hAnsi="Times New Roman Bold;Times New Roman" w:cs="Times New Roman Bold;Times New Roman"/>
      <w:b/>
      <w:i w:val="false"/>
      <w:sz w:val="28"/>
    </w:rPr>
  </w:style>
  <w:style w:type="character" w:styleId="WW8Num18z2">
    <w:name w:val="WW8Num18z2"/>
    <w:qFormat/>
    <w:rPr>
      <w:rFonts w:ascii="Times New Roman" w:hAnsi="Times New Roman" w:cs="Times New Roman"/>
      <w:b/>
      <w:i w:val="false"/>
      <w:sz w:val="24"/>
    </w:rPr>
  </w:style>
  <w:style w:type="character" w:styleId="WW8Num18z4">
    <w:name w:val="WW8Num18z4"/>
    <w:qFormat/>
    <w:rPr>
      <w:rFonts w:ascii="Times New Roman Bold;Times New Roman" w:hAnsi="Times New Roman Bold;Times New Roman" w:cs="Times New Roman Bold;Times New Roman"/>
      <w:b/>
      <w:i w:val="false"/>
      <w:sz w:val="22"/>
      <w:szCs w:val="22"/>
    </w:rPr>
  </w:style>
  <w:style w:type="character" w:styleId="WW8Num18z5">
    <w:name w:val="WW8Num18z5"/>
    <w:qFormat/>
    <w:rPr>
      <w:rFonts w:ascii="Times New Roman" w:hAnsi="Times New Roman" w:cs="Times New Roman"/>
      <w:b w:val="false"/>
      <w:i w:val="false"/>
      <w:sz w:val="22"/>
    </w:rPr>
  </w:style>
  <w:style w:type="character" w:styleId="WW8Num18z8">
    <w:name w:val="WW8Num18z8"/>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2z0">
    <w:name w:val="WW8Num22z0"/>
    <w:qFormat/>
    <w:rPr>
      <w:rFonts w:ascii="Times New Roman Bold;Times New Roman" w:hAnsi="Times New Roman Bold;Times New Roman" w:cs="Times New Roman Bold;Times New Roman"/>
      <w:b/>
      <w:i w:val="false"/>
      <w:sz w:val="28"/>
    </w:rPr>
  </w:style>
  <w:style w:type="character" w:styleId="WW8Num22z2">
    <w:name w:val="WW8Num22z2"/>
    <w:qFormat/>
    <w:rPr>
      <w:rFonts w:ascii="Times New Roman" w:hAnsi="Times New Roman" w:cs="Times New Roman"/>
      <w:b/>
      <w:i w:val="false"/>
      <w:sz w:val="24"/>
    </w:rPr>
  </w:style>
  <w:style w:type="character" w:styleId="WW8Num22z4">
    <w:name w:val="WW8Num22z4"/>
    <w:qFormat/>
    <w:rPr>
      <w:rFonts w:ascii="Times New Roman" w:hAnsi="Times New Roman" w:cs="Times New Roman"/>
      <w:b w:val="false"/>
      <w:i w:val="false"/>
      <w:sz w:val="22"/>
    </w:rPr>
  </w:style>
  <w:style w:type="character" w:styleId="WW8Num22z8">
    <w:name w:val="WW8Num22z8"/>
    <w:qFormat/>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Times New Roman" w:hAnsi="Times New Roman" w:cs="Times New Roman"/>
      <w:b w:val="false"/>
      <w:i w:val="false"/>
      <w:color w:val="000000"/>
      <w:sz w:val="22"/>
    </w:rPr>
  </w:style>
  <w:style w:type="character" w:styleId="WW8Num25z1">
    <w:name w:val="WW8Num25z1"/>
    <w:qFormat/>
    <w:rPr>
      <w:rFonts w:ascii="Times New Roman" w:hAnsi="Times New Roman" w:cs="Times New Roman"/>
      <w:b w:val="false"/>
      <w:i w:val="false"/>
      <w:sz w:val="22"/>
    </w:rPr>
  </w:style>
  <w:style w:type="character" w:styleId="WW8Num25z4">
    <w:name w:val="WW8Num25z4"/>
    <w:qFormat/>
    <w:rPr/>
  </w:style>
  <w:style w:type="character" w:styleId="WW8Num26z0">
    <w:name w:val="WW8Num26z0"/>
    <w:qFormat/>
    <w:rPr>
      <w:rFonts w:ascii="Times New Roman" w:hAnsi="Times New Roman" w:cs="Times New Roman"/>
      <w:b w:val="false"/>
      <w:i w:val="false"/>
      <w:color w:val="000000"/>
      <w:sz w:val="22"/>
    </w:rPr>
  </w:style>
  <w:style w:type="character" w:styleId="WW8Num26z1">
    <w:name w:val="WW8Num26z1"/>
    <w:qFormat/>
    <w:rPr>
      <w:rFonts w:ascii="Times New Roman" w:hAnsi="Times New Roman" w:cs="Times New Roman"/>
      <w:b w:val="false"/>
      <w:i w:val="false"/>
      <w:sz w:val="22"/>
    </w:rPr>
  </w:style>
  <w:style w:type="character" w:styleId="WW8Num26z4">
    <w:name w:val="WW8Num26z4"/>
    <w:qFormat/>
    <w:rPr/>
  </w:style>
  <w:style w:type="character" w:styleId="WW8Num28z0">
    <w:name w:val="WW8Num28z0"/>
    <w:qFormat/>
    <w:rPr>
      <w:rFonts w:ascii="Times New Roman" w:hAnsi="Times New Roman" w:cs="Times New Roman"/>
      <w:b w:val="false"/>
      <w:i w:val="false"/>
      <w:color w:val="000000"/>
      <w:sz w:val="22"/>
    </w:rPr>
  </w:style>
  <w:style w:type="character" w:styleId="WW8Num28z1">
    <w:name w:val="WW8Num28z1"/>
    <w:qFormat/>
    <w:rPr>
      <w:rFonts w:ascii="Times New Roman" w:hAnsi="Times New Roman" w:cs="Times New Roman"/>
      <w:b w:val="false"/>
      <w:i w:val="false"/>
      <w:sz w:val="22"/>
    </w:rPr>
  </w:style>
  <w:style w:type="character" w:styleId="WW8Num28z4">
    <w:name w:val="WW8Num28z4"/>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Times New Roman" w:hAnsi="Times New Roman" w:cs="Times New Roman"/>
      <w:b w:val="false"/>
      <w:i w:val="false"/>
      <w:color w:val="000000"/>
      <w:sz w:val="22"/>
    </w:rPr>
  </w:style>
  <w:style w:type="character" w:styleId="WW8Num30z1">
    <w:name w:val="WW8Num30z1"/>
    <w:qFormat/>
    <w:rPr>
      <w:rFonts w:ascii="Times New Roman" w:hAnsi="Times New Roman" w:cs="Times New Roman"/>
      <w:b w:val="false"/>
      <w:i w:val="false"/>
      <w:sz w:val="22"/>
    </w:rPr>
  </w:style>
  <w:style w:type="character" w:styleId="WW8Num30z4">
    <w:name w:val="WW8Num30z4"/>
    <w:qFormat/>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Times New Roman" w:hAnsi="Times New Roman" w:cs="Times New Roman"/>
      <w:b w:val="false"/>
      <w:i w:val="false"/>
      <w:color w:val="000000"/>
      <w:sz w:val="22"/>
    </w:rPr>
  </w:style>
  <w:style w:type="character" w:styleId="WW8Num33z1">
    <w:name w:val="WW8Num33z1"/>
    <w:qFormat/>
    <w:rPr>
      <w:rFonts w:ascii="Times New Roman" w:hAnsi="Times New Roman" w:cs="Times New Roman"/>
      <w:b w:val="false"/>
      <w:i w:val="false"/>
      <w:sz w:val="22"/>
    </w:rPr>
  </w:style>
  <w:style w:type="character" w:styleId="WW8Num33z4">
    <w:name w:val="WW8Num33z4"/>
    <w:qFormat/>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Times New Roman" w:hAnsi="Times New Roman" w:cs="Times New Roman"/>
      <w:b w:val="false"/>
      <w:i w:val="false"/>
      <w:color w:val="000000"/>
      <w:sz w:val="22"/>
    </w:rPr>
  </w:style>
  <w:style w:type="character" w:styleId="WW8Num36z1">
    <w:name w:val="WW8Num36z1"/>
    <w:qFormat/>
    <w:rPr>
      <w:rFonts w:ascii="Times New Roman" w:hAnsi="Times New Roman" w:cs="Times New Roman"/>
      <w:b w:val="false"/>
      <w:i w:val="false"/>
      <w:sz w:val="22"/>
    </w:rPr>
  </w:style>
  <w:style w:type="character" w:styleId="WW8Num36z4">
    <w:name w:val="WW8Num36z4"/>
    <w:qFormat/>
    <w:rPr/>
  </w:style>
  <w:style w:type="character" w:styleId="WW8Num37z0">
    <w:name w:val="WW8Num37z0"/>
    <w:qFormat/>
    <w:rPr>
      <w:rFonts w:ascii="Times New Roman Bold;Times New Roman" w:hAnsi="Times New Roman Bold;Times New Roman" w:cs="Times New Roman Bold;Times New Roman"/>
      <w:b/>
      <w:i w:val="false"/>
      <w:color w:val="000000"/>
      <w:sz w:val="28"/>
      <w:szCs w:val="28"/>
    </w:rPr>
  </w:style>
  <w:style w:type="character" w:styleId="WW8Num37z1">
    <w:name w:val="WW8Num37z1"/>
    <w:qFormat/>
    <w:rPr>
      <w:rFonts w:ascii="Times New Roman" w:hAnsi="Times New Roman" w:cs="Times New Roman"/>
      <w:b w:val="false"/>
      <w:i w:val="false"/>
      <w:sz w:val="22"/>
    </w:rPr>
  </w:style>
  <w:style w:type="character" w:styleId="WW8Num37z4">
    <w:name w:val="WW8Num37z4"/>
    <w:qFormat/>
    <w:rPr/>
  </w:style>
  <w:style w:type="character" w:styleId="WW8Num38z0">
    <w:name w:val="WW8Num38z0"/>
    <w:qFormat/>
    <w:rPr>
      <w:rFonts w:ascii="Times New Roman" w:hAnsi="Times New Roman" w:cs="Times New Roman"/>
      <w:b w:val="false"/>
      <w:i w:val="false"/>
      <w:color w:val="000000"/>
      <w:sz w:val="22"/>
    </w:rPr>
  </w:style>
  <w:style w:type="character" w:styleId="WW8Num38z1">
    <w:name w:val="WW8Num38z1"/>
    <w:qFormat/>
    <w:rPr>
      <w:rFonts w:ascii="Times New Roman" w:hAnsi="Times New Roman" w:cs="Times New Roman"/>
      <w:b w:val="false"/>
      <w:i w:val="false"/>
      <w:sz w:val="22"/>
    </w:rPr>
  </w:style>
  <w:style w:type="character" w:styleId="WW8Num38z4">
    <w:name w:val="WW8Num38z4"/>
    <w:qFormat/>
    <w:rPr/>
  </w:style>
  <w:style w:type="character" w:styleId="WW8Num39z0">
    <w:name w:val="WW8Num39z0"/>
    <w:qFormat/>
    <w:rPr>
      <w:rFonts w:ascii="Times New Roman" w:hAnsi="Times New Roman" w:cs="Times New Roman"/>
      <w:b w:val="false"/>
      <w:i w:val="false"/>
      <w:color w:val="000000"/>
      <w:sz w:val="22"/>
    </w:rPr>
  </w:style>
  <w:style w:type="character" w:styleId="WW8Num39z1">
    <w:name w:val="WW8Num39z1"/>
    <w:qFormat/>
    <w:rPr>
      <w:rFonts w:ascii="Times New Roman" w:hAnsi="Times New Roman" w:cs="Times New Roman"/>
      <w:b w:val="false"/>
      <w:i w:val="false"/>
      <w:sz w:val="22"/>
    </w:rPr>
  </w:style>
  <w:style w:type="character" w:styleId="WW8Num39z4">
    <w:name w:val="WW8Num39z4"/>
    <w:qFormat/>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1z0">
    <w:name w:val="WW8Num41z0"/>
    <w:qFormat/>
    <w:rPr>
      <w:rFonts w:ascii="Times New Roman" w:hAnsi="Times New Roman" w:cs="Times New Roman"/>
      <w:b w:val="false"/>
      <w:i w:val="false"/>
      <w:color w:val="000000"/>
      <w:sz w:val="22"/>
    </w:rPr>
  </w:style>
  <w:style w:type="character" w:styleId="WW8Num41z1">
    <w:name w:val="WW8Num41z1"/>
    <w:qFormat/>
    <w:rPr>
      <w:rFonts w:ascii="Times New Roman" w:hAnsi="Times New Roman" w:cs="Times New Roman"/>
      <w:b w:val="false"/>
      <w:i w:val="false"/>
      <w:sz w:val="22"/>
    </w:rPr>
  </w:style>
  <w:style w:type="character" w:styleId="WW8Num41z4">
    <w:name w:val="WW8Num41z4"/>
    <w:qFormat/>
    <w:rPr/>
  </w:style>
  <w:style w:type="character" w:styleId="WW8Num42z0">
    <w:name w:val="WW8Num42z0"/>
    <w:qFormat/>
    <w:rPr>
      <w:rFonts w:ascii="Times New Roman" w:hAnsi="Times New Roman" w:cs="Times New Roman"/>
      <w:b w:val="false"/>
      <w:i w:val="false"/>
      <w:color w:val="000000"/>
      <w:sz w:val="22"/>
    </w:rPr>
  </w:style>
  <w:style w:type="character" w:styleId="WW8Num42z1">
    <w:name w:val="WW8Num42z1"/>
    <w:qFormat/>
    <w:rPr>
      <w:rFonts w:ascii="Times New Roman" w:hAnsi="Times New Roman" w:cs="Times New Roman"/>
      <w:b w:val="false"/>
      <w:i w:val="false"/>
      <w:sz w:val="22"/>
    </w:rPr>
  </w:style>
  <w:style w:type="character" w:styleId="WW8Num42z4">
    <w:name w:val="WW8Num42z4"/>
    <w:qFormat/>
    <w:rPr/>
  </w:style>
  <w:style w:type="character" w:styleId="WW8Num43z0">
    <w:name w:val="WW8Num43z0"/>
    <w:qFormat/>
    <w:rPr>
      <w:rFonts w:ascii="Times New Roman" w:hAnsi="Times New Roman" w:cs="Times New Roman"/>
      <w:b w:val="false"/>
      <w:i w:val="false"/>
      <w:color w:val="000000"/>
      <w:sz w:val="22"/>
    </w:rPr>
  </w:style>
  <w:style w:type="character" w:styleId="WW8Num43z1">
    <w:name w:val="WW8Num43z1"/>
    <w:qFormat/>
    <w:rPr>
      <w:rFonts w:ascii="Times New Roman" w:hAnsi="Times New Roman" w:cs="Times New Roman"/>
      <w:b w:val="false"/>
      <w:i w:val="false"/>
      <w:sz w:val="22"/>
    </w:rPr>
  </w:style>
  <w:style w:type="character" w:styleId="WW8Num43z4">
    <w:name w:val="WW8Num43z4"/>
    <w:qFormat/>
    <w:rPr/>
  </w:style>
  <w:style w:type="character" w:styleId="Absatz-Standardschriftart">
    <w:name w:val="Absatz-Standardschriftart"/>
    <w:qFormat/>
    <w:rPr/>
  </w:style>
  <w:style w:type="character" w:styleId="PageNumber">
    <w:name w:val="page number"/>
    <w:basedOn w:val="Absatz-Standardschriftart"/>
    <w:rPr/>
  </w:style>
  <w:style w:type="character" w:styleId="Hyperlink">
    <w:name w:val="Hyperlink"/>
    <w:basedOn w:val="Absatz-Standardschriftart"/>
    <w:rPr>
      <w:color w:val="0000FF"/>
      <w:u w:val="single"/>
    </w:rPr>
  </w:style>
  <w:style w:type="character" w:styleId="strikeout">
    <w:name w:val="strikeout"/>
    <w:basedOn w:val="Absatz-Standardschriftart"/>
    <w:qFormat/>
    <w:rPr>
      <w:strike w:val="false"/>
      <w:dstrike w:val="false"/>
      <w:color w:val="FF0000"/>
    </w:rPr>
  </w:style>
  <w:style w:type="character" w:styleId="Revised-NewChar">
    <w:name w:val="Revised - New Char"/>
    <w:basedOn w:val="Absatz-Standardschriftart"/>
    <w:qFormat/>
    <w:rPr>
      <w:rFonts w:ascii="Arial" w:hAnsi="Arial" w:cs="Arial"/>
      <w:b/>
      <w:color w:val="333399"/>
      <w:sz w:val="22"/>
      <w:szCs w:val="22"/>
      <w:lang w:val="en-US" w:bidi="ar-SA"/>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180" w:after="18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center" w:pos="7200" w:leader="none"/>
        <w:tab w:val="right" w:pos="14400" w:leader="none"/>
      </w:tabs>
    </w:pPr>
    <w:rPr>
      <w:i/>
      <w:sz w:val="18"/>
    </w:rPr>
  </w:style>
  <w:style w:type="paragraph" w:styleId="Header">
    <w:name w:val="header"/>
    <w:basedOn w:val="Normal"/>
    <w:pPr>
      <w:tabs>
        <w:tab w:val="clear" w:pos="720"/>
        <w:tab w:val="right" w:pos="9360" w:leader="none"/>
        <w:tab w:val="right" w:pos="14400" w:leader="none"/>
      </w:tabs>
    </w:pPr>
    <w:rPr>
      <w:i/>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next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4">
    <w:name w:val="toc 4"/>
    <w:basedOn w:val="Normal"/>
    <w:next w:val="Normal"/>
    <w:pPr>
      <w:spacing w:before="0" w:after="0"/>
      <w:ind w:hanging="0" w:start="660" w:end="0"/>
    </w:pPr>
    <w:rPr>
      <w:sz w:val="18"/>
      <w:szCs w:val="1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Bullet1BodyText">
    <w:name w:val="Bullet 1 Body Text"/>
    <w:basedOn w:val="Normal"/>
    <w:qFormat/>
    <w:pPr>
      <w:numPr>
        <w:ilvl w:val="0"/>
        <w:numId w:val="9"/>
      </w:numPr>
      <w:spacing w:before="240" w:after="240"/>
    </w:pPr>
    <w:rPr/>
  </w:style>
  <w:style w:type="paragraph" w:styleId="TableTextBullet">
    <w:name w:val="Table Text Bullet"/>
    <w:basedOn w:val="Normal"/>
    <w:qFormat/>
    <w:pPr>
      <w:numPr>
        <w:ilvl w:val="0"/>
        <w:numId w:val="15"/>
      </w:numPr>
    </w:pPr>
    <w:rPr/>
  </w:style>
  <w:style w:type="paragraph" w:styleId="Bullet1Table">
    <w:name w:val="Bullet 1 Table"/>
    <w:basedOn w:val="TableTextBullet"/>
    <w:next w:val="TableTextBullet"/>
    <w:qFormat/>
    <w:pPr/>
    <w:rPr/>
  </w:style>
  <w:style w:type="paragraph" w:styleId="Heading1Numbered">
    <w:name w:val="Heading 1 Numbered"/>
    <w:basedOn w:val="Normal"/>
    <w:next w:val="TableText"/>
    <w:qFormat/>
    <w:pPr>
      <w:keepNext w:val="true"/>
      <w:keepLines/>
      <w:numPr>
        <w:ilvl w:val="0"/>
        <w:numId w:val="1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next w:val="TableText"/>
    <w:qFormat/>
    <w:pPr>
      <w:keepNext w:val="true"/>
      <w:keepLines/>
      <w:numPr>
        <w:ilvl w:val="0"/>
        <w:numId w:val="1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Heading2Numbered"/>
    <w:next w:val="TableText"/>
    <w:qFormat/>
    <w:pPr>
      <w:numPr>
        <w:ilvl w:val="0"/>
        <w:numId w:val="12"/>
      </w:numPr>
    </w:pPr>
    <w:rPr/>
  </w:style>
  <w:style w:type="paragraph" w:styleId="Heading4Numbered">
    <w:name w:val="Heading 4 Numbered"/>
    <w:basedOn w:val="Normal"/>
    <w:next w:val="TableText"/>
    <w:qFormat/>
    <w:pPr>
      <w:keepNext w:val="true"/>
      <w:keepLines/>
      <w:numPr>
        <w:ilvl w:val="0"/>
        <w:numId w:val="1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1Numbered">
    <w:name w:val="Table Level 1 Numbered"/>
    <w:basedOn w:val="Normal"/>
    <w:qFormat/>
    <w:pPr>
      <w:numPr>
        <w:ilvl w:val="0"/>
        <w:numId w:val="8"/>
      </w:numPr>
    </w:pPr>
    <w:rPr/>
  </w:style>
  <w:style w:type="paragraph" w:styleId="TableLevel2Numbered">
    <w:name w:val="Table Level 2 Numbered"/>
    <w:basedOn w:val="Normal"/>
    <w:qFormat/>
    <w:pPr>
      <w:numPr>
        <w:ilvl w:val="0"/>
        <w:numId w:val="8"/>
      </w:numPr>
    </w:pPr>
    <w:rPr/>
  </w:style>
  <w:style w:type="paragraph" w:styleId="TableLevel3Numbered">
    <w:name w:val="Table Level 3 Numbered"/>
    <w:basedOn w:val="Normal"/>
    <w:qFormat/>
    <w:pPr>
      <w:numPr>
        <w:ilvl w:val="0"/>
        <w:numId w:val="8"/>
      </w:numPr>
    </w:pPr>
    <w:rPr/>
  </w:style>
  <w:style w:type="paragraph" w:styleId="TableLevel4Numbered">
    <w:name w:val="Table Level 4 Numbered"/>
    <w:basedOn w:val="Normal"/>
    <w:qFormat/>
    <w:pPr>
      <w:numPr>
        <w:ilvl w:val="0"/>
        <w:numId w:val="8"/>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10"/>
      </w:numPr>
      <w:spacing w:before="180" w:after="180"/>
    </w:pPr>
    <w:rPr/>
  </w:style>
  <w:style w:type="paragraph" w:styleId="BodyLevel2Numbered">
    <w:name w:val="Body Level 2 Numbered"/>
    <w:basedOn w:val="Normal"/>
    <w:qFormat/>
    <w:pPr>
      <w:numPr>
        <w:ilvl w:val="0"/>
        <w:numId w:val="10"/>
      </w:numPr>
      <w:spacing w:before="180" w:after="180"/>
    </w:pPr>
    <w:rPr/>
  </w:style>
  <w:style w:type="paragraph" w:styleId="BodyLevel3Numbered">
    <w:name w:val="Body Level 3 Numbered"/>
    <w:basedOn w:val="Normal"/>
    <w:qFormat/>
    <w:pPr>
      <w:numPr>
        <w:ilvl w:val="0"/>
        <w:numId w:val="10"/>
      </w:numPr>
      <w:spacing w:before="180" w:after="180"/>
    </w:pPr>
    <w:rPr/>
  </w:style>
  <w:style w:type="paragraph" w:styleId="BodyLevel4Numbered">
    <w:name w:val="Body Level 4 Numbered"/>
    <w:basedOn w:val="Normal"/>
    <w:qFormat/>
    <w:pPr>
      <w:numPr>
        <w:ilvl w:val="0"/>
        <w:numId w:val="10"/>
      </w:numPr>
      <w:spacing w:before="180" w:after="180"/>
    </w:pPr>
    <w:rPr/>
  </w:style>
  <w:style w:type="paragraph" w:styleId="BodyLevel1Text">
    <w:name w:val="Body Level 1 Text"/>
    <w:basedOn w:val="BodyText"/>
    <w:qFormat/>
    <w:pPr>
      <w:ind w:hanging="0" w:start="1620" w:end="0"/>
    </w:pPr>
    <w:rPr/>
  </w:style>
  <w:style w:type="paragraph" w:styleId="BodyLevel2Text">
    <w:name w:val="Body Level 2 Text"/>
    <w:basedOn w:val="BodyText"/>
    <w:qFormat/>
    <w:pPr>
      <w:ind w:hanging="0" w:start="2160" w:end="0"/>
    </w:pPr>
    <w:rPr/>
  </w:style>
  <w:style w:type="paragraph" w:styleId="BodyLevel3Text">
    <w:name w:val="Body Level 3 Text"/>
    <w:basedOn w:val="BodyText"/>
    <w:qFormat/>
    <w:pPr>
      <w:ind w:hanging="0" w:start="2700" w:end="0"/>
    </w:pPr>
    <w:rPr/>
  </w:style>
  <w:style w:type="paragraph" w:styleId="BodyLevel4Text">
    <w:name w:val="Body Level 4 Text"/>
    <w:basedOn w:val="BodyText"/>
    <w:qFormat/>
    <w:pPr>
      <w:ind w:hanging="0" w:start="3240" w:end="0"/>
    </w:pPr>
    <w:rPr/>
  </w:style>
  <w:style w:type="paragraph" w:styleId="Sprechblasentext">
    <w:name w:val="Sprechblasentext"/>
    <w:basedOn w:val="Normal"/>
    <w:qFormat/>
    <w:pPr/>
    <w:rPr>
      <w:rFonts w:ascii="Tahoma" w:hAnsi="Tahoma" w:cs="Tahoma"/>
      <w:sz w:val="16"/>
      <w:szCs w:val="16"/>
    </w:rPr>
  </w:style>
  <w:style w:type="paragraph" w:styleId="BodyTextBullet">
    <w:name w:val="Body Text Bullet"/>
    <w:basedOn w:val="Normal"/>
    <w:qFormat/>
    <w:pPr>
      <w:numPr>
        <w:ilvl w:val="0"/>
        <w:numId w:val="17"/>
      </w:numPr>
      <w:tabs>
        <w:tab w:val="clear" w:pos="720"/>
        <w:tab w:val="left" w:pos="1440" w:leader="none"/>
      </w:tabs>
      <w:ind w:hanging="360" w:start="1440" w:end="0"/>
    </w:pPr>
    <w:rPr/>
  </w:style>
  <w:style w:type="paragraph" w:styleId="BodyTextBulletL1">
    <w:name w:val="Body Text Bullet L1"/>
    <w:basedOn w:val="Normal"/>
    <w:qFormat/>
    <w:pPr>
      <w:numPr>
        <w:ilvl w:val="0"/>
        <w:numId w:val="18"/>
      </w:numPr>
      <w:ind w:hanging="360" w:start="0" w:end="0"/>
    </w:pPr>
    <w:rPr/>
  </w:style>
  <w:style w:type="paragraph" w:styleId="BodyTextBulletL2">
    <w:name w:val="Body Text Bullet L2"/>
    <w:basedOn w:val="Normal"/>
    <w:qFormat/>
    <w:pPr>
      <w:numPr>
        <w:ilvl w:val="0"/>
        <w:numId w:val="13"/>
      </w:numPr>
      <w:ind w:hanging="367" w:start="0" w:end="0"/>
    </w:pPr>
    <w:rPr/>
  </w:style>
  <w:style w:type="paragraph" w:styleId="BodyTextBulletL3">
    <w:name w:val="Body Text Bullet L3"/>
    <w:basedOn w:val="Normal"/>
    <w:qFormat/>
    <w:pPr>
      <w:numPr>
        <w:ilvl w:val="0"/>
        <w:numId w:val="19"/>
      </w:numPr>
      <w:ind w:hanging="360" w:start="0" w:end="0"/>
    </w:pPr>
    <w:rPr/>
  </w:style>
  <w:style w:type="paragraph" w:styleId="Datum">
    <w:name w:val="Datum"/>
    <w:basedOn w:val="Normal"/>
    <w:next w:val="Normal"/>
    <w:qFormat/>
    <w:pPr/>
    <w:rPr/>
  </w:style>
  <w:style w:type="paragraph" w:styleId="Head1-NoTOCor">
    <w:name w:val="Head 1 - No TOC or #"/>
    <w:basedOn w:val="Normal"/>
    <w:next w:val="TableText"/>
    <w:qFormat/>
    <w:pPr>
      <w:keepNext w:val="true"/>
      <w:keepLines/>
      <w:spacing w:before="240" w:after="240"/>
    </w:pPr>
    <w:rPr>
      <w:rFonts w:ascii="Times New Roman Bold;Times New Roman" w:hAnsi="Times New Roman Bold;Times New Roman" w:cs="Times New Roman Bold;Times New Roman"/>
      <w:b/>
      <w:caps/>
      <w:sz w:val="28"/>
      <w:szCs w:val="28"/>
    </w:rPr>
  </w:style>
  <w:style w:type="paragraph" w:styleId="Head1-NoTOC">
    <w:name w:val="Head 1 # - No TOC"/>
    <w:basedOn w:val="Heading1Numbered"/>
    <w:next w:val="BodyText"/>
    <w:qFormat/>
    <w:pPr>
      <w:numPr>
        <w:ilvl w:val="0"/>
        <w:numId w:val="14"/>
      </w:numPr>
    </w:pPr>
    <w:rPr/>
  </w:style>
  <w:style w:type="paragraph" w:styleId="Head2-NoTOCor">
    <w:name w:val="Head 2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8"/>
      <w:szCs w:val="28"/>
    </w:rPr>
  </w:style>
  <w:style w:type="paragraph" w:styleId="Head2-NoTOC">
    <w:name w:val="Head 2 # - No TOC"/>
    <w:basedOn w:val="Heading2Numbered"/>
    <w:next w:val="BodyText"/>
    <w:qFormat/>
    <w:pPr>
      <w:numPr>
        <w:ilvl w:val="0"/>
        <w:numId w:val="14"/>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Head3-NoTOC">
    <w:name w:val="Head 3 # - No TOC"/>
    <w:basedOn w:val="Heading3Numbered"/>
    <w:next w:val="BodyText"/>
    <w:qFormat/>
    <w:pPr>
      <w:numPr>
        <w:ilvl w:val="0"/>
        <w:numId w:val="14"/>
      </w:numPr>
    </w:pPr>
    <w:rPr/>
  </w:style>
  <w:style w:type="paragraph" w:styleId="Head4-NoTOCor">
    <w:name w:val="Head 4 - No TOC or #"/>
    <w:basedOn w:val="Heading4"/>
    <w:next w:val="TableText"/>
    <w:qFormat/>
    <w:pPr>
      <w:numPr>
        <w:ilvl w:val="0"/>
        <w:numId w:val="0"/>
      </w:numPr>
      <w:outlineLvl w:val="9"/>
    </w:pPr>
    <w:rPr/>
  </w:style>
  <w:style w:type="paragraph" w:styleId="Head4-NoTOC">
    <w:name w:val="Head 4 # - No TOC"/>
    <w:basedOn w:val="Heading4Numbered"/>
    <w:next w:val="BodyText"/>
    <w:qFormat/>
    <w:pPr>
      <w:numPr>
        <w:ilvl w:val="0"/>
        <w:numId w:val="14"/>
      </w:numPr>
    </w:pPr>
    <w:rPr/>
  </w:style>
  <w:style w:type="paragraph" w:styleId="Aufzhlungszeichen">
    <w:name w:val="Aufzählungszeichen"/>
    <w:basedOn w:val="BodyTextBullet"/>
    <w:qFormat/>
    <w:pPr/>
    <w:rPr/>
  </w:style>
  <w:style w:type="paragraph" w:styleId="Aufzhlungszeichen2">
    <w:name w:val="Aufzählungszeichen 2"/>
    <w:basedOn w:val="BodyTextBulletL1"/>
    <w:qFormat/>
    <w:pPr/>
    <w:rPr/>
  </w:style>
  <w:style w:type="paragraph" w:styleId="TableLevel1-2Bullet">
    <w:name w:val="Table Level 1-2 Bullet"/>
    <w:basedOn w:val="Normal"/>
    <w:qFormat/>
    <w:pPr>
      <w:numPr>
        <w:ilvl w:val="0"/>
        <w:numId w:val="16"/>
      </w:numPr>
    </w:pPr>
    <w:rPr/>
  </w:style>
  <w:style w:type="paragraph" w:styleId="TableLevel1-2Indent">
    <w:name w:val="Table Level 1-2 Indent"/>
    <w:basedOn w:val="Normal"/>
    <w:qFormat/>
    <w:pPr>
      <w:ind w:hanging="0" w:start="720" w:end="0"/>
    </w:pPr>
    <w:rPr/>
  </w:style>
  <w:style w:type="paragraph" w:styleId="TableLevel5Numbered">
    <w:name w:val="Table Level 5 Numbered"/>
    <w:basedOn w:val="Normal"/>
    <w:qFormat/>
    <w:pPr>
      <w:numPr>
        <w:ilvl w:val="0"/>
        <w:numId w:val="8"/>
      </w:numPr>
    </w:pPr>
    <w:rPr/>
  </w:style>
  <w:style w:type="paragraph" w:styleId="TableLevel3-4Bullet">
    <w:name w:val="Table Level 3-4 Bullet"/>
    <w:basedOn w:val="Normal"/>
    <w:qFormat/>
    <w:pPr>
      <w:numPr>
        <w:ilvl w:val="0"/>
        <w:numId w:val="11"/>
      </w:numPr>
    </w:pPr>
    <w:rPr/>
  </w:style>
  <w:style w:type="paragraph" w:styleId="TableLevel3-4Indent">
    <w:name w:val="Table Level 3-4 Indent"/>
    <w:basedOn w:val="Normal"/>
    <w:qFormat/>
    <w:pPr>
      <w:ind w:hanging="0" w:start="1296" w:end="0"/>
    </w:pPr>
    <w:rPr/>
  </w:style>
  <w:style w:type="paragraph" w:styleId="Bullet1Body">
    <w:name w:val="Bullet 1 Body"/>
    <w:basedOn w:val="BodyTextBullet"/>
    <w:next w:val="BodyTextBullet"/>
    <w:qFormat/>
    <w:pPr/>
    <w:rPr/>
  </w:style>
  <w:style w:type="paragraph" w:styleId="TableLevel6Numbered">
    <w:name w:val="Table Level 6 Numbered"/>
    <w:basedOn w:val="Normal"/>
    <w:qFormat/>
    <w:pPr>
      <w:numPr>
        <w:ilvl w:val="0"/>
        <w:numId w:val="8"/>
      </w:numPr>
    </w:pPr>
    <w:rPr/>
  </w:style>
  <w:style w:type="paragraph" w:styleId="TableLevel7Numbered">
    <w:name w:val="Table Level 7 Numbered"/>
    <w:basedOn w:val="Normal"/>
    <w:qFormat/>
    <w:pPr>
      <w:numPr>
        <w:ilvl w:val="0"/>
        <w:numId w:val="8"/>
      </w:numPr>
    </w:pPr>
    <w:rPr/>
  </w:style>
  <w:style w:type="paragraph" w:styleId="TableLevel8Numbered">
    <w:name w:val="Table Level 8 Numbered"/>
    <w:basedOn w:val="Normal"/>
    <w:qFormat/>
    <w:pPr>
      <w:numPr>
        <w:ilvl w:val="0"/>
        <w:numId w:val="8"/>
      </w:numPr>
    </w:pPr>
    <w:rPr/>
  </w:style>
  <w:style w:type="paragraph" w:styleId="Listennummer">
    <w:name w:val="Listennummer"/>
    <w:basedOn w:val="Normal"/>
    <w:qFormat/>
    <w:pPr>
      <w:numPr>
        <w:ilvl w:val="0"/>
        <w:numId w:val="7"/>
      </w:numPr>
    </w:pPr>
    <w:rPr/>
  </w:style>
  <w:style w:type="paragraph" w:styleId="Listennummer2">
    <w:name w:val="Listennummer 2"/>
    <w:basedOn w:val="Normal"/>
    <w:qFormat/>
    <w:pPr>
      <w:numPr>
        <w:ilvl w:val="0"/>
        <w:numId w:val="4"/>
      </w:numPr>
    </w:pPr>
    <w:rPr/>
  </w:style>
  <w:style w:type="paragraph" w:styleId="Listennummer3">
    <w:name w:val="Listennummer 3"/>
    <w:basedOn w:val="Normal"/>
    <w:qFormat/>
    <w:pPr>
      <w:numPr>
        <w:ilvl w:val="0"/>
        <w:numId w:val="3"/>
      </w:numPr>
    </w:pPr>
    <w:rPr/>
  </w:style>
  <w:style w:type="paragraph" w:styleId="Listennummer4">
    <w:name w:val="Listennummer 4"/>
    <w:basedOn w:val="Normal"/>
    <w:qFormat/>
    <w:pPr>
      <w:numPr>
        <w:ilvl w:val="0"/>
        <w:numId w:val="2"/>
      </w:numPr>
    </w:pPr>
    <w:rPr/>
  </w:style>
  <w:style w:type="paragraph" w:styleId="Aufzhlungszeichen3">
    <w:name w:val="Aufzählungszeichen 3"/>
    <w:basedOn w:val="Normal"/>
    <w:qFormat/>
    <w:pPr>
      <w:numPr>
        <w:ilvl w:val="0"/>
        <w:numId w:val="6"/>
      </w:numPr>
    </w:pPr>
    <w:rPr/>
  </w:style>
  <w:style w:type="paragraph" w:styleId="Aufzhlungszeichen4">
    <w:name w:val="Aufzählungszeichen 4"/>
    <w:basedOn w:val="Normal"/>
    <w:qFormat/>
    <w:pPr>
      <w:numPr>
        <w:ilvl w:val="0"/>
        <w:numId w:val="5"/>
      </w:numPr>
    </w:pPr>
    <w:rPr/>
  </w:style>
  <w:style w:type="paragraph" w:styleId="Listenfortsetzung">
    <w:name w:val="Listenfortsetzung"/>
    <w:basedOn w:val="Normal"/>
    <w:qFormat/>
    <w:pPr>
      <w:ind w:hanging="0" w:start="360" w:end="0"/>
    </w:pPr>
    <w:rPr/>
  </w:style>
  <w:style w:type="paragraph" w:styleId="Listenfortsetzung2">
    <w:name w:val="Listenfortsetzung 2"/>
    <w:basedOn w:val="Normal"/>
    <w:qFormat/>
    <w:pPr>
      <w:ind w:hanging="0" w:start="720" w:end="0"/>
    </w:pPr>
    <w:rPr/>
  </w:style>
  <w:style w:type="paragraph" w:styleId="Listenfortsetzung3">
    <w:name w:val="Listenfortsetzung 3"/>
    <w:basedOn w:val="Normal"/>
    <w:qFormat/>
    <w:pPr>
      <w:ind w:hanging="0" w:start="1080" w:end="0"/>
    </w:pPr>
    <w:rPr/>
  </w:style>
  <w:style w:type="paragraph" w:styleId="Listenfortsetzung4">
    <w:name w:val="Listenfortsetzung 4"/>
    <w:basedOn w:val="Normal"/>
    <w:qFormat/>
    <w:pPr>
      <w:ind w:hanging="0" w:start="1440" w:end="0"/>
    </w:pPr>
    <w:rPr/>
  </w:style>
  <w:style w:type="paragraph" w:styleId="Revised-New">
    <w:name w:val="Revised - New"/>
    <w:basedOn w:val="Normal"/>
    <w:qFormat/>
    <w:pPr/>
    <w:rPr>
      <w:rFonts w:ascii="Arial" w:hAnsi="Arial" w:cs="Arial"/>
      <w:b/>
      <w:color w:val="333399"/>
      <w:szCs w:val="22"/>
    </w:rPr>
  </w:style>
  <w:style w:type="paragraph" w:styleId="Heading5Numbered">
    <w:name w:val="Heading 5 Numbered"/>
    <w:basedOn w:val="Normal"/>
    <w:qFormat/>
    <w:pPr>
      <w:numPr>
        <w:ilvl w:val="0"/>
        <w:numId w:val="12"/>
      </w:numPr>
    </w:pPr>
    <w:rPr>
      <w:b/>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paragraph" w:styleId="TableTextItalic">
    <w:name w:val="Table Text Italic"/>
    <w:basedOn w:val="TableText"/>
    <w:qFormat/>
    <w:pPr/>
    <w:rPr>
      <w:i/>
    </w:rPr>
  </w:style>
  <w:style w:type="paragraph" w:styleId="ReverseIndent">
    <w:name w:val="Reverse Indent"/>
    <w:qFormat/>
    <w:pPr>
      <w:widowControl/>
      <w:bidi w:val="0"/>
      <w:spacing w:before="120" w:after="120"/>
      <w:ind w:hanging="504" w:start="720" w:end="0"/>
    </w:pPr>
    <w:rPr>
      <w:rFonts w:ascii="Times New Roman" w:hAnsi="Times New Roman" w:eastAsia="Times New Roman" w:cs="Times New Roman"/>
      <w:color w:val="auto"/>
      <w:sz w:val="22"/>
      <w:szCs w:val="24"/>
      <w:lang w:val="en-US" w:bidi="ar-SA" w:eastAsia="zh-CN"/>
    </w:rPr>
  </w:style>
  <w:style w:type="paragraph" w:styleId="NurText">
    <w:name w:val="Nur Text"/>
    <w:basedOn w:val="Normal"/>
    <w:qFormat/>
    <w:pPr>
      <w:spacing w:before="0" w:after="0"/>
    </w:pPr>
    <w:rPr>
      <w:rFonts w:ascii="Courier New" w:hAnsi="Courier New" w:cs="Courier New"/>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3.wmf"/><Relationship Id="rId5" Type="http://schemas.openxmlformats.org/officeDocument/2006/relationships/image" Target="media/image4.wmf"/><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TPIRFP_v2A</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2007-01-29T19:54:00Z</dcterms:created>
  <dc:creator>TPI</dc:creator>
  <dc:description>Exhibit 9. Contains standard format for documenting current and planned projects.</dc:description>
  <dc:language>en-US</dc:language>
  <cp:lastModifiedBy>Wenger Plattner</cp:lastModifiedBy>
  <cp:lastPrinted>2002-07-23T15:38:00Z</cp:lastPrinted>
  <dcterms:modified xsi:type="dcterms:W3CDTF">2007-01-29T19:54:00Z</dcterms:modified>
  <cp:revision>2</cp:revision>
  <dc:subject/>
  <dc:title>RFP8 Exhibit 9 Projects DP</dc:title>
</cp:coreProperties>
</file>