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tLeast" w:line="360" w:before="240" w:after="480"/>
        <w:rPr>
          <w:lang w:val="en-GB"/>
        </w:rPr>
      </w:pPr>
      <w:r>
        <w:rPr>
          <w:lang w:val="en-GB"/>
        </w:rPr>
        <w:br/>
        <w:t>Master Service Agreement "MSA"</w:t>
        <w:br/>
      </w:r>
      <w:r>
        <w:rPr>
          <w:caps w:val="false"/>
          <w:smallCaps w:val="false"/>
          <w:spacing w:val="0"/>
          <w:sz w:val="16"/>
          <w:szCs w:val="16"/>
          <w:vertAlign w:val="superscript"/>
          <w:lang w:val="en-GB"/>
        </w:rPr>
        <w:t>___________________________________________________________________________</w:t>
      </w:r>
    </w:p>
    <w:p>
      <w:pPr>
        <w:pStyle w:val="Normal"/>
        <w:jc w:val="center"/>
        <w:rPr>
          <w:lang w:val="en-GB"/>
        </w:rPr>
      </w:pPr>
      <w:r>
        <w:rPr>
          <w:lang w:val="en-GB"/>
        </w:rPr>
        <w:t>made this 31</w:t>
      </w:r>
      <w:r>
        <w:rPr>
          <w:vertAlign w:val="superscript"/>
          <w:lang w:val="en-GB"/>
        </w:rPr>
        <w:t>st</w:t>
      </w:r>
      <w:r>
        <w:rPr>
          <w:lang w:val="en-GB"/>
        </w:rPr>
        <w:t xml:space="preserve"> day of January 2007</w:t>
      </w:r>
    </w:p>
    <w:p>
      <w:pPr>
        <w:pStyle w:val="Normal"/>
        <w:jc w:val="center"/>
        <w:rPr>
          <w:lang w:val="en-GB"/>
        </w:rPr>
      </w:pPr>
      <w:r>
        <w:rPr>
          <w:lang w:val="en-GB"/>
        </w:rPr>
        <w:t>between</w:t>
      </w:r>
    </w:p>
    <w:p>
      <w:pPr>
        <w:pStyle w:val="Normal"/>
        <w:rPr>
          <w:lang w:val="en-GB"/>
        </w:rPr>
      </w:pPr>
      <w:r>
        <w:rPr>
          <w:u w:val="single"/>
          <w:lang w:val="en-GB"/>
        </w:rPr>
        <w:t>GlobalPharma Ltd., whose registered office is Bahnhofstrasse 10, CH-8001 Zurich,</w:t>
      </w:r>
      <w:r>
        <w:rPr>
          <w:lang w:val="en-GB"/>
        </w:rPr>
      </w:r>
    </w:p>
    <w:p>
      <w:pPr>
        <w:pStyle w:val="Normal"/>
        <w:jc w:val="end"/>
        <w:rPr/>
      </w:pPr>
      <w:r>
        <w:rPr>
          <w:lang w:val="en-GB"/>
        </w:rPr>
        <w:t>- hereinafter known as "GlobalPharma" -</w:t>
      </w:r>
      <w:r>
        <w:rPr>
          <w:u w:val="single"/>
          <w:lang w:val="en-GB"/>
        </w:rPr>
      </w:r>
      <w:r>
        <w:rPr>
          <w:lang w:val="en-GB"/>
        </w:rPr>
      </w:r>
    </w:p>
    <w:p>
      <w:pPr>
        <w:pStyle w:val="Normal"/>
        <w:jc w:val="center"/>
        <w:rPr>
          <w:lang w:val="en-GB"/>
        </w:rPr>
      </w:pPr>
      <w:r>
        <w:rPr>
          <w:lang w:val="en-GB"/>
        </w:rPr>
        <w:t>and</w:t>
      </w:r>
    </w:p>
    <w:p>
      <w:pPr>
        <w:pStyle w:val="Normal"/>
        <w:rPr>
          <w:lang w:val="en-GB"/>
        </w:rPr>
      </w:pPr>
      <w:r>
        <w:rPr>
          <w:u w:val="single"/>
          <w:lang w:val="en-GB"/>
        </w:rPr>
        <w:t>ServicePro International SaRL, whose registered office is at 25 Avenue de la Liberté, L-1930 Luxembourg, (administrated through the Hungarian branch)</w:t>
      </w:r>
      <w:r>
        <w:rPr>
          <w:lang w:val="en-GB"/>
        </w:rPr>
      </w:r>
      <w:r>
        <w:rPr>
          <w:u w:val="single"/>
          <w:lang w:val="en-GB"/>
        </w:rPr>
      </w:r>
      <w:r>
        <w:rPr>
          <w:lang w:val="en-GB"/>
        </w:rPr>
      </w:r>
    </w:p>
    <w:p>
      <w:pPr>
        <w:pStyle w:val="Normal"/>
        <w:jc w:val="end"/>
        <w:rPr/>
      </w:pPr>
      <w:r>
        <w:rPr>
          <w:lang w:val="en-GB"/>
        </w:rPr>
        <w:t>- hereinafter known as "Service Provider" or "ServicePro" -</w:t>
        <w:br/>
        <w:t>- GlobalPharma and Service Provider hereinafter known as "Parties" -.</w:t>
      </w:r>
      <w:r>
        <w:rPr>
          <w:u w:val="single"/>
          <w:lang w:val="en-GB"/>
        </w:rPr>
      </w:r>
      <w:r>
        <w:rPr>
          <w:lang w:val="en-GB"/>
        </w:rPr>
      </w:r>
      <w:r>
        <w:rPr>
          <w:u w:val="single"/>
          <w:lang w:val="en-GB"/>
        </w:rPr>
      </w:r>
      <w:r>
        <w:rPr>
          <w:lang w:val="en-GB"/>
        </w:rPr>
      </w:r>
    </w:p>
    <w:p>
      <w:pPr>
        <w:pStyle w:val="Normal"/>
        <w:rPr/>
      </w:pPr>
      <w:r>
        <w:rPr>
          <w:lang w:val="en-GB"/>
        </w:rPr>
        <w:t>This Agreement for the provision of providing of services by Service Provider ("Master Service Agreement", "MSA") shall be referred to herein as "</w:t>
      </w:r>
      <w:r>
        <w:rPr>
          <w:u w:val="single"/>
          <w:lang w:val="en-GB"/>
        </w:rPr>
        <w:t>this Agreement</w:t>
      </w:r>
      <w:r>
        <w:rPr>
          <w:lang w:val="en-GB"/>
        </w:rPr>
        <w:t>".</w:t>
      </w:r>
    </w:p>
    <w:p>
      <w:pPr>
        <w:pStyle w:val="Normal"/>
        <w:tabs>
          <w:tab w:val="left" w:pos="567" w:leader="none"/>
          <w:tab w:val="left" w:pos="1134" w:leader="none"/>
          <w:tab w:val="left" w:pos="2304" w:leader="none"/>
          <w:tab w:val="right" w:pos="7938" w:leader="none"/>
        </w:tabs>
        <w:ind w:hanging="2304" w:start="2304" w:end="0"/>
        <w:rPr>
          <w:lang w:val="en-GB"/>
        </w:rPr>
      </w:pPr>
      <w:r>
        <w:rPr>
          <w:lang w:val="en-GB"/>
        </w:rPr>
      </w:r>
      <w:r>
        <w:br w:type="page"/>
      </w:r>
    </w:p>
    <w:p>
      <w:pPr>
        <w:pStyle w:val="Heading1"/>
        <w:numPr>
          <w:ilvl w:val="0"/>
          <w:numId w:val="0"/>
        </w:numPr>
        <w:tabs>
          <w:tab w:val="clear" w:pos="567"/>
          <w:tab w:val="left" w:pos="1134" w:leader="none"/>
          <w:tab w:val="right" w:pos="7938" w:leader="none"/>
        </w:tabs>
        <w:ind w:hanging="0" w:start="0"/>
        <w:rPr>
          <w:caps w:val="false"/>
          <w:smallCaps w:val="false"/>
          <w:lang w:val="en-GB"/>
        </w:rPr>
      </w:pPr>
      <w:bookmarkStart w:id="0" w:name="__RefHeading___Toc157506461"/>
      <w:bookmarkEnd w:id="0"/>
      <w:r>
        <w:rPr>
          <w:lang w:val="en-GB"/>
        </w:rPr>
        <w:t>PreaMble</w:t>
      </w:r>
    </w:p>
    <w:p>
      <w:pPr>
        <w:pStyle w:val="Normal"/>
        <w:rPr>
          <w:lang w:val="en-GB"/>
        </w:rPr>
      </w:pPr>
      <w:r>
        <w:rPr>
          <w:lang w:val="en-GB"/>
        </w:rPr>
        <w:t>WHEREAS: GlobalPharma and Services Provider have concluded and executed this Master Service Agreement based upon the following history:</w:t>
      </w:r>
    </w:p>
    <w:p>
      <w:pPr>
        <w:pStyle w:val="A1"/>
        <w:numPr>
          <w:ilvl w:val="0"/>
          <w:numId w:val="3"/>
        </w:numPr>
        <w:ind w:hanging="567" w:start="567" w:end="0"/>
        <w:rPr>
          <w:lang w:val="en-GB"/>
        </w:rPr>
      </w:pPr>
      <w:r>
        <w:rPr>
          <w:lang w:val="en-GB"/>
        </w:rPr>
        <w:t>GlobalPharma chose to outsource certain Services (services, functions, processes and responsibilities) of GlobalPharma and six affiliated companies and in September 2006 Service Provider and GlobalPharma commenced negotiations regarding Service Provider's provision of such outsourcing services to GlobalPharma.</w:t>
      </w:r>
    </w:p>
    <w:p>
      <w:pPr>
        <w:pStyle w:val="A1"/>
        <w:numPr>
          <w:ilvl w:val="0"/>
          <w:numId w:val="3"/>
        </w:numPr>
        <w:ind w:hanging="567" w:start="567" w:end="0"/>
        <w:rPr>
          <w:lang w:val="en-GB"/>
        </w:rPr>
      </w:pPr>
      <w:r>
        <w:rPr>
          <w:lang w:val="en-GB"/>
        </w:rPr>
        <w:t>On September 1, 2006 GlobalPharma submitted a Request for Proposal to Service Provider and Service Provider filed with GlobalPharma an Answer to the Request for Proposal on September 20, 2006.</w:t>
      </w:r>
    </w:p>
    <w:p>
      <w:pPr>
        <w:pStyle w:val="A1"/>
        <w:numPr>
          <w:ilvl w:val="0"/>
          <w:numId w:val="3"/>
        </w:numPr>
        <w:ind w:hanging="567" w:start="567" w:end="0"/>
        <w:rPr>
          <w:lang w:val="en-GB"/>
        </w:rPr>
      </w:pPr>
      <w:r>
        <w:rPr>
          <w:lang w:val="en-GB"/>
        </w:rPr>
        <w:t>During November and the first two weeks of December GlobalPharma and Service Provider exchanged further information documented in Walk Through I and Walk Through II.</w:t>
      </w:r>
    </w:p>
    <w:p>
      <w:pPr>
        <w:pStyle w:val="A1"/>
        <w:numPr>
          <w:ilvl w:val="0"/>
          <w:numId w:val="3"/>
        </w:numPr>
        <w:ind w:hanging="567" w:start="567" w:end="0"/>
        <w:rPr>
          <w:lang w:val="en-GB"/>
        </w:rPr>
      </w:pPr>
      <w:r>
        <w:rPr>
          <w:lang w:val="en-GB"/>
        </w:rPr>
        <w:t>GlobalPharma and Service Provider went through a Due Diligence Process between October 1, 2006 and November 1, 2006 and the associated reports are reflected in Exhibits 26 and 27.</w:t>
      </w:r>
    </w:p>
    <w:p>
      <w:pPr>
        <w:pStyle w:val="A1"/>
        <w:numPr>
          <w:ilvl w:val="0"/>
          <w:numId w:val="3"/>
        </w:numPr>
        <w:ind w:hanging="567" w:start="567" w:end="0"/>
        <w:rPr>
          <w:lang w:val="en-GB"/>
        </w:rPr>
      </w:pPr>
      <w:r>
        <w:rPr>
          <w:lang w:val="en-GB"/>
        </w:rPr>
        <w:t>On October 15, 2006 Service Provider filed BAFO final as its final offer related to the Term Sheet.</w:t>
      </w:r>
    </w:p>
    <w:p>
      <w:pPr>
        <w:pStyle w:val="A1"/>
        <w:numPr>
          <w:ilvl w:val="0"/>
          <w:numId w:val="3"/>
        </w:numPr>
        <w:ind w:hanging="567" w:start="567" w:end="0"/>
        <w:rPr>
          <w:lang w:val="en-GB"/>
        </w:rPr>
      </w:pPr>
      <w:r>
        <w:rPr>
          <w:lang w:val="en-GB"/>
        </w:rPr>
        <w:t>On October 18, 2006 GlobalPharma selected Service Provider as the party for providing such outsourcing services.</w:t>
      </w:r>
    </w:p>
    <w:p>
      <w:pPr>
        <w:pStyle w:val="A1"/>
        <w:numPr>
          <w:ilvl w:val="0"/>
          <w:numId w:val="3"/>
        </w:numPr>
        <w:ind w:hanging="567" w:start="567" w:end="0"/>
        <w:rPr>
          <w:lang w:val="en-GB"/>
        </w:rPr>
      </w:pPr>
      <w:r>
        <w:rPr>
          <w:lang w:val="en-GB"/>
        </w:rPr>
        <w:t>From January 8, 2007 until January 17, 2007 GlobalPharma and Service Provider negotiated the terms and conditions of this Master Service Agreement ("MSA"), together with the related Service Level Agreement ("SLA") and Local Service Level Agreement ("LSLA") and their attached exhibits and schedules ("The Agreements").</w:t>
      </w:r>
    </w:p>
    <w:p>
      <w:pPr>
        <w:pStyle w:val="A1"/>
        <w:numPr>
          <w:ilvl w:val="0"/>
          <w:numId w:val="3"/>
        </w:numPr>
        <w:ind w:hanging="567" w:start="567" w:end="0"/>
        <w:rPr>
          <w:lang w:val="en-GB"/>
        </w:rPr>
      </w:pPr>
      <w:r>
        <w:rPr>
          <w:lang w:val="en-GB"/>
        </w:rPr>
        <w:t>On January 17, 2007 GlobalPharma and Service Provider reached an agreement by signing The Agreements which represent the entire agreement of the Parties regarding these matters. The Parties' discussions, negotiations and earlier agreements were provided for historical reference only. The exchange of documentation and proposals are not incorporated by reference in The Agreements or otherwise.</w:t>
      </w:r>
    </w:p>
    <w:p>
      <w:pPr>
        <w:pStyle w:val="Heading1"/>
        <w:numPr>
          <w:ilvl w:val="0"/>
          <w:numId w:val="0"/>
        </w:numPr>
        <w:tabs>
          <w:tab w:val="clear" w:pos="567"/>
          <w:tab w:val="left" w:pos="1134" w:leader="none"/>
          <w:tab w:val="right" w:pos="7938" w:leader="none"/>
        </w:tabs>
        <w:ind w:hanging="0" w:start="0"/>
        <w:rPr>
          <w:lang w:val="en-GB"/>
        </w:rPr>
      </w:pPr>
      <w:bookmarkStart w:id="1" w:name="__RefHeading___Toc157506462"/>
      <w:r>
        <w:rPr>
          <w:lang w:val="en-GB"/>
        </w:rPr>
        <w:t>Table of Contents</w:t>
      </w:r>
      <w:bookmarkEnd w:id="1"/>
      <w:r>
        <w:rPr>
          <w:lang w:val="en-GB"/>
        </w:rPr>
        <w:tab/>
      </w:r>
    </w:p>
    <w:p>
      <w:pPr>
        <w:pStyle w:val="Normal"/>
        <w:jc w:val="end"/>
        <w:rPr/>
      </w:pPr>
      <w:r>
        <w:rPr/>
        <w:tab/>
        <w:t>[Number of Page]</w:t>
      </w:r>
    </w:p>
    <w:sdt>
      <w:sdtPr>
        <w:docPartObj>
          <w:docPartGallery w:val="Table of Contents"/>
          <w:docPartUnique w:val="true"/>
        </w:docPartObj>
      </w:sdtPr>
      <w:sdtContent>
        <w:p>
          <w:pPr>
            <w:pStyle w:val="TOC1"/>
            <w:tabs>
              <w:tab w:val="right" w:pos="8777" w:leader="none"/>
            </w:tabs>
            <w:rPr>
              <w:b w:val="false"/>
              <w:bCs w:val="false"/>
              <w:caps w:val="false"/>
              <w:smallCaps w:val="false"/>
              <w:sz w:val="24"/>
              <w:szCs w:val="24"/>
              <w:lang w:val="en-US" w:eastAsia="en-US"/>
            </w:rPr>
          </w:pPr>
          <w:r>
            <w:fldChar w:fldCharType="begin"/>
          </w:r>
          <w:r>
            <w:rPr>
              <w:rStyle w:val="IndexLink"/>
              <w:lang w:val="en-GB" w:eastAsia="en-US"/>
            </w:rPr>
            <w:instrText xml:space="preserve"> TOC \o "1-3" \h \z \u </w:instrText>
          </w:r>
          <w:r>
            <w:rPr>
              <w:rStyle w:val="IndexLink"/>
              <w:lang w:val="en-GB" w:eastAsia="en-US"/>
            </w:rPr>
            <w:fldChar w:fldCharType="separate"/>
          </w:r>
          <w:hyperlink w:anchor="__RefHeading___Toc157506461">
            <w:r>
              <w:rPr>
                <w:rStyle w:val="IndexLink"/>
                <w:lang w:val="en-GB" w:eastAsia="en-US"/>
              </w:rPr>
              <w:t>PreaMble</w:t>
            </w:r>
            <w:r>
              <w:rPr>
                <w:rStyle w:val="IndexLink"/>
                <w:lang w:val="en-US" w:eastAsia="en-US"/>
              </w:rPr>
              <w:tab/>
              <w:t>2</w:t>
            </w:r>
          </w:hyperlink>
        </w:p>
        <w:p>
          <w:pPr>
            <w:pStyle w:val="TOC1"/>
            <w:tabs>
              <w:tab w:val="right" w:pos="8777" w:leader="none"/>
            </w:tabs>
            <w:rPr>
              <w:b w:val="false"/>
              <w:bCs w:val="false"/>
              <w:caps w:val="false"/>
              <w:smallCaps w:val="false"/>
              <w:sz w:val="24"/>
              <w:szCs w:val="24"/>
              <w:lang w:val="en-US" w:eastAsia="en-US"/>
            </w:rPr>
          </w:pPr>
          <w:hyperlink w:anchor="__RefHeading___Toc157506462">
            <w:r>
              <w:rPr>
                <w:rStyle w:val="IndexLink"/>
                <w:lang w:val="en-GB" w:eastAsia="en-US"/>
              </w:rPr>
              <w:t>Table of Contents</w:t>
            </w:r>
            <w:r>
              <w:rPr>
                <w:rStyle w:val="IndexLink"/>
                <w:lang w:val="en-US" w:eastAsia="en-US"/>
              </w:rPr>
              <w:tab/>
              <w:t>3</w:t>
            </w:r>
          </w:hyperlink>
        </w:p>
        <w:p>
          <w:pPr>
            <w:pStyle w:val="TOC1"/>
            <w:tabs>
              <w:tab w:val="right" w:pos="8777" w:leader="none"/>
            </w:tabs>
            <w:rPr>
              <w:b w:val="false"/>
              <w:bCs w:val="false"/>
              <w:caps w:val="false"/>
              <w:smallCaps w:val="false"/>
              <w:sz w:val="24"/>
              <w:szCs w:val="24"/>
              <w:lang w:val="en-US" w:eastAsia="en-US"/>
            </w:rPr>
          </w:pPr>
          <w:hyperlink w:anchor="__RefHeading___Toc157506463">
            <w:r>
              <w:rPr>
                <w:rStyle w:val="IndexLink"/>
                <w:lang w:val="en-GB" w:eastAsia="en-US"/>
              </w:rPr>
              <w:t>Exhibits</w:t>
            </w:r>
            <w:r>
              <w:rPr>
                <w:rStyle w:val="IndexLink"/>
                <w:lang w:val="en-US" w:eastAsia="en-US"/>
              </w:rPr>
              <w:tab/>
              <w:t>7</w:t>
            </w:r>
          </w:hyperlink>
        </w:p>
        <w:p>
          <w:pPr>
            <w:pStyle w:val="TOC2"/>
            <w:tabs>
              <w:tab w:val="left" w:pos="800" w:leader="none"/>
              <w:tab w:val="right" w:pos="8777" w:leader="none"/>
            </w:tabs>
            <w:rPr>
              <w:caps w:val="false"/>
              <w:smallCaps w:val="false"/>
              <w:sz w:val="24"/>
              <w:szCs w:val="24"/>
              <w:lang w:val="en-US" w:eastAsia="en-US"/>
            </w:rPr>
          </w:pPr>
          <w:hyperlink w:anchor="__RefHeading___Toc157506464">
            <w:r>
              <w:rPr>
                <w:rStyle w:val="IndexLink"/>
                <w:lang w:val="en-GB" w:eastAsia="en-US"/>
              </w:rPr>
              <w:t>1.1</w:t>
            </w:r>
            <w:r>
              <w:rPr>
                <w:rStyle w:val="IndexLink"/>
                <w:caps w:val="false"/>
                <w:smallCaps w:val="false"/>
                <w:sz w:val="24"/>
                <w:szCs w:val="24"/>
                <w:lang w:val="en-US" w:eastAsia="en-US"/>
              </w:rPr>
              <w:tab/>
            </w:r>
            <w:r>
              <w:rPr>
                <w:rStyle w:val="IndexLink"/>
                <w:lang w:val="en-GB" w:eastAsia="en-US"/>
              </w:rPr>
              <w:t>Novartis Pharma</w:t>
            </w:r>
            <w:r>
              <w:rPr>
                <w:rStyle w:val="IndexLink"/>
                <w:lang w:val="en-US" w:eastAsia="en-US"/>
              </w:rPr>
              <w:tab/>
              <w:t>10</w:t>
            </w:r>
          </w:hyperlink>
        </w:p>
        <w:p>
          <w:pPr>
            <w:pStyle w:val="TOC2"/>
            <w:tabs>
              <w:tab w:val="left" w:pos="800" w:leader="none"/>
              <w:tab w:val="right" w:pos="8777" w:leader="none"/>
            </w:tabs>
            <w:rPr>
              <w:caps w:val="false"/>
              <w:smallCaps w:val="false"/>
              <w:sz w:val="24"/>
              <w:szCs w:val="24"/>
              <w:lang w:val="en-US" w:eastAsia="en-US"/>
            </w:rPr>
          </w:pPr>
          <w:hyperlink w:anchor="__RefHeading___Toc157506465">
            <w:r>
              <w:rPr>
                <w:rStyle w:val="IndexLink"/>
                <w:lang w:val="en-GB" w:eastAsia="en-US"/>
              </w:rPr>
              <w:t>1.2</w:t>
            </w:r>
            <w:r>
              <w:rPr>
                <w:rStyle w:val="IndexLink"/>
                <w:caps w:val="false"/>
                <w:smallCaps w:val="false"/>
                <w:sz w:val="24"/>
                <w:szCs w:val="24"/>
                <w:lang w:val="en-US" w:eastAsia="en-US"/>
              </w:rPr>
              <w:tab/>
            </w:r>
            <w:r>
              <w:rPr>
                <w:rStyle w:val="IndexLink"/>
                <w:lang w:val="en-GB" w:eastAsia="en-US"/>
              </w:rPr>
              <w:t>The Service Provider</w:t>
            </w:r>
            <w:r>
              <w:rPr>
                <w:rStyle w:val="IndexLink"/>
                <w:lang w:val="en-US" w:eastAsia="en-US"/>
              </w:rPr>
              <w:tab/>
              <w:t>10</w:t>
            </w:r>
          </w:hyperlink>
        </w:p>
        <w:p>
          <w:pPr>
            <w:pStyle w:val="TOC3"/>
            <w:tabs>
              <w:tab w:val="left" w:pos="1200" w:leader="none"/>
              <w:tab w:val="right" w:pos="8777" w:leader="none"/>
            </w:tabs>
            <w:rPr>
              <w:i w:val="false"/>
              <w:i w:val="false"/>
              <w:sz w:val="24"/>
              <w:szCs w:val="24"/>
              <w:lang w:val="en-US" w:eastAsia="en-US"/>
            </w:rPr>
          </w:pPr>
          <w:hyperlink w:anchor="__RefHeading___Toc157506466">
            <w:r>
              <w:rPr>
                <w:rStyle w:val="IndexLink"/>
                <w:lang w:val="en-GB" w:eastAsia="en-US"/>
              </w:rPr>
              <w:t>1.2.1</w:t>
            </w:r>
            <w:r>
              <w:rPr>
                <w:rStyle w:val="IndexLink"/>
                <w:i w:val="false"/>
                <w:sz w:val="24"/>
                <w:szCs w:val="24"/>
                <w:lang w:val="en-US" w:eastAsia="en-US"/>
              </w:rPr>
              <w:tab/>
            </w:r>
            <w:r>
              <w:rPr>
                <w:rStyle w:val="IndexLink"/>
                <w:lang w:val="en-GB" w:eastAsia="en-US"/>
              </w:rPr>
              <w:t>The Service Provider</w:t>
            </w:r>
            <w:r>
              <w:rPr>
                <w:rStyle w:val="IndexLink"/>
                <w:lang w:val="en-US" w:eastAsia="en-US"/>
              </w:rPr>
              <w:tab/>
              <w:t>10</w:t>
            </w:r>
          </w:hyperlink>
        </w:p>
        <w:p>
          <w:pPr>
            <w:pStyle w:val="TOC3"/>
            <w:tabs>
              <w:tab w:val="left" w:pos="1200" w:leader="none"/>
              <w:tab w:val="right" w:pos="8777" w:leader="none"/>
            </w:tabs>
            <w:rPr>
              <w:i w:val="false"/>
              <w:i w:val="false"/>
              <w:iCs w:val="false"/>
              <w:sz w:val="24"/>
              <w:szCs w:val="24"/>
              <w:lang w:val="en-US" w:eastAsia="en-US"/>
            </w:rPr>
          </w:pPr>
          <w:hyperlink w:anchor="__RefHeading___Toc157506467">
            <w:r>
              <w:rPr>
                <w:rStyle w:val="IndexLink"/>
                <w:lang w:val="en-GB" w:eastAsia="en-US"/>
              </w:rPr>
              <w:t>1.2.2</w:t>
            </w:r>
            <w:r>
              <w:rPr>
                <w:rStyle w:val="IndexLink"/>
                <w:i w:val="false"/>
                <w:iCs w:val="false"/>
                <w:sz w:val="24"/>
                <w:szCs w:val="24"/>
                <w:lang w:val="en-US" w:eastAsia="en-US"/>
              </w:rPr>
              <w:tab/>
            </w:r>
            <w:r>
              <w:rPr>
                <w:rStyle w:val="IndexLink"/>
                <w:lang w:val="en-GB" w:eastAsia="en-US"/>
              </w:rPr>
              <w:t>Undertaking by Genpact Global Holding Sicar Sàrl</w:t>
            </w:r>
            <w:r>
              <w:rPr>
                <w:rStyle w:val="IndexLink"/>
                <w:lang w:val="en-US" w:eastAsia="en-US"/>
              </w:rPr>
              <w:tab/>
              <w:t>10</w:t>
            </w:r>
          </w:hyperlink>
        </w:p>
        <w:p>
          <w:pPr>
            <w:pStyle w:val="TOC3"/>
            <w:tabs>
              <w:tab w:val="left" w:pos="1200" w:leader="none"/>
              <w:tab w:val="right" w:pos="8777" w:leader="none"/>
            </w:tabs>
            <w:rPr>
              <w:i w:val="false"/>
              <w:i w:val="false"/>
              <w:iCs w:val="false"/>
              <w:sz w:val="24"/>
              <w:szCs w:val="24"/>
              <w:lang w:val="en-US" w:eastAsia="en-US"/>
            </w:rPr>
          </w:pPr>
          <w:hyperlink w:anchor="__RefHeading___Toc157506468">
            <w:r>
              <w:rPr>
                <w:rStyle w:val="IndexLink"/>
                <w:lang w:val="en-GB" w:eastAsia="en-US"/>
              </w:rPr>
              <w:t>1.2.3</w:t>
            </w:r>
            <w:r>
              <w:rPr>
                <w:rStyle w:val="IndexLink"/>
                <w:i w:val="false"/>
                <w:iCs w:val="false"/>
                <w:sz w:val="24"/>
                <w:szCs w:val="24"/>
                <w:lang w:val="en-US" w:eastAsia="en-US"/>
              </w:rPr>
              <w:tab/>
            </w:r>
            <w:r>
              <w:rPr>
                <w:rStyle w:val="IndexLink"/>
                <w:lang w:val="en-GB" w:eastAsia="en-US"/>
              </w:rPr>
              <w:t>Service Provider's Obligations in MSA and LSA</w:t>
            </w:r>
            <w:r>
              <w:rPr>
                <w:rStyle w:val="IndexLink"/>
                <w:lang w:val="en-US" w:eastAsia="en-US"/>
              </w:rPr>
              <w:tab/>
              <w:t>10</w:t>
            </w:r>
          </w:hyperlink>
        </w:p>
        <w:p>
          <w:pPr>
            <w:pStyle w:val="TOC2"/>
            <w:tabs>
              <w:tab w:val="left" w:pos="800" w:leader="none"/>
              <w:tab w:val="right" w:pos="8777" w:leader="none"/>
            </w:tabs>
            <w:rPr>
              <w:caps w:val="false"/>
              <w:smallCaps w:val="false"/>
              <w:sz w:val="24"/>
              <w:szCs w:val="24"/>
              <w:lang w:val="en-US" w:eastAsia="en-US"/>
            </w:rPr>
          </w:pPr>
          <w:hyperlink w:anchor="__RefHeading___Toc157506469">
            <w:r>
              <w:rPr>
                <w:rStyle w:val="IndexLink"/>
                <w:lang w:val="en-GB" w:eastAsia="en-US"/>
              </w:rPr>
              <w:t>1.3</w:t>
            </w:r>
            <w:r>
              <w:rPr>
                <w:rStyle w:val="IndexLink"/>
                <w:caps w:val="false"/>
                <w:smallCaps w:val="false"/>
                <w:sz w:val="24"/>
                <w:szCs w:val="24"/>
                <w:lang w:val="en-US" w:eastAsia="en-US"/>
              </w:rPr>
              <w:tab/>
            </w:r>
            <w:r>
              <w:rPr>
                <w:rStyle w:val="IndexLink"/>
                <w:lang w:val="en-GB" w:eastAsia="en-US"/>
              </w:rPr>
              <w:t>The Agreements</w:t>
            </w:r>
            <w:r>
              <w:rPr>
                <w:rStyle w:val="IndexLink"/>
                <w:lang w:val="en-US" w:eastAsia="en-US"/>
              </w:rPr>
              <w:tab/>
              <w:t>11</w:t>
            </w:r>
          </w:hyperlink>
        </w:p>
        <w:p>
          <w:pPr>
            <w:pStyle w:val="TOC2"/>
            <w:tabs>
              <w:tab w:val="left" w:pos="800" w:leader="none"/>
              <w:tab w:val="right" w:pos="8777" w:leader="none"/>
            </w:tabs>
            <w:rPr>
              <w:caps w:val="false"/>
              <w:smallCaps w:val="false"/>
              <w:sz w:val="24"/>
              <w:szCs w:val="24"/>
              <w:lang w:val="en-US" w:eastAsia="en-US"/>
            </w:rPr>
          </w:pPr>
          <w:hyperlink w:anchor="__RefHeading___Toc157506470">
            <w:r>
              <w:rPr>
                <w:rStyle w:val="IndexLink"/>
                <w:lang w:val="en-GB" w:eastAsia="en-US"/>
              </w:rPr>
              <w:t>1.4</w:t>
            </w:r>
            <w:r>
              <w:rPr>
                <w:rStyle w:val="IndexLink"/>
                <w:caps w:val="false"/>
                <w:smallCaps w:val="false"/>
                <w:sz w:val="24"/>
                <w:szCs w:val="24"/>
                <w:lang w:val="en-US" w:eastAsia="en-US"/>
              </w:rPr>
              <w:tab/>
            </w:r>
            <w:r>
              <w:rPr>
                <w:rStyle w:val="IndexLink"/>
                <w:lang w:val="en-GB" w:eastAsia="en-US"/>
              </w:rPr>
              <w:t>Definitions</w:t>
            </w:r>
            <w:r>
              <w:rPr>
                <w:rStyle w:val="IndexLink"/>
                <w:lang w:val="en-US" w:eastAsia="en-US"/>
              </w:rPr>
              <w:tab/>
              <w:t>11</w:t>
            </w:r>
          </w:hyperlink>
        </w:p>
        <w:p>
          <w:pPr>
            <w:pStyle w:val="TOC2"/>
            <w:tabs>
              <w:tab w:val="left" w:pos="800" w:leader="none"/>
              <w:tab w:val="right" w:pos="8777" w:leader="none"/>
            </w:tabs>
            <w:rPr>
              <w:caps w:val="false"/>
              <w:smallCaps w:val="false"/>
              <w:sz w:val="24"/>
              <w:szCs w:val="24"/>
              <w:lang w:val="en-US" w:eastAsia="en-US"/>
            </w:rPr>
          </w:pPr>
          <w:hyperlink w:anchor="__RefHeading___Toc157506471">
            <w:r>
              <w:rPr>
                <w:rStyle w:val="IndexLink"/>
                <w:lang w:val="en-GB" w:eastAsia="en-US"/>
              </w:rPr>
              <w:t>1.5</w:t>
            </w:r>
            <w:r>
              <w:rPr>
                <w:rStyle w:val="IndexLink"/>
                <w:caps w:val="false"/>
                <w:smallCaps w:val="false"/>
                <w:sz w:val="24"/>
                <w:szCs w:val="24"/>
                <w:lang w:val="en-US" w:eastAsia="en-US"/>
              </w:rPr>
              <w:tab/>
            </w:r>
            <w:r>
              <w:rPr>
                <w:rStyle w:val="IndexLink"/>
                <w:lang w:val="en-GB" w:eastAsia="en-US"/>
              </w:rPr>
              <w:t>Master Service Agreement (MSA)</w:t>
            </w:r>
            <w:r>
              <w:rPr>
                <w:rStyle w:val="IndexLink"/>
                <w:lang w:val="en-US" w:eastAsia="en-US"/>
              </w:rPr>
              <w:tab/>
              <w:t>11</w:t>
            </w:r>
          </w:hyperlink>
        </w:p>
        <w:p>
          <w:pPr>
            <w:pStyle w:val="TOC2"/>
            <w:tabs>
              <w:tab w:val="left" w:pos="800" w:leader="none"/>
              <w:tab w:val="right" w:pos="8777" w:leader="none"/>
            </w:tabs>
            <w:rPr>
              <w:caps w:val="false"/>
              <w:smallCaps w:val="false"/>
              <w:sz w:val="24"/>
              <w:szCs w:val="24"/>
              <w:lang w:val="en-US" w:eastAsia="en-US"/>
            </w:rPr>
          </w:pPr>
          <w:hyperlink w:anchor="__RefHeading___Toc157506472">
            <w:r>
              <w:rPr>
                <w:rStyle w:val="IndexLink"/>
                <w:lang w:val="en-GB" w:eastAsia="en-US"/>
              </w:rPr>
              <w:t>1.6</w:t>
            </w:r>
            <w:r>
              <w:rPr>
                <w:rStyle w:val="IndexLink"/>
                <w:caps w:val="false"/>
                <w:smallCaps w:val="false"/>
                <w:sz w:val="24"/>
                <w:szCs w:val="24"/>
                <w:lang w:val="en-US" w:eastAsia="en-US"/>
              </w:rPr>
              <w:tab/>
            </w:r>
            <w:r>
              <w:rPr>
                <w:rStyle w:val="IndexLink"/>
                <w:lang w:val="en-GB" w:eastAsia="en-US"/>
              </w:rPr>
              <w:t>Service Level Agreement (SLA)</w:t>
            </w:r>
            <w:r>
              <w:rPr>
                <w:rStyle w:val="IndexLink"/>
                <w:lang w:val="en-US" w:eastAsia="en-US"/>
              </w:rPr>
              <w:tab/>
              <w:t>12</w:t>
            </w:r>
          </w:hyperlink>
        </w:p>
        <w:p>
          <w:pPr>
            <w:pStyle w:val="TOC2"/>
            <w:tabs>
              <w:tab w:val="left" w:pos="800" w:leader="none"/>
              <w:tab w:val="right" w:pos="8777" w:leader="none"/>
            </w:tabs>
            <w:rPr>
              <w:caps w:val="false"/>
              <w:smallCaps w:val="false"/>
              <w:sz w:val="24"/>
              <w:szCs w:val="24"/>
              <w:lang w:val="en-US" w:eastAsia="en-US"/>
            </w:rPr>
          </w:pPr>
          <w:hyperlink w:anchor="__RefHeading___Toc157506473">
            <w:r>
              <w:rPr>
                <w:rStyle w:val="IndexLink"/>
                <w:lang w:val="en-GB" w:eastAsia="en-US"/>
              </w:rPr>
              <w:t>1.7</w:t>
            </w:r>
            <w:r>
              <w:rPr>
                <w:rStyle w:val="IndexLink"/>
                <w:caps w:val="false"/>
                <w:smallCaps w:val="false"/>
                <w:sz w:val="24"/>
                <w:szCs w:val="24"/>
                <w:lang w:val="en-US" w:eastAsia="en-US"/>
              </w:rPr>
              <w:tab/>
            </w:r>
            <w:r>
              <w:rPr>
                <w:rStyle w:val="IndexLink"/>
                <w:lang w:val="en-GB" w:eastAsia="en-US"/>
              </w:rPr>
              <w:t>Local Service Agreements (LSA)</w:t>
            </w:r>
            <w:r>
              <w:rPr>
                <w:rStyle w:val="IndexLink"/>
                <w:lang w:val="en-US" w:eastAsia="en-US"/>
              </w:rPr>
              <w:tab/>
              <w:t>12</w:t>
            </w:r>
          </w:hyperlink>
        </w:p>
        <w:p>
          <w:pPr>
            <w:pStyle w:val="TOC2"/>
            <w:tabs>
              <w:tab w:val="left" w:pos="800" w:leader="none"/>
              <w:tab w:val="right" w:pos="8777" w:leader="none"/>
            </w:tabs>
            <w:rPr>
              <w:caps w:val="false"/>
              <w:smallCaps w:val="false"/>
              <w:sz w:val="24"/>
              <w:szCs w:val="24"/>
              <w:lang w:val="en-US" w:eastAsia="en-US"/>
            </w:rPr>
          </w:pPr>
          <w:hyperlink w:anchor="__RefHeading___Toc157506474">
            <w:r>
              <w:rPr>
                <w:rStyle w:val="IndexLink"/>
                <w:lang w:val="en-GB" w:eastAsia="en-US"/>
              </w:rPr>
              <w:t>1.8</w:t>
            </w:r>
            <w:r>
              <w:rPr>
                <w:rStyle w:val="IndexLink"/>
                <w:caps w:val="false"/>
                <w:smallCaps w:val="false"/>
                <w:sz w:val="24"/>
                <w:szCs w:val="24"/>
                <w:lang w:val="en-US" w:eastAsia="en-US"/>
              </w:rPr>
              <w:tab/>
            </w:r>
            <w:r>
              <w:rPr>
                <w:rStyle w:val="IndexLink"/>
                <w:lang w:val="en-GB" w:eastAsia="en-US"/>
              </w:rPr>
              <w:t>Rules of Precedence</w:t>
            </w:r>
            <w:r>
              <w:rPr>
                <w:rStyle w:val="IndexLink"/>
                <w:lang w:val="en-US" w:eastAsia="en-US"/>
              </w:rPr>
              <w:tab/>
              <w:t>12</w:t>
            </w:r>
          </w:hyperlink>
        </w:p>
        <w:p>
          <w:pPr>
            <w:pStyle w:val="TOC1"/>
            <w:tabs>
              <w:tab w:val="left" w:pos="400" w:leader="none"/>
              <w:tab w:val="right" w:pos="8777" w:leader="none"/>
            </w:tabs>
            <w:rPr>
              <w:b w:val="false"/>
              <w:bCs w:val="false"/>
              <w:caps w:val="false"/>
              <w:smallCaps w:val="false"/>
              <w:sz w:val="24"/>
              <w:szCs w:val="24"/>
              <w:lang w:val="en-US" w:eastAsia="en-US"/>
            </w:rPr>
          </w:pPr>
          <w:hyperlink w:anchor="__RefHeading___Toc157506475">
            <w:r>
              <w:rPr>
                <w:rStyle w:val="IndexLink"/>
                <w:lang w:val="en-GB" w:eastAsia="en-US"/>
              </w:rPr>
              <w:t>2.</w:t>
            </w:r>
            <w:r>
              <w:rPr>
                <w:rStyle w:val="IndexLink"/>
                <w:b w:val="false"/>
                <w:bCs w:val="false"/>
                <w:caps w:val="false"/>
                <w:smallCaps w:val="false"/>
                <w:sz w:val="24"/>
                <w:szCs w:val="24"/>
                <w:lang w:val="en-US" w:eastAsia="en-US"/>
              </w:rPr>
              <w:tab/>
            </w:r>
            <w:r>
              <w:rPr>
                <w:rStyle w:val="IndexLink"/>
                <w:lang w:val="en-GB" w:eastAsia="en-US"/>
              </w:rPr>
              <w:t>Term of Contract</w:t>
            </w:r>
            <w:r>
              <w:rPr>
                <w:rStyle w:val="IndexLink"/>
                <w:lang w:val="en-US" w:eastAsia="en-US"/>
              </w:rPr>
              <w:tab/>
              <w:t>12</w:t>
            </w:r>
          </w:hyperlink>
        </w:p>
        <w:p>
          <w:pPr>
            <w:pStyle w:val="TOC2"/>
            <w:tabs>
              <w:tab w:val="left" w:pos="800" w:leader="none"/>
              <w:tab w:val="right" w:pos="8777" w:leader="none"/>
            </w:tabs>
            <w:rPr>
              <w:caps w:val="false"/>
              <w:smallCaps w:val="false"/>
              <w:sz w:val="24"/>
              <w:szCs w:val="24"/>
              <w:lang w:val="en-US" w:eastAsia="en-US"/>
            </w:rPr>
          </w:pPr>
          <w:hyperlink w:anchor="__RefHeading___Toc157506476">
            <w:r>
              <w:rPr>
                <w:rStyle w:val="IndexLink"/>
                <w:lang w:val="en-GB" w:eastAsia="en-US"/>
              </w:rPr>
              <w:t>2.1</w:t>
            </w:r>
            <w:r>
              <w:rPr>
                <w:rStyle w:val="IndexLink"/>
                <w:caps w:val="false"/>
                <w:smallCaps w:val="false"/>
                <w:sz w:val="24"/>
                <w:szCs w:val="24"/>
                <w:lang w:val="en-US" w:eastAsia="en-US"/>
              </w:rPr>
              <w:tab/>
            </w:r>
            <w:r>
              <w:rPr>
                <w:rStyle w:val="IndexLink"/>
                <w:lang w:val="en-GB" w:eastAsia="en-US"/>
              </w:rPr>
              <w:t>Effective Date and Commencement Date</w:t>
            </w:r>
            <w:r>
              <w:rPr>
                <w:rStyle w:val="IndexLink"/>
                <w:lang w:val="en-US" w:eastAsia="en-US"/>
              </w:rPr>
              <w:tab/>
              <w:t>12</w:t>
            </w:r>
          </w:hyperlink>
        </w:p>
        <w:p>
          <w:pPr>
            <w:pStyle w:val="TOC2"/>
            <w:tabs>
              <w:tab w:val="left" w:pos="800" w:leader="none"/>
              <w:tab w:val="right" w:pos="8777" w:leader="none"/>
            </w:tabs>
            <w:rPr>
              <w:caps w:val="false"/>
              <w:smallCaps w:val="false"/>
              <w:sz w:val="24"/>
              <w:szCs w:val="24"/>
              <w:lang w:val="en-US" w:eastAsia="en-US"/>
            </w:rPr>
          </w:pPr>
          <w:hyperlink w:anchor="__RefHeading___Toc157506477">
            <w:r>
              <w:rPr>
                <w:rStyle w:val="IndexLink"/>
                <w:lang w:val="en-GB" w:eastAsia="en-US"/>
              </w:rPr>
              <w:t>2.2</w:t>
            </w:r>
            <w:r>
              <w:rPr>
                <w:rStyle w:val="IndexLink"/>
                <w:caps w:val="false"/>
                <w:smallCaps w:val="false"/>
                <w:sz w:val="24"/>
                <w:szCs w:val="24"/>
                <w:lang w:val="en-US" w:eastAsia="en-US"/>
              </w:rPr>
              <w:tab/>
            </w:r>
            <w:r>
              <w:rPr>
                <w:rStyle w:val="IndexLink"/>
                <w:lang w:val="en-GB" w:eastAsia="en-US"/>
              </w:rPr>
              <w:t>Initial Term</w:t>
            </w:r>
            <w:r>
              <w:rPr>
                <w:rStyle w:val="IndexLink"/>
                <w:lang w:val="en-US" w:eastAsia="en-US"/>
              </w:rPr>
              <w:tab/>
              <w:t>13</w:t>
            </w:r>
          </w:hyperlink>
        </w:p>
        <w:p>
          <w:pPr>
            <w:pStyle w:val="TOC2"/>
            <w:tabs>
              <w:tab w:val="left" w:pos="800" w:leader="none"/>
              <w:tab w:val="right" w:pos="8777" w:leader="none"/>
            </w:tabs>
            <w:rPr>
              <w:caps w:val="false"/>
              <w:smallCaps w:val="false"/>
              <w:sz w:val="24"/>
              <w:szCs w:val="24"/>
              <w:lang w:val="en-US" w:eastAsia="en-US"/>
            </w:rPr>
          </w:pPr>
          <w:hyperlink w:anchor="__RefHeading___Toc157506478">
            <w:r>
              <w:rPr>
                <w:rStyle w:val="IndexLink"/>
                <w:lang w:val="en-GB" w:eastAsia="en-US"/>
              </w:rPr>
              <w:t>2.3</w:t>
            </w:r>
            <w:r>
              <w:rPr>
                <w:rStyle w:val="IndexLink"/>
                <w:caps w:val="false"/>
                <w:smallCaps w:val="false"/>
                <w:sz w:val="24"/>
                <w:szCs w:val="24"/>
                <w:lang w:val="en-US" w:eastAsia="en-US"/>
              </w:rPr>
              <w:tab/>
            </w:r>
            <w:r>
              <w:rPr>
                <w:rStyle w:val="IndexLink"/>
                <w:lang w:val="en-GB" w:eastAsia="en-US"/>
              </w:rPr>
              <w:t>Renewal Notice and Process</w:t>
            </w:r>
            <w:r>
              <w:rPr>
                <w:rStyle w:val="IndexLink"/>
                <w:lang w:val="en-US" w:eastAsia="en-US"/>
              </w:rPr>
              <w:tab/>
              <w:t>13</w:t>
            </w:r>
          </w:hyperlink>
        </w:p>
        <w:p>
          <w:pPr>
            <w:pStyle w:val="TOC1"/>
            <w:tabs>
              <w:tab w:val="left" w:pos="400" w:leader="none"/>
              <w:tab w:val="right" w:pos="8777" w:leader="none"/>
            </w:tabs>
            <w:rPr>
              <w:b w:val="false"/>
              <w:bCs w:val="false"/>
              <w:caps w:val="false"/>
              <w:smallCaps w:val="false"/>
              <w:sz w:val="24"/>
              <w:szCs w:val="24"/>
              <w:lang w:val="en-US" w:eastAsia="en-US"/>
            </w:rPr>
          </w:pPr>
          <w:hyperlink w:anchor="__RefHeading___Toc157506479">
            <w:r>
              <w:rPr>
                <w:rStyle w:val="IndexLink"/>
                <w:lang w:val="en-GB" w:eastAsia="en-US"/>
              </w:rPr>
              <w:t>3.</w:t>
            </w:r>
            <w:r>
              <w:rPr>
                <w:rStyle w:val="IndexLink"/>
                <w:b w:val="false"/>
                <w:bCs w:val="false"/>
                <w:caps w:val="false"/>
                <w:smallCaps w:val="false"/>
                <w:sz w:val="24"/>
                <w:szCs w:val="24"/>
                <w:lang w:val="en-US" w:eastAsia="en-US"/>
              </w:rPr>
              <w:tab/>
            </w:r>
            <w:r>
              <w:rPr>
                <w:rStyle w:val="IndexLink"/>
                <w:lang w:val="en-GB" w:eastAsia="en-US"/>
              </w:rPr>
              <w:t>Performance of Services</w:t>
            </w:r>
            <w:r>
              <w:rPr>
                <w:rStyle w:val="IndexLink"/>
                <w:lang w:val="en-US" w:eastAsia="en-US"/>
              </w:rPr>
              <w:tab/>
              <w:t>14</w:t>
            </w:r>
          </w:hyperlink>
        </w:p>
        <w:p>
          <w:pPr>
            <w:pStyle w:val="TOC2"/>
            <w:tabs>
              <w:tab w:val="left" w:pos="800" w:leader="none"/>
              <w:tab w:val="right" w:pos="8777" w:leader="none"/>
            </w:tabs>
            <w:rPr>
              <w:caps w:val="false"/>
              <w:smallCaps w:val="false"/>
              <w:sz w:val="24"/>
              <w:szCs w:val="24"/>
              <w:lang w:val="en-US" w:eastAsia="en-US"/>
            </w:rPr>
          </w:pPr>
          <w:hyperlink w:anchor="__RefHeading___Toc157506480">
            <w:r>
              <w:rPr>
                <w:rStyle w:val="IndexLink"/>
                <w:lang w:val="en-GB" w:eastAsia="en-US"/>
              </w:rPr>
              <w:t>3.1</w:t>
            </w:r>
            <w:r>
              <w:rPr>
                <w:rStyle w:val="IndexLink"/>
                <w:caps w:val="false"/>
                <w:smallCaps w:val="false"/>
                <w:sz w:val="24"/>
                <w:szCs w:val="24"/>
                <w:lang w:val="en-US" w:eastAsia="en-US"/>
              </w:rPr>
              <w:tab/>
            </w:r>
            <w:r>
              <w:rPr>
                <w:rStyle w:val="IndexLink"/>
                <w:lang w:val="en-GB" w:eastAsia="en-US"/>
              </w:rPr>
              <w:t>Scope of Services</w:t>
            </w:r>
            <w:r>
              <w:rPr>
                <w:rStyle w:val="IndexLink"/>
                <w:lang w:val="en-US" w:eastAsia="en-US"/>
              </w:rPr>
              <w:tab/>
              <w:t>14</w:t>
            </w:r>
          </w:hyperlink>
        </w:p>
        <w:p>
          <w:pPr>
            <w:pStyle w:val="TOC2"/>
            <w:tabs>
              <w:tab w:val="left" w:pos="800" w:leader="none"/>
              <w:tab w:val="right" w:pos="8777" w:leader="none"/>
            </w:tabs>
            <w:rPr>
              <w:caps w:val="false"/>
              <w:smallCaps w:val="false"/>
              <w:sz w:val="24"/>
              <w:szCs w:val="24"/>
              <w:lang w:val="en-US" w:eastAsia="en-US"/>
            </w:rPr>
          </w:pPr>
          <w:hyperlink w:anchor="__RefHeading___Toc157506481">
            <w:r>
              <w:rPr>
                <w:rStyle w:val="IndexLink"/>
                <w:lang w:val="en-GB" w:eastAsia="en-US"/>
              </w:rPr>
              <w:t>3.2</w:t>
            </w:r>
            <w:r>
              <w:rPr>
                <w:rStyle w:val="IndexLink"/>
                <w:caps w:val="false"/>
                <w:smallCaps w:val="false"/>
                <w:sz w:val="24"/>
                <w:szCs w:val="24"/>
                <w:lang w:val="en-US" w:eastAsia="en-US"/>
              </w:rPr>
              <w:tab/>
            </w:r>
            <w:r>
              <w:rPr>
                <w:rStyle w:val="IndexLink"/>
                <w:lang w:val="en-GB" w:eastAsia="en-US"/>
              </w:rPr>
              <w:t>Additional and New Services</w:t>
            </w:r>
            <w:r>
              <w:rPr>
                <w:rStyle w:val="IndexLink"/>
                <w:lang w:val="en-US" w:eastAsia="en-US"/>
              </w:rPr>
              <w:tab/>
              <w:t>16</w:t>
            </w:r>
          </w:hyperlink>
        </w:p>
        <w:p>
          <w:pPr>
            <w:pStyle w:val="TOC2"/>
            <w:tabs>
              <w:tab w:val="left" w:pos="800" w:leader="none"/>
              <w:tab w:val="right" w:pos="8777" w:leader="none"/>
            </w:tabs>
            <w:rPr>
              <w:caps w:val="false"/>
              <w:smallCaps w:val="false"/>
              <w:sz w:val="24"/>
              <w:szCs w:val="24"/>
              <w:lang w:val="en-US" w:eastAsia="en-US"/>
            </w:rPr>
          </w:pPr>
          <w:hyperlink w:anchor="__RefHeading___Toc157506482">
            <w:r>
              <w:rPr>
                <w:rStyle w:val="IndexLink"/>
                <w:lang w:val="en-GB" w:eastAsia="en-US"/>
              </w:rPr>
              <w:t>3.3</w:t>
            </w:r>
            <w:r>
              <w:rPr>
                <w:rStyle w:val="IndexLink"/>
                <w:caps w:val="false"/>
                <w:smallCaps w:val="false"/>
                <w:sz w:val="24"/>
                <w:szCs w:val="24"/>
                <w:lang w:val="en-US" w:eastAsia="en-US"/>
              </w:rPr>
              <w:tab/>
            </w:r>
            <w:r>
              <w:rPr>
                <w:rStyle w:val="IndexLink"/>
                <w:lang w:val="en-GB" w:eastAsia="en-US"/>
              </w:rPr>
              <w:t>Service Delivery</w:t>
            </w:r>
            <w:r>
              <w:rPr>
                <w:rStyle w:val="IndexLink"/>
                <w:lang w:val="en-US" w:eastAsia="en-US"/>
              </w:rPr>
              <w:tab/>
              <w:t>16</w:t>
            </w:r>
          </w:hyperlink>
        </w:p>
        <w:p>
          <w:pPr>
            <w:pStyle w:val="TOC2"/>
            <w:tabs>
              <w:tab w:val="left" w:pos="800" w:leader="none"/>
              <w:tab w:val="right" w:pos="8777" w:leader="none"/>
            </w:tabs>
            <w:rPr>
              <w:caps w:val="false"/>
              <w:smallCaps w:val="false"/>
              <w:sz w:val="24"/>
              <w:szCs w:val="24"/>
              <w:lang w:val="en-US" w:eastAsia="en-US"/>
            </w:rPr>
          </w:pPr>
          <w:hyperlink w:anchor="__RefHeading___Toc157506483">
            <w:r>
              <w:rPr>
                <w:rStyle w:val="IndexLink"/>
                <w:lang w:val="en-GB" w:eastAsia="en-US"/>
              </w:rPr>
              <w:t>3.4</w:t>
            </w:r>
            <w:r>
              <w:rPr>
                <w:rStyle w:val="IndexLink"/>
                <w:caps w:val="false"/>
                <w:smallCaps w:val="false"/>
                <w:sz w:val="24"/>
                <w:szCs w:val="24"/>
                <w:lang w:val="en-US" w:eastAsia="en-US"/>
              </w:rPr>
              <w:tab/>
            </w:r>
            <w:r>
              <w:rPr>
                <w:rStyle w:val="IndexLink"/>
                <w:lang w:val="en-GB" w:eastAsia="en-US"/>
              </w:rPr>
              <w:t>Service Levels</w:t>
            </w:r>
            <w:r>
              <w:rPr>
                <w:rStyle w:val="IndexLink"/>
                <w:lang w:val="en-US" w:eastAsia="en-US"/>
              </w:rPr>
              <w:tab/>
              <w:t>17</w:t>
            </w:r>
          </w:hyperlink>
        </w:p>
        <w:p>
          <w:pPr>
            <w:pStyle w:val="TOC2"/>
            <w:tabs>
              <w:tab w:val="left" w:pos="800" w:leader="none"/>
              <w:tab w:val="right" w:pos="8777" w:leader="none"/>
            </w:tabs>
            <w:rPr>
              <w:caps w:val="false"/>
              <w:smallCaps w:val="false"/>
              <w:sz w:val="24"/>
              <w:szCs w:val="24"/>
              <w:lang w:val="en-US" w:eastAsia="en-US"/>
            </w:rPr>
          </w:pPr>
          <w:hyperlink w:anchor="__RefHeading___Toc157506484">
            <w:r>
              <w:rPr>
                <w:rStyle w:val="IndexLink"/>
                <w:lang w:val="en-GB" w:eastAsia="en-US"/>
              </w:rPr>
              <w:t>3.5</w:t>
            </w:r>
            <w:r>
              <w:rPr>
                <w:rStyle w:val="IndexLink"/>
                <w:caps w:val="false"/>
                <w:smallCaps w:val="false"/>
                <w:sz w:val="24"/>
                <w:szCs w:val="24"/>
                <w:lang w:val="en-US" w:eastAsia="en-US"/>
              </w:rPr>
              <w:tab/>
            </w:r>
            <w:r>
              <w:rPr>
                <w:rStyle w:val="IndexLink"/>
                <w:lang w:val="en-GB" w:eastAsia="en-US"/>
              </w:rPr>
              <w:t>Transition Plan</w:t>
            </w:r>
            <w:r>
              <w:rPr>
                <w:rStyle w:val="IndexLink"/>
                <w:lang w:val="en-US" w:eastAsia="en-US"/>
              </w:rPr>
              <w:tab/>
              <w:t>18</w:t>
            </w:r>
          </w:hyperlink>
        </w:p>
        <w:p>
          <w:pPr>
            <w:pStyle w:val="TOC2"/>
            <w:tabs>
              <w:tab w:val="left" w:pos="800" w:leader="none"/>
              <w:tab w:val="right" w:pos="8777" w:leader="none"/>
            </w:tabs>
            <w:rPr>
              <w:caps w:val="false"/>
              <w:smallCaps w:val="false"/>
              <w:sz w:val="24"/>
              <w:szCs w:val="24"/>
              <w:lang w:val="en-US" w:eastAsia="en-US"/>
            </w:rPr>
          </w:pPr>
          <w:hyperlink w:anchor="__RefHeading___Toc157506485">
            <w:r>
              <w:rPr>
                <w:rStyle w:val="IndexLink"/>
                <w:lang w:val="en-GB" w:eastAsia="en-US"/>
              </w:rPr>
              <w:t>3.6</w:t>
            </w:r>
            <w:r>
              <w:rPr>
                <w:rStyle w:val="IndexLink"/>
                <w:caps w:val="false"/>
                <w:smallCaps w:val="false"/>
                <w:sz w:val="24"/>
                <w:szCs w:val="24"/>
                <w:lang w:val="en-US" w:eastAsia="en-US"/>
              </w:rPr>
              <w:tab/>
            </w:r>
            <w:r>
              <w:rPr>
                <w:rStyle w:val="IndexLink"/>
                <w:lang w:val="en-GB" w:eastAsia="en-US"/>
              </w:rPr>
              <w:t>Novartis Personnel</w:t>
            </w:r>
            <w:r>
              <w:rPr>
                <w:rStyle w:val="IndexLink"/>
                <w:lang w:val="en-US" w:eastAsia="en-US"/>
              </w:rPr>
              <w:tab/>
              <w:t>19</w:t>
            </w:r>
          </w:hyperlink>
        </w:p>
        <w:p>
          <w:pPr>
            <w:pStyle w:val="TOC2"/>
            <w:tabs>
              <w:tab w:val="left" w:pos="800" w:leader="none"/>
              <w:tab w:val="right" w:pos="8777" w:leader="none"/>
            </w:tabs>
            <w:rPr>
              <w:caps w:val="false"/>
              <w:smallCaps w:val="false"/>
              <w:sz w:val="24"/>
              <w:szCs w:val="24"/>
              <w:lang w:val="en-US" w:eastAsia="en-US"/>
            </w:rPr>
          </w:pPr>
          <w:hyperlink w:anchor="__RefHeading___Toc157506486">
            <w:r>
              <w:rPr>
                <w:rStyle w:val="IndexLink"/>
                <w:lang w:val="en-GB" w:eastAsia="en-US"/>
              </w:rPr>
              <w:t>3.7</w:t>
            </w:r>
            <w:r>
              <w:rPr>
                <w:rStyle w:val="IndexLink"/>
                <w:caps w:val="false"/>
                <w:smallCaps w:val="false"/>
                <w:sz w:val="24"/>
                <w:szCs w:val="24"/>
                <w:lang w:val="en-US" w:eastAsia="en-US"/>
              </w:rPr>
              <w:tab/>
            </w:r>
            <w:r>
              <w:rPr>
                <w:rStyle w:val="IndexLink"/>
                <w:lang w:val="en-GB" w:eastAsia="en-US"/>
              </w:rPr>
              <w:t>Regulatory Compliance</w:t>
            </w:r>
            <w:r>
              <w:rPr>
                <w:rStyle w:val="IndexLink"/>
                <w:lang w:val="en-US" w:eastAsia="en-US"/>
              </w:rPr>
              <w:tab/>
              <w:t>19</w:t>
            </w:r>
          </w:hyperlink>
        </w:p>
        <w:p>
          <w:pPr>
            <w:pStyle w:val="TOC2"/>
            <w:tabs>
              <w:tab w:val="left" w:pos="800" w:leader="none"/>
              <w:tab w:val="right" w:pos="8777" w:leader="none"/>
            </w:tabs>
            <w:rPr>
              <w:caps w:val="false"/>
              <w:smallCaps w:val="false"/>
              <w:sz w:val="24"/>
              <w:szCs w:val="24"/>
              <w:lang w:val="en-US" w:eastAsia="en-US"/>
            </w:rPr>
          </w:pPr>
          <w:hyperlink w:anchor="__RefHeading___Toc157506487">
            <w:r>
              <w:rPr>
                <w:rStyle w:val="IndexLink"/>
                <w:lang w:val="en-GB" w:eastAsia="en-US"/>
              </w:rPr>
              <w:t>3.8</w:t>
            </w:r>
            <w:r>
              <w:rPr>
                <w:rStyle w:val="IndexLink"/>
                <w:caps w:val="false"/>
                <w:smallCaps w:val="false"/>
                <w:sz w:val="24"/>
                <w:szCs w:val="24"/>
                <w:lang w:val="en-US" w:eastAsia="en-US"/>
              </w:rPr>
              <w:tab/>
            </w:r>
            <w:r>
              <w:rPr>
                <w:rStyle w:val="IndexLink"/>
                <w:lang w:val="en-GB" w:eastAsia="en-US"/>
              </w:rPr>
              <w:t>Authorized Users of the Services</w:t>
            </w:r>
            <w:r>
              <w:rPr>
                <w:rStyle w:val="IndexLink"/>
                <w:lang w:val="en-US" w:eastAsia="en-US"/>
              </w:rPr>
              <w:tab/>
              <w:t>20</w:t>
            </w:r>
          </w:hyperlink>
        </w:p>
        <w:p>
          <w:pPr>
            <w:pStyle w:val="TOC2"/>
            <w:tabs>
              <w:tab w:val="left" w:pos="800" w:leader="none"/>
              <w:tab w:val="right" w:pos="8777" w:leader="none"/>
            </w:tabs>
            <w:rPr>
              <w:caps w:val="false"/>
              <w:smallCaps w:val="false"/>
              <w:sz w:val="24"/>
              <w:szCs w:val="24"/>
              <w:lang w:val="en-US" w:eastAsia="en-US"/>
            </w:rPr>
          </w:pPr>
          <w:hyperlink w:anchor="__RefHeading___Toc157506488">
            <w:r>
              <w:rPr>
                <w:rStyle w:val="IndexLink"/>
                <w:lang w:val="en-GB" w:eastAsia="en-US"/>
              </w:rPr>
              <w:t>3.9</w:t>
            </w:r>
            <w:r>
              <w:rPr>
                <w:rStyle w:val="IndexLink"/>
                <w:caps w:val="false"/>
                <w:smallCaps w:val="false"/>
                <w:sz w:val="24"/>
                <w:szCs w:val="24"/>
                <w:lang w:val="en-US" w:eastAsia="en-US"/>
              </w:rPr>
              <w:tab/>
            </w:r>
            <w:r>
              <w:rPr>
                <w:rStyle w:val="IndexLink"/>
                <w:lang w:val="en-GB" w:eastAsia="en-US"/>
              </w:rPr>
              <w:t>Sites</w:t>
            </w:r>
            <w:r>
              <w:rPr>
                <w:rStyle w:val="IndexLink"/>
                <w:lang w:val="en-US" w:eastAsia="en-US"/>
              </w:rPr>
              <w:tab/>
              <w:t>21</w:t>
            </w:r>
          </w:hyperlink>
        </w:p>
        <w:p>
          <w:pPr>
            <w:pStyle w:val="TOC2"/>
            <w:tabs>
              <w:tab w:val="left" w:pos="800" w:leader="none"/>
              <w:tab w:val="right" w:pos="8777" w:leader="none"/>
            </w:tabs>
            <w:rPr>
              <w:caps w:val="false"/>
              <w:smallCaps w:val="false"/>
              <w:sz w:val="24"/>
              <w:szCs w:val="24"/>
              <w:lang w:val="en-US" w:eastAsia="en-US"/>
            </w:rPr>
          </w:pPr>
          <w:hyperlink w:anchor="__RefHeading___Toc157506489">
            <w:r>
              <w:rPr>
                <w:rStyle w:val="IndexLink"/>
                <w:lang w:val="en-GB" w:eastAsia="en-US"/>
              </w:rPr>
              <w:t>3.10</w:t>
            </w:r>
            <w:r>
              <w:rPr>
                <w:rStyle w:val="IndexLink"/>
                <w:caps w:val="false"/>
                <w:smallCaps w:val="false"/>
                <w:sz w:val="24"/>
                <w:szCs w:val="24"/>
                <w:lang w:val="en-US" w:eastAsia="en-US"/>
              </w:rPr>
              <w:tab/>
            </w:r>
            <w:r>
              <w:rPr>
                <w:rStyle w:val="IndexLink"/>
                <w:lang w:val="en-GB" w:eastAsia="en-US"/>
              </w:rPr>
              <w:t>Current Initiatives</w:t>
            </w:r>
            <w:r>
              <w:rPr>
                <w:rStyle w:val="IndexLink"/>
                <w:lang w:val="en-US" w:eastAsia="en-US"/>
              </w:rPr>
              <w:tab/>
              <w:t>21</w:t>
            </w:r>
          </w:hyperlink>
        </w:p>
        <w:p>
          <w:pPr>
            <w:pStyle w:val="TOC1"/>
            <w:tabs>
              <w:tab w:val="left" w:pos="400" w:leader="none"/>
              <w:tab w:val="right" w:pos="8777" w:leader="none"/>
            </w:tabs>
            <w:rPr>
              <w:b w:val="false"/>
              <w:bCs w:val="false"/>
              <w:caps w:val="false"/>
              <w:smallCaps w:val="false"/>
              <w:sz w:val="24"/>
              <w:szCs w:val="24"/>
              <w:lang w:val="en-US" w:eastAsia="en-US"/>
            </w:rPr>
          </w:pPr>
          <w:hyperlink w:anchor="__RefHeading___Toc157506490">
            <w:r>
              <w:rPr>
                <w:rStyle w:val="IndexLink"/>
                <w:lang w:val="en-GB" w:eastAsia="en-US"/>
              </w:rPr>
              <w:t>4.</w:t>
            </w:r>
            <w:r>
              <w:rPr>
                <w:rStyle w:val="IndexLink"/>
                <w:b w:val="false"/>
                <w:bCs w:val="false"/>
                <w:caps w:val="false"/>
                <w:smallCaps w:val="false"/>
                <w:sz w:val="24"/>
                <w:szCs w:val="24"/>
                <w:lang w:val="en-US" w:eastAsia="en-US"/>
              </w:rPr>
              <w:tab/>
            </w:r>
            <w:r>
              <w:rPr>
                <w:rStyle w:val="IndexLink"/>
                <w:lang w:val="en-GB" w:eastAsia="en-US"/>
              </w:rPr>
              <w:t>Facilities</w:t>
            </w:r>
            <w:r>
              <w:rPr>
                <w:rStyle w:val="IndexLink"/>
                <w:lang w:val="en-US" w:eastAsia="en-US"/>
              </w:rPr>
              <w:tab/>
              <w:t>21</w:t>
            </w:r>
          </w:hyperlink>
        </w:p>
        <w:p>
          <w:pPr>
            <w:pStyle w:val="TOC2"/>
            <w:tabs>
              <w:tab w:val="left" w:pos="800" w:leader="none"/>
              <w:tab w:val="right" w:pos="8777" w:leader="none"/>
            </w:tabs>
            <w:rPr>
              <w:caps w:val="false"/>
              <w:smallCaps w:val="false"/>
              <w:sz w:val="24"/>
              <w:szCs w:val="24"/>
              <w:lang w:val="en-US" w:eastAsia="en-US"/>
            </w:rPr>
          </w:pPr>
          <w:hyperlink w:anchor="__RefHeading___Toc157506491">
            <w:r>
              <w:rPr>
                <w:rStyle w:val="IndexLink"/>
                <w:lang w:val="en-GB" w:eastAsia="en-US"/>
              </w:rPr>
              <w:t>4.1</w:t>
            </w:r>
            <w:r>
              <w:rPr>
                <w:rStyle w:val="IndexLink"/>
                <w:caps w:val="false"/>
                <w:smallCaps w:val="false"/>
                <w:sz w:val="24"/>
                <w:szCs w:val="24"/>
                <w:lang w:val="en-US" w:eastAsia="en-US"/>
              </w:rPr>
              <w:tab/>
            </w:r>
            <w:r>
              <w:rPr>
                <w:rStyle w:val="IndexLink"/>
                <w:lang w:val="en-GB" w:eastAsia="en-US"/>
              </w:rPr>
              <w:t>General</w:t>
            </w:r>
            <w:r>
              <w:rPr>
                <w:rStyle w:val="IndexLink"/>
                <w:lang w:val="en-US" w:eastAsia="en-US"/>
              </w:rPr>
              <w:tab/>
              <w:t>21</w:t>
            </w:r>
          </w:hyperlink>
        </w:p>
        <w:p>
          <w:pPr>
            <w:pStyle w:val="TOC2"/>
            <w:tabs>
              <w:tab w:val="left" w:pos="800" w:leader="none"/>
              <w:tab w:val="right" w:pos="8777" w:leader="none"/>
            </w:tabs>
            <w:rPr>
              <w:caps w:val="false"/>
              <w:smallCaps w:val="false"/>
              <w:sz w:val="24"/>
              <w:szCs w:val="24"/>
              <w:lang w:val="en-US" w:eastAsia="en-US"/>
            </w:rPr>
          </w:pPr>
          <w:hyperlink w:anchor="__RefHeading___Toc157506492">
            <w:r>
              <w:rPr>
                <w:rStyle w:val="IndexLink"/>
                <w:lang w:val="en-GB" w:eastAsia="en-US"/>
              </w:rPr>
              <w:t>4.2</w:t>
            </w:r>
            <w:r>
              <w:rPr>
                <w:rStyle w:val="IndexLink"/>
                <w:caps w:val="false"/>
                <w:smallCaps w:val="false"/>
                <w:sz w:val="24"/>
                <w:szCs w:val="24"/>
                <w:lang w:val="en-US" w:eastAsia="en-US"/>
              </w:rPr>
              <w:tab/>
            </w:r>
            <w:r>
              <w:rPr>
                <w:rStyle w:val="IndexLink"/>
                <w:lang w:val="en-GB" w:eastAsia="en-US"/>
              </w:rPr>
              <w:t>Service Provider's Use of Novartis Pharma's Facilities</w:t>
            </w:r>
            <w:r>
              <w:rPr>
                <w:rStyle w:val="IndexLink"/>
                <w:lang w:val="en-US" w:eastAsia="en-US"/>
              </w:rPr>
              <w:tab/>
              <w:t>22</w:t>
            </w:r>
          </w:hyperlink>
        </w:p>
        <w:p>
          <w:pPr>
            <w:pStyle w:val="TOC2"/>
            <w:tabs>
              <w:tab w:val="left" w:pos="800" w:leader="none"/>
              <w:tab w:val="right" w:pos="8777" w:leader="none"/>
            </w:tabs>
            <w:rPr>
              <w:caps w:val="false"/>
              <w:smallCaps w:val="false"/>
              <w:sz w:val="24"/>
              <w:szCs w:val="24"/>
              <w:lang w:val="en-US" w:eastAsia="en-US"/>
            </w:rPr>
          </w:pPr>
          <w:hyperlink w:anchor="__RefHeading___Toc157506493">
            <w:r>
              <w:rPr>
                <w:rStyle w:val="IndexLink"/>
                <w:lang w:val="en-GB" w:eastAsia="en-US"/>
              </w:rPr>
              <w:t>4.3</w:t>
            </w:r>
            <w:r>
              <w:rPr>
                <w:rStyle w:val="IndexLink"/>
                <w:caps w:val="false"/>
                <w:smallCaps w:val="false"/>
                <w:sz w:val="24"/>
                <w:szCs w:val="24"/>
                <w:lang w:val="en-US" w:eastAsia="en-US"/>
              </w:rPr>
              <w:tab/>
            </w:r>
            <w:r>
              <w:rPr>
                <w:rStyle w:val="IndexLink"/>
                <w:lang w:val="en-GB" w:eastAsia="en-US"/>
              </w:rPr>
              <w:t>Migrations from Novartis Pharma Facilities</w:t>
            </w:r>
            <w:r>
              <w:rPr>
                <w:rStyle w:val="IndexLink"/>
                <w:lang w:val="en-US" w:eastAsia="en-US"/>
              </w:rPr>
              <w:tab/>
              <w:t>23</w:t>
            </w:r>
          </w:hyperlink>
        </w:p>
        <w:p>
          <w:pPr>
            <w:pStyle w:val="TOC1"/>
            <w:tabs>
              <w:tab w:val="left" w:pos="400" w:leader="none"/>
              <w:tab w:val="right" w:pos="8777" w:leader="none"/>
            </w:tabs>
            <w:rPr>
              <w:b w:val="false"/>
              <w:bCs w:val="false"/>
              <w:caps w:val="false"/>
              <w:smallCaps w:val="false"/>
              <w:sz w:val="24"/>
              <w:szCs w:val="24"/>
              <w:lang w:val="en-US" w:eastAsia="en-US"/>
            </w:rPr>
          </w:pPr>
          <w:hyperlink w:anchor="__RefHeading___Toc157506494">
            <w:r>
              <w:rPr>
                <w:rStyle w:val="IndexLink"/>
                <w:lang w:val="en-GB" w:eastAsia="en-US"/>
              </w:rPr>
              <w:t>5.</w:t>
            </w:r>
            <w:r>
              <w:rPr>
                <w:rStyle w:val="IndexLink"/>
                <w:b w:val="false"/>
                <w:bCs w:val="false"/>
                <w:caps w:val="false"/>
                <w:smallCaps w:val="false"/>
                <w:sz w:val="24"/>
                <w:szCs w:val="24"/>
                <w:lang w:val="en-US" w:eastAsia="en-US"/>
              </w:rPr>
              <w:tab/>
            </w:r>
            <w:r>
              <w:rPr>
                <w:rStyle w:val="IndexLink"/>
                <w:lang w:val="en-GB" w:eastAsia="en-US"/>
              </w:rPr>
              <w:t>Equipment, Software and Third Party Services Contract</w:t>
            </w:r>
            <w:r>
              <w:rPr>
                <w:rStyle w:val="IndexLink"/>
                <w:lang w:val="en-US" w:eastAsia="en-US"/>
              </w:rPr>
              <w:tab/>
              <w:t>23</w:t>
            </w:r>
          </w:hyperlink>
        </w:p>
        <w:p>
          <w:pPr>
            <w:pStyle w:val="TOC1"/>
            <w:tabs>
              <w:tab w:val="left" w:pos="400" w:leader="none"/>
              <w:tab w:val="right" w:pos="8777" w:leader="none"/>
            </w:tabs>
            <w:rPr>
              <w:b w:val="false"/>
              <w:bCs w:val="false"/>
              <w:caps w:val="false"/>
              <w:smallCaps w:val="false"/>
              <w:sz w:val="24"/>
              <w:szCs w:val="24"/>
              <w:lang w:val="en-US" w:eastAsia="en-US"/>
            </w:rPr>
          </w:pPr>
          <w:hyperlink w:anchor="__RefHeading___Toc157506495">
            <w:r>
              <w:rPr>
                <w:rStyle w:val="IndexLink"/>
                <w:lang w:val="en-GB" w:eastAsia="en-US"/>
              </w:rPr>
              <w:t>6.</w:t>
            </w:r>
            <w:r>
              <w:rPr>
                <w:rStyle w:val="IndexLink"/>
                <w:b w:val="false"/>
                <w:bCs w:val="false"/>
                <w:caps w:val="false"/>
                <w:smallCaps w:val="false"/>
                <w:sz w:val="24"/>
                <w:szCs w:val="24"/>
                <w:lang w:val="en-US" w:eastAsia="en-US"/>
              </w:rPr>
              <w:tab/>
            </w:r>
            <w:r>
              <w:rPr>
                <w:rStyle w:val="IndexLink"/>
                <w:lang w:val="en-GB" w:eastAsia="en-US"/>
              </w:rPr>
              <w:t>Special Asset Terms</w:t>
            </w:r>
            <w:r>
              <w:rPr>
                <w:rStyle w:val="IndexLink"/>
                <w:lang w:val="en-US" w:eastAsia="en-US"/>
              </w:rPr>
              <w:tab/>
              <w:t>23</w:t>
            </w:r>
          </w:hyperlink>
        </w:p>
        <w:p>
          <w:pPr>
            <w:pStyle w:val="TOC2"/>
            <w:tabs>
              <w:tab w:val="left" w:pos="800" w:leader="none"/>
              <w:tab w:val="right" w:pos="8777" w:leader="none"/>
            </w:tabs>
            <w:rPr>
              <w:caps w:val="false"/>
              <w:smallCaps w:val="false"/>
              <w:sz w:val="24"/>
              <w:szCs w:val="24"/>
              <w:lang w:val="en-US" w:eastAsia="en-US"/>
            </w:rPr>
          </w:pPr>
          <w:hyperlink w:anchor="__RefHeading___Toc157506496">
            <w:r>
              <w:rPr>
                <w:rStyle w:val="IndexLink"/>
                <w:lang w:val="en-GB" w:eastAsia="en-US"/>
              </w:rPr>
              <w:t>6.1</w:t>
            </w:r>
            <w:r>
              <w:rPr>
                <w:rStyle w:val="IndexLink"/>
                <w:caps w:val="false"/>
                <w:smallCaps w:val="false"/>
                <w:sz w:val="24"/>
                <w:szCs w:val="24"/>
                <w:lang w:val="en-US" w:eastAsia="en-US"/>
              </w:rPr>
              <w:tab/>
            </w:r>
            <w:r>
              <w:rPr>
                <w:rStyle w:val="IndexLink"/>
                <w:lang w:val="en-GB" w:eastAsia="en-US"/>
              </w:rPr>
              <w:t>Commitment to Provide Resources</w:t>
            </w:r>
            <w:r>
              <w:rPr>
                <w:rStyle w:val="IndexLink"/>
                <w:lang w:val="en-US" w:eastAsia="en-US"/>
              </w:rPr>
              <w:tab/>
              <w:t>23</w:t>
            </w:r>
          </w:hyperlink>
        </w:p>
        <w:p>
          <w:pPr>
            <w:pStyle w:val="TOC2"/>
            <w:tabs>
              <w:tab w:val="left" w:pos="800" w:leader="none"/>
              <w:tab w:val="right" w:pos="8777" w:leader="none"/>
            </w:tabs>
            <w:rPr>
              <w:caps w:val="false"/>
              <w:smallCaps w:val="false"/>
              <w:sz w:val="24"/>
              <w:szCs w:val="24"/>
              <w:lang w:val="en-US" w:eastAsia="en-US"/>
            </w:rPr>
          </w:pPr>
          <w:hyperlink w:anchor="__RefHeading___Toc157506497">
            <w:r>
              <w:rPr>
                <w:rStyle w:val="IndexLink"/>
                <w:lang w:val="en-GB" w:eastAsia="en-US"/>
              </w:rPr>
              <w:t>6.2</w:t>
            </w:r>
            <w:r>
              <w:rPr>
                <w:rStyle w:val="IndexLink"/>
                <w:caps w:val="false"/>
                <w:smallCaps w:val="false"/>
                <w:sz w:val="24"/>
                <w:szCs w:val="24"/>
                <w:lang w:val="en-US" w:eastAsia="en-US"/>
              </w:rPr>
              <w:tab/>
            </w:r>
            <w:r>
              <w:rPr>
                <w:rStyle w:val="IndexLink"/>
                <w:lang w:val="en-GB" w:eastAsia="en-US"/>
              </w:rPr>
              <w:t>Compliance with Terms</w:t>
            </w:r>
            <w:r>
              <w:rPr>
                <w:rStyle w:val="IndexLink"/>
                <w:lang w:val="en-US" w:eastAsia="en-US"/>
              </w:rPr>
              <w:tab/>
              <w:t>23</w:t>
            </w:r>
          </w:hyperlink>
        </w:p>
        <w:p>
          <w:pPr>
            <w:pStyle w:val="TOC2"/>
            <w:tabs>
              <w:tab w:val="left" w:pos="800" w:leader="none"/>
              <w:tab w:val="right" w:pos="8777" w:leader="none"/>
            </w:tabs>
            <w:rPr>
              <w:caps w:val="false"/>
              <w:smallCaps w:val="false"/>
              <w:sz w:val="24"/>
              <w:szCs w:val="24"/>
              <w:lang w:val="en-US" w:eastAsia="en-US"/>
            </w:rPr>
          </w:pPr>
          <w:hyperlink w:anchor="__RefHeading___Toc157506498">
            <w:r>
              <w:rPr>
                <w:rStyle w:val="IndexLink"/>
                <w:lang w:val="en-GB" w:eastAsia="en-US"/>
              </w:rPr>
              <w:t>6.3</w:t>
            </w:r>
            <w:r>
              <w:rPr>
                <w:rStyle w:val="IndexLink"/>
                <w:caps w:val="false"/>
                <w:smallCaps w:val="false"/>
                <w:sz w:val="24"/>
                <w:szCs w:val="24"/>
                <w:lang w:val="en-US" w:eastAsia="en-US"/>
              </w:rPr>
              <w:tab/>
            </w:r>
            <w:r>
              <w:rPr>
                <w:rStyle w:val="IndexLink"/>
                <w:lang w:val="en-GB" w:eastAsia="en-US"/>
              </w:rPr>
              <w:t>Refresh and Standardization</w:t>
            </w:r>
            <w:r>
              <w:rPr>
                <w:rStyle w:val="IndexLink"/>
                <w:lang w:val="en-US" w:eastAsia="en-US"/>
              </w:rPr>
              <w:tab/>
              <w:t>24</w:t>
            </w:r>
          </w:hyperlink>
        </w:p>
        <w:p>
          <w:pPr>
            <w:pStyle w:val="TOC1"/>
            <w:tabs>
              <w:tab w:val="left" w:pos="400" w:leader="none"/>
              <w:tab w:val="right" w:pos="8777" w:leader="none"/>
            </w:tabs>
            <w:rPr>
              <w:b w:val="false"/>
              <w:bCs w:val="false"/>
              <w:caps w:val="false"/>
              <w:smallCaps w:val="false"/>
              <w:sz w:val="24"/>
              <w:szCs w:val="24"/>
              <w:lang w:val="en-US" w:eastAsia="en-US"/>
            </w:rPr>
          </w:pPr>
          <w:hyperlink w:anchor="__RefHeading___Toc157506499">
            <w:r>
              <w:rPr>
                <w:rStyle w:val="IndexLink"/>
                <w:lang w:val="en-GB" w:eastAsia="en-US"/>
              </w:rPr>
              <w:t>7.</w:t>
            </w:r>
            <w:r>
              <w:rPr>
                <w:rStyle w:val="IndexLink"/>
                <w:b w:val="false"/>
                <w:bCs w:val="false"/>
                <w:caps w:val="false"/>
                <w:smallCaps w:val="false"/>
                <w:sz w:val="24"/>
                <w:szCs w:val="24"/>
                <w:lang w:val="en-US" w:eastAsia="en-US"/>
              </w:rPr>
              <w:tab/>
            </w:r>
            <w:r>
              <w:rPr>
                <w:rStyle w:val="IndexLink"/>
                <w:lang w:val="en-GB" w:eastAsia="en-US"/>
              </w:rPr>
              <w:t>Proprietary Rights</w:t>
            </w:r>
            <w:r>
              <w:rPr>
                <w:rStyle w:val="IndexLink"/>
                <w:lang w:val="en-US" w:eastAsia="en-US"/>
              </w:rPr>
              <w:tab/>
              <w:t>24</w:t>
            </w:r>
          </w:hyperlink>
        </w:p>
        <w:p>
          <w:pPr>
            <w:pStyle w:val="TOC2"/>
            <w:tabs>
              <w:tab w:val="left" w:pos="800" w:leader="none"/>
              <w:tab w:val="right" w:pos="8777" w:leader="none"/>
            </w:tabs>
            <w:rPr>
              <w:caps w:val="false"/>
              <w:smallCaps w:val="false"/>
              <w:sz w:val="24"/>
              <w:szCs w:val="24"/>
              <w:lang w:val="en-US" w:eastAsia="en-US"/>
            </w:rPr>
          </w:pPr>
          <w:hyperlink w:anchor="__RefHeading___Toc157506500">
            <w:r>
              <w:rPr>
                <w:rStyle w:val="IndexLink"/>
                <w:lang w:val="en-GB" w:eastAsia="en-US"/>
              </w:rPr>
              <w:t>7.1</w:t>
            </w:r>
            <w:r>
              <w:rPr>
                <w:rStyle w:val="IndexLink"/>
                <w:caps w:val="false"/>
                <w:smallCaps w:val="false"/>
                <w:sz w:val="24"/>
                <w:szCs w:val="24"/>
                <w:lang w:val="en-US" w:eastAsia="en-US"/>
              </w:rPr>
              <w:tab/>
            </w:r>
            <w:r>
              <w:rPr>
                <w:rStyle w:val="IndexLink"/>
                <w:lang w:val="en-GB" w:eastAsia="en-US"/>
              </w:rPr>
              <w:t>Novartis Pharma IP Rights and Know-how</w:t>
            </w:r>
            <w:r>
              <w:rPr>
                <w:rStyle w:val="IndexLink"/>
                <w:lang w:val="en-US" w:eastAsia="en-US"/>
              </w:rPr>
              <w:tab/>
              <w:t>24</w:t>
            </w:r>
          </w:hyperlink>
        </w:p>
        <w:p>
          <w:pPr>
            <w:pStyle w:val="TOC2"/>
            <w:tabs>
              <w:tab w:val="left" w:pos="800" w:leader="none"/>
              <w:tab w:val="right" w:pos="8777" w:leader="none"/>
            </w:tabs>
            <w:rPr>
              <w:caps w:val="false"/>
              <w:smallCaps w:val="false"/>
              <w:sz w:val="24"/>
              <w:szCs w:val="24"/>
              <w:lang w:val="en-US" w:eastAsia="en-US"/>
            </w:rPr>
          </w:pPr>
          <w:hyperlink w:anchor="__RefHeading___Toc157506501">
            <w:r>
              <w:rPr>
                <w:rStyle w:val="IndexLink"/>
                <w:lang w:val="en-GB" w:eastAsia="en-US"/>
              </w:rPr>
              <w:t>7.2</w:t>
            </w:r>
            <w:r>
              <w:rPr>
                <w:rStyle w:val="IndexLink"/>
                <w:caps w:val="false"/>
                <w:smallCaps w:val="false"/>
                <w:sz w:val="24"/>
                <w:szCs w:val="24"/>
                <w:lang w:val="en-US" w:eastAsia="en-US"/>
              </w:rPr>
              <w:tab/>
            </w:r>
            <w:r>
              <w:rPr>
                <w:rStyle w:val="IndexLink"/>
                <w:lang w:val="en-GB" w:eastAsia="en-US"/>
              </w:rPr>
              <w:t>Service Provider's IP Rights and Know-how</w:t>
            </w:r>
            <w:r>
              <w:rPr>
                <w:rStyle w:val="IndexLink"/>
                <w:lang w:val="en-US" w:eastAsia="en-US"/>
              </w:rPr>
              <w:tab/>
              <w:t>25</w:t>
            </w:r>
          </w:hyperlink>
        </w:p>
        <w:p>
          <w:pPr>
            <w:pStyle w:val="TOC2"/>
            <w:tabs>
              <w:tab w:val="left" w:pos="800" w:leader="none"/>
              <w:tab w:val="right" w:pos="8777" w:leader="none"/>
            </w:tabs>
            <w:rPr>
              <w:caps w:val="false"/>
              <w:smallCaps w:val="false"/>
              <w:sz w:val="24"/>
              <w:szCs w:val="24"/>
              <w:lang w:val="en-US" w:eastAsia="en-US"/>
            </w:rPr>
          </w:pPr>
          <w:hyperlink w:anchor="__RefHeading___Toc157506502">
            <w:r>
              <w:rPr>
                <w:rStyle w:val="IndexLink"/>
                <w:lang w:val="en-GB" w:eastAsia="en-US"/>
              </w:rPr>
              <w:t>7.3</w:t>
            </w:r>
            <w:r>
              <w:rPr>
                <w:rStyle w:val="IndexLink"/>
                <w:caps w:val="false"/>
                <w:smallCaps w:val="false"/>
                <w:sz w:val="24"/>
                <w:szCs w:val="24"/>
                <w:lang w:val="en-US" w:eastAsia="en-US"/>
              </w:rPr>
              <w:tab/>
            </w:r>
            <w:r>
              <w:rPr>
                <w:rStyle w:val="IndexLink"/>
                <w:lang w:val="en-GB" w:eastAsia="en-US"/>
              </w:rPr>
              <w:t>Future Intellectual Property Rights and Know-how</w:t>
            </w:r>
            <w:r>
              <w:rPr>
                <w:rStyle w:val="IndexLink"/>
                <w:lang w:val="en-US" w:eastAsia="en-US"/>
              </w:rPr>
              <w:tab/>
              <w:t>26</w:t>
            </w:r>
          </w:hyperlink>
        </w:p>
        <w:p>
          <w:pPr>
            <w:pStyle w:val="TOC3"/>
            <w:tabs>
              <w:tab w:val="left" w:pos="1200" w:leader="none"/>
              <w:tab w:val="right" w:pos="8777" w:leader="none"/>
            </w:tabs>
            <w:rPr>
              <w:i w:val="false"/>
              <w:i w:val="false"/>
              <w:iCs w:val="false"/>
              <w:sz w:val="24"/>
              <w:szCs w:val="24"/>
              <w:lang w:val="en-US" w:eastAsia="en-US"/>
            </w:rPr>
          </w:pPr>
          <w:hyperlink w:anchor="__RefHeading___Toc157506503">
            <w:r>
              <w:rPr>
                <w:rStyle w:val="IndexLink"/>
                <w:lang w:val="en-GB" w:eastAsia="en-US"/>
              </w:rPr>
              <w:t>7.3.1</w:t>
            </w:r>
            <w:r>
              <w:rPr>
                <w:rStyle w:val="IndexLink"/>
                <w:i w:val="false"/>
                <w:iCs w:val="false"/>
                <w:sz w:val="24"/>
                <w:szCs w:val="24"/>
                <w:lang w:val="en-US" w:eastAsia="en-US"/>
              </w:rPr>
              <w:tab/>
            </w:r>
            <w:r>
              <w:rPr>
                <w:rStyle w:val="IndexLink"/>
                <w:lang w:val="en-GB" w:eastAsia="en-US"/>
              </w:rPr>
              <w:t>Materials Developed under this Agreement</w:t>
            </w:r>
            <w:r>
              <w:rPr>
                <w:rStyle w:val="IndexLink"/>
                <w:lang w:val="en-US" w:eastAsia="en-US"/>
              </w:rPr>
              <w:tab/>
              <w:t>26</w:t>
            </w:r>
          </w:hyperlink>
        </w:p>
        <w:p>
          <w:pPr>
            <w:pStyle w:val="TOC3"/>
            <w:tabs>
              <w:tab w:val="left" w:pos="1200" w:leader="none"/>
              <w:tab w:val="right" w:pos="8777" w:leader="none"/>
            </w:tabs>
            <w:rPr>
              <w:i w:val="false"/>
              <w:i w:val="false"/>
              <w:iCs w:val="false"/>
              <w:sz w:val="24"/>
              <w:szCs w:val="24"/>
              <w:lang w:val="en-US" w:eastAsia="en-US"/>
            </w:rPr>
          </w:pPr>
          <w:hyperlink w:anchor="__RefHeading___Toc157506504">
            <w:r>
              <w:rPr>
                <w:rStyle w:val="IndexLink"/>
                <w:lang w:val="en-GB" w:eastAsia="en-US"/>
              </w:rPr>
              <w:t>7.3.2</w:t>
            </w:r>
            <w:r>
              <w:rPr>
                <w:rStyle w:val="IndexLink"/>
                <w:i w:val="false"/>
                <w:iCs w:val="false"/>
                <w:sz w:val="24"/>
                <w:szCs w:val="24"/>
                <w:lang w:val="en-US" w:eastAsia="en-US"/>
              </w:rPr>
              <w:tab/>
            </w:r>
            <w:r>
              <w:rPr>
                <w:rStyle w:val="IndexLink"/>
                <w:lang w:val="en-GB" w:eastAsia="en-US"/>
              </w:rPr>
              <w:t>General</w:t>
            </w:r>
            <w:r>
              <w:rPr>
                <w:rStyle w:val="IndexLink"/>
                <w:lang w:val="en-US" w:eastAsia="en-US"/>
              </w:rPr>
              <w:tab/>
              <w:t>28</w:t>
            </w:r>
          </w:hyperlink>
        </w:p>
        <w:p>
          <w:pPr>
            <w:pStyle w:val="TOC2"/>
            <w:tabs>
              <w:tab w:val="left" w:pos="800" w:leader="none"/>
              <w:tab w:val="right" w:pos="8777" w:leader="none"/>
            </w:tabs>
            <w:rPr>
              <w:caps w:val="false"/>
              <w:smallCaps w:val="false"/>
              <w:sz w:val="24"/>
              <w:szCs w:val="24"/>
              <w:lang w:val="en-US" w:eastAsia="en-US"/>
            </w:rPr>
          </w:pPr>
          <w:hyperlink w:anchor="__RefHeading___Toc157506505">
            <w:r>
              <w:rPr>
                <w:rStyle w:val="IndexLink"/>
                <w:lang w:val="en-GB" w:eastAsia="en-US"/>
              </w:rPr>
              <w:t>7.4</w:t>
            </w:r>
            <w:r>
              <w:rPr>
                <w:rStyle w:val="IndexLink"/>
                <w:caps w:val="false"/>
                <w:smallCaps w:val="false"/>
                <w:sz w:val="24"/>
                <w:szCs w:val="24"/>
                <w:lang w:val="en-US" w:eastAsia="en-US"/>
              </w:rPr>
              <w:tab/>
            </w:r>
            <w:r>
              <w:rPr>
                <w:rStyle w:val="IndexLink"/>
                <w:lang w:val="en-GB" w:eastAsia="en-US"/>
              </w:rPr>
              <w:t>Third Party Materials</w:t>
            </w:r>
            <w:r>
              <w:rPr>
                <w:rStyle w:val="IndexLink"/>
                <w:lang w:val="en-US" w:eastAsia="en-US"/>
              </w:rPr>
              <w:tab/>
              <w:t>29</w:t>
            </w:r>
          </w:hyperlink>
        </w:p>
        <w:p>
          <w:pPr>
            <w:pStyle w:val="TOC2"/>
            <w:tabs>
              <w:tab w:val="left" w:pos="800" w:leader="none"/>
              <w:tab w:val="right" w:pos="8777" w:leader="none"/>
            </w:tabs>
            <w:rPr>
              <w:caps w:val="false"/>
              <w:smallCaps w:val="false"/>
              <w:sz w:val="24"/>
              <w:szCs w:val="24"/>
              <w:lang w:val="en-US" w:eastAsia="en-US"/>
            </w:rPr>
          </w:pPr>
          <w:hyperlink w:anchor="__RefHeading___Toc157506506">
            <w:r>
              <w:rPr>
                <w:rStyle w:val="IndexLink"/>
                <w:lang w:val="en-GB" w:eastAsia="en-US"/>
              </w:rPr>
              <w:t>7.5</w:t>
            </w:r>
            <w:r>
              <w:rPr>
                <w:rStyle w:val="IndexLink"/>
                <w:caps w:val="false"/>
                <w:smallCaps w:val="false"/>
                <w:sz w:val="24"/>
                <w:szCs w:val="24"/>
                <w:lang w:val="en-US" w:eastAsia="en-US"/>
              </w:rPr>
              <w:tab/>
            </w:r>
            <w:r>
              <w:rPr>
                <w:rStyle w:val="IndexLink"/>
                <w:lang w:val="en-GB" w:eastAsia="en-US"/>
              </w:rPr>
              <w:t>Residual Knowledge</w:t>
            </w:r>
            <w:r>
              <w:rPr>
                <w:rStyle w:val="IndexLink"/>
                <w:lang w:val="en-US" w:eastAsia="en-US"/>
              </w:rPr>
              <w:tab/>
              <w:t>30</w:t>
            </w:r>
          </w:hyperlink>
        </w:p>
        <w:p>
          <w:pPr>
            <w:pStyle w:val="TOC1"/>
            <w:tabs>
              <w:tab w:val="left" w:pos="400" w:leader="none"/>
              <w:tab w:val="right" w:pos="8777" w:leader="none"/>
            </w:tabs>
            <w:rPr>
              <w:b w:val="false"/>
              <w:bCs w:val="false"/>
              <w:caps w:val="false"/>
              <w:smallCaps w:val="false"/>
              <w:sz w:val="24"/>
              <w:szCs w:val="24"/>
              <w:lang w:val="en-US" w:eastAsia="en-US"/>
            </w:rPr>
          </w:pPr>
          <w:hyperlink w:anchor="__RefHeading___Toc157506507">
            <w:r>
              <w:rPr>
                <w:rStyle w:val="IndexLink"/>
                <w:lang w:val="en-GB" w:eastAsia="en-US"/>
              </w:rPr>
              <w:t>8.</w:t>
            </w:r>
            <w:r>
              <w:rPr>
                <w:rStyle w:val="IndexLink"/>
                <w:b w:val="false"/>
                <w:bCs w:val="false"/>
                <w:caps w:val="false"/>
                <w:smallCaps w:val="false"/>
                <w:sz w:val="24"/>
                <w:szCs w:val="24"/>
                <w:lang w:val="en-US" w:eastAsia="en-US"/>
              </w:rPr>
              <w:tab/>
            </w:r>
            <w:r>
              <w:rPr>
                <w:rStyle w:val="IndexLink"/>
                <w:lang w:val="en-GB" w:eastAsia="en-US"/>
              </w:rPr>
              <w:t>Novartis Pharma - Service Provider  Relationship</w:t>
            </w:r>
            <w:r>
              <w:rPr>
                <w:rStyle w:val="IndexLink"/>
                <w:lang w:val="en-US" w:eastAsia="en-US"/>
              </w:rPr>
              <w:tab/>
              <w:t>30</w:t>
            </w:r>
          </w:hyperlink>
        </w:p>
        <w:p>
          <w:pPr>
            <w:pStyle w:val="TOC2"/>
            <w:tabs>
              <w:tab w:val="left" w:pos="800" w:leader="none"/>
              <w:tab w:val="right" w:pos="8777" w:leader="none"/>
            </w:tabs>
            <w:rPr>
              <w:caps w:val="false"/>
              <w:smallCaps w:val="false"/>
              <w:sz w:val="24"/>
              <w:szCs w:val="24"/>
              <w:lang w:val="en-US" w:eastAsia="en-US"/>
            </w:rPr>
          </w:pPr>
          <w:hyperlink w:anchor="__RefHeading___Toc157506508">
            <w:r>
              <w:rPr>
                <w:rStyle w:val="IndexLink"/>
                <w:lang w:val="en-GB" w:eastAsia="en-US"/>
              </w:rPr>
              <w:t>8.1</w:t>
            </w:r>
            <w:r>
              <w:rPr>
                <w:rStyle w:val="IndexLink"/>
                <w:caps w:val="false"/>
                <w:smallCaps w:val="false"/>
                <w:sz w:val="24"/>
                <w:szCs w:val="24"/>
                <w:lang w:val="en-US" w:eastAsia="en-US"/>
              </w:rPr>
              <w:tab/>
            </w:r>
            <w:r>
              <w:rPr>
                <w:rStyle w:val="IndexLink"/>
                <w:lang w:val="en-GB" w:eastAsia="en-US"/>
              </w:rPr>
              <w:t>Governance Model</w:t>
            </w:r>
            <w:r>
              <w:rPr>
                <w:rStyle w:val="IndexLink"/>
                <w:lang w:val="en-US" w:eastAsia="en-US"/>
              </w:rPr>
              <w:tab/>
              <w:t>30</w:t>
            </w:r>
          </w:hyperlink>
        </w:p>
        <w:p>
          <w:pPr>
            <w:pStyle w:val="TOC2"/>
            <w:tabs>
              <w:tab w:val="left" w:pos="800" w:leader="none"/>
              <w:tab w:val="right" w:pos="8777" w:leader="none"/>
            </w:tabs>
            <w:rPr>
              <w:caps w:val="false"/>
              <w:smallCaps w:val="false"/>
              <w:sz w:val="24"/>
              <w:szCs w:val="24"/>
              <w:lang w:val="en-US" w:eastAsia="en-US"/>
            </w:rPr>
          </w:pPr>
          <w:hyperlink w:anchor="__RefHeading___Toc157506509">
            <w:r>
              <w:rPr>
                <w:rStyle w:val="IndexLink"/>
                <w:lang w:val="en-GB" w:eastAsia="en-US"/>
              </w:rPr>
              <w:t>8.2</w:t>
            </w:r>
            <w:r>
              <w:rPr>
                <w:rStyle w:val="IndexLink"/>
                <w:caps w:val="false"/>
                <w:smallCaps w:val="false"/>
                <w:sz w:val="24"/>
                <w:szCs w:val="24"/>
                <w:lang w:val="en-US" w:eastAsia="en-US"/>
              </w:rPr>
              <w:tab/>
            </w:r>
            <w:r>
              <w:rPr>
                <w:rStyle w:val="IndexLink"/>
                <w:lang w:val="en-GB" w:eastAsia="en-US"/>
              </w:rPr>
              <w:t>Service Provider Personnel</w:t>
            </w:r>
            <w:r>
              <w:rPr>
                <w:rStyle w:val="IndexLink"/>
                <w:lang w:val="en-US" w:eastAsia="en-US"/>
              </w:rPr>
              <w:tab/>
              <w:t>30</w:t>
            </w:r>
          </w:hyperlink>
        </w:p>
        <w:p>
          <w:pPr>
            <w:pStyle w:val="TOC2"/>
            <w:tabs>
              <w:tab w:val="left" w:pos="800" w:leader="none"/>
              <w:tab w:val="right" w:pos="8777" w:leader="none"/>
            </w:tabs>
            <w:rPr>
              <w:caps w:val="false"/>
              <w:smallCaps w:val="false"/>
              <w:sz w:val="24"/>
              <w:szCs w:val="24"/>
              <w:lang w:val="en-US" w:eastAsia="en-US"/>
            </w:rPr>
          </w:pPr>
          <w:hyperlink w:anchor="__RefHeading___Toc157506510">
            <w:r>
              <w:rPr>
                <w:rStyle w:val="IndexLink"/>
                <w:lang w:val="en-GB" w:eastAsia="en-US"/>
              </w:rPr>
              <w:t>8.3</w:t>
            </w:r>
            <w:r>
              <w:rPr>
                <w:rStyle w:val="IndexLink"/>
                <w:caps w:val="false"/>
                <w:smallCaps w:val="false"/>
                <w:sz w:val="24"/>
                <w:szCs w:val="24"/>
                <w:lang w:val="en-US" w:eastAsia="en-US"/>
              </w:rPr>
              <w:tab/>
            </w:r>
            <w:r>
              <w:rPr>
                <w:rStyle w:val="IndexLink"/>
                <w:lang w:val="en-GB" w:eastAsia="en-US"/>
              </w:rPr>
              <w:t>Customer Satisfaction Survey</w:t>
            </w:r>
            <w:r>
              <w:rPr>
                <w:rStyle w:val="IndexLink"/>
                <w:lang w:val="en-US" w:eastAsia="en-US"/>
              </w:rPr>
              <w:tab/>
              <w:t>31</w:t>
            </w:r>
          </w:hyperlink>
        </w:p>
        <w:p>
          <w:pPr>
            <w:pStyle w:val="TOC2"/>
            <w:tabs>
              <w:tab w:val="left" w:pos="800" w:leader="none"/>
              <w:tab w:val="right" w:pos="8777" w:leader="none"/>
            </w:tabs>
            <w:rPr>
              <w:caps w:val="false"/>
              <w:smallCaps w:val="false"/>
              <w:sz w:val="24"/>
              <w:szCs w:val="24"/>
              <w:lang w:val="en-US" w:eastAsia="en-US"/>
            </w:rPr>
          </w:pPr>
          <w:hyperlink w:anchor="__RefHeading___Toc157506511">
            <w:r>
              <w:rPr>
                <w:rStyle w:val="IndexLink"/>
                <w:lang w:val="en-GB" w:eastAsia="en-US"/>
              </w:rPr>
              <w:t>8.4</w:t>
            </w:r>
            <w:r>
              <w:rPr>
                <w:rStyle w:val="IndexLink"/>
                <w:caps w:val="false"/>
                <w:smallCaps w:val="false"/>
                <w:sz w:val="24"/>
                <w:szCs w:val="24"/>
                <w:lang w:val="en-US" w:eastAsia="en-US"/>
              </w:rPr>
              <w:tab/>
            </w:r>
            <w:r>
              <w:rPr>
                <w:rStyle w:val="IndexLink"/>
                <w:lang w:val="en-GB" w:eastAsia="en-US"/>
              </w:rPr>
              <w:t>Planning and Budgeting Process</w:t>
            </w:r>
            <w:r>
              <w:rPr>
                <w:rStyle w:val="IndexLink"/>
                <w:lang w:val="en-US" w:eastAsia="en-US"/>
              </w:rPr>
              <w:tab/>
              <w:t>32</w:t>
            </w:r>
          </w:hyperlink>
        </w:p>
        <w:p>
          <w:pPr>
            <w:pStyle w:val="TOC2"/>
            <w:tabs>
              <w:tab w:val="left" w:pos="800" w:leader="none"/>
              <w:tab w:val="right" w:pos="8777" w:leader="none"/>
            </w:tabs>
            <w:rPr>
              <w:caps w:val="false"/>
              <w:smallCaps w:val="false"/>
              <w:sz w:val="24"/>
              <w:szCs w:val="24"/>
              <w:lang w:val="en-US" w:eastAsia="en-US"/>
            </w:rPr>
          </w:pPr>
          <w:hyperlink w:anchor="__RefHeading___Toc157506512">
            <w:r>
              <w:rPr>
                <w:rStyle w:val="IndexLink"/>
                <w:lang w:val="en-GB" w:eastAsia="en-US"/>
              </w:rPr>
              <w:t>8.5</w:t>
            </w:r>
            <w:r>
              <w:rPr>
                <w:rStyle w:val="IndexLink"/>
                <w:caps w:val="false"/>
                <w:smallCaps w:val="false"/>
                <w:sz w:val="24"/>
                <w:szCs w:val="24"/>
                <w:lang w:val="en-US" w:eastAsia="en-US"/>
              </w:rPr>
              <w:tab/>
            </w:r>
            <w:r>
              <w:rPr>
                <w:rStyle w:val="IndexLink"/>
                <w:lang w:val="en-GB" w:eastAsia="en-US"/>
              </w:rPr>
              <w:t>Policies and Procedure Manual</w:t>
            </w:r>
            <w:r>
              <w:rPr>
                <w:rStyle w:val="IndexLink"/>
                <w:lang w:val="en-US" w:eastAsia="en-US"/>
              </w:rPr>
              <w:tab/>
              <w:t>32</w:t>
            </w:r>
          </w:hyperlink>
        </w:p>
        <w:p>
          <w:pPr>
            <w:pStyle w:val="TOC2"/>
            <w:tabs>
              <w:tab w:val="left" w:pos="800" w:leader="none"/>
              <w:tab w:val="right" w:pos="8777" w:leader="none"/>
            </w:tabs>
            <w:rPr>
              <w:caps w:val="false"/>
              <w:smallCaps w:val="false"/>
              <w:sz w:val="24"/>
              <w:szCs w:val="24"/>
              <w:lang w:val="en-US" w:eastAsia="en-US"/>
            </w:rPr>
          </w:pPr>
          <w:hyperlink w:anchor="__RefHeading___Toc157506513">
            <w:r>
              <w:rPr>
                <w:rStyle w:val="IndexLink"/>
                <w:lang w:val="en-GB" w:eastAsia="en-US"/>
              </w:rPr>
              <w:t>8.6</w:t>
            </w:r>
            <w:r>
              <w:rPr>
                <w:rStyle w:val="IndexLink"/>
                <w:caps w:val="false"/>
                <w:smallCaps w:val="false"/>
                <w:sz w:val="24"/>
                <w:szCs w:val="24"/>
                <w:lang w:val="en-US" w:eastAsia="en-US"/>
              </w:rPr>
              <w:tab/>
            </w:r>
            <w:r>
              <w:rPr>
                <w:rStyle w:val="IndexLink"/>
                <w:lang w:val="en-GB" w:eastAsia="en-US"/>
              </w:rPr>
              <w:t>Change Control</w:t>
            </w:r>
            <w:r>
              <w:rPr>
                <w:rStyle w:val="IndexLink"/>
                <w:lang w:val="en-US" w:eastAsia="en-US"/>
              </w:rPr>
              <w:tab/>
              <w:t>32</w:t>
            </w:r>
          </w:hyperlink>
        </w:p>
        <w:p>
          <w:pPr>
            <w:pStyle w:val="TOC2"/>
            <w:tabs>
              <w:tab w:val="left" w:pos="800" w:leader="none"/>
              <w:tab w:val="right" w:pos="8777" w:leader="none"/>
            </w:tabs>
            <w:rPr>
              <w:caps w:val="false"/>
              <w:smallCaps w:val="false"/>
              <w:sz w:val="24"/>
              <w:szCs w:val="24"/>
              <w:lang w:val="en-US" w:eastAsia="en-US"/>
            </w:rPr>
          </w:pPr>
          <w:hyperlink w:anchor="__RefHeading___Toc157506514">
            <w:r>
              <w:rPr>
                <w:rStyle w:val="IndexLink"/>
                <w:lang w:val="en-GB" w:eastAsia="en-US"/>
              </w:rPr>
              <w:t>8.7</w:t>
            </w:r>
            <w:r>
              <w:rPr>
                <w:rStyle w:val="IndexLink"/>
                <w:caps w:val="false"/>
                <w:smallCaps w:val="false"/>
                <w:sz w:val="24"/>
                <w:szCs w:val="24"/>
                <w:lang w:val="en-US" w:eastAsia="en-US"/>
              </w:rPr>
              <w:tab/>
            </w:r>
            <w:r>
              <w:rPr>
                <w:rStyle w:val="IndexLink"/>
                <w:lang w:val="en-GB" w:eastAsia="en-US"/>
              </w:rPr>
              <w:t>Technology</w:t>
            </w:r>
            <w:r>
              <w:rPr>
                <w:rStyle w:val="IndexLink"/>
                <w:lang w:val="en-US" w:eastAsia="en-US"/>
              </w:rPr>
              <w:tab/>
              <w:t>33</w:t>
            </w:r>
          </w:hyperlink>
        </w:p>
        <w:p>
          <w:pPr>
            <w:pStyle w:val="TOC2"/>
            <w:tabs>
              <w:tab w:val="left" w:pos="800" w:leader="none"/>
              <w:tab w:val="right" w:pos="8777" w:leader="none"/>
            </w:tabs>
            <w:rPr>
              <w:caps w:val="false"/>
              <w:smallCaps w:val="false"/>
              <w:sz w:val="24"/>
              <w:szCs w:val="24"/>
              <w:lang w:val="en-US" w:eastAsia="en-US"/>
            </w:rPr>
          </w:pPr>
          <w:hyperlink w:anchor="__RefHeading___Toc157506515">
            <w:r>
              <w:rPr>
                <w:rStyle w:val="IndexLink"/>
                <w:lang w:val="en-GB" w:eastAsia="en-US"/>
              </w:rPr>
              <w:t>8.8</w:t>
            </w:r>
            <w:r>
              <w:rPr>
                <w:rStyle w:val="IndexLink"/>
                <w:caps w:val="false"/>
                <w:smallCaps w:val="false"/>
                <w:sz w:val="24"/>
                <w:szCs w:val="24"/>
                <w:lang w:val="en-US" w:eastAsia="en-US"/>
              </w:rPr>
              <w:tab/>
            </w:r>
            <w:r>
              <w:rPr>
                <w:rStyle w:val="IndexLink"/>
                <w:lang w:val="en-GB" w:eastAsia="en-US"/>
              </w:rPr>
              <w:t>Disaster Recovery Plan</w:t>
            </w:r>
            <w:r>
              <w:rPr>
                <w:rStyle w:val="IndexLink"/>
                <w:lang w:val="en-US" w:eastAsia="en-US"/>
              </w:rPr>
              <w:tab/>
              <w:t>34</w:t>
            </w:r>
          </w:hyperlink>
        </w:p>
        <w:p>
          <w:pPr>
            <w:pStyle w:val="TOC2"/>
            <w:tabs>
              <w:tab w:val="left" w:pos="800" w:leader="none"/>
              <w:tab w:val="right" w:pos="8777" w:leader="none"/>
            </w:tabs>
            <w:rPr>
              <w:caps w:val="false"/>
              <w:smallCaps w:val="false"/>
              <w:sz w:val="24"/>
              <w:szCs w:val="24"/>
              <w:lang w:val="en-US" w:eastAsia="en-US"/>
            </w:rPr>
          </w:pPr>
          <w:hyperlink w:anchor="__RefHeading___Toc157506516">
            <w:r>
              <w:rPr>
                <w:rStyle w:val="IndexLink"/>
                <w:lang w:val="en-GB" w:eastAsia="en-US"/>
              </w:rPr>
              <w:t>8.9</w:t>
            </w:r>
            <w:r>
              <w:rPr>
                <w:rStyle w:val="IndexLink"/>
                <w:caps w:val="false"/>
                <w:smallCaps w:val="false"/>
                <w:sz w:val="24"/>
                <w:szCs w:val="24"/>
                <w:lang w:val="en-US" w:eastAsia="en-US"/>
              </w:rPr>
              <w:tab/>
            </w:r>
            <w:r>
              <w:rPr>
                <w:rStyle w:val="IndexLink"/>
                <w:lang w:val="en-GB" w:eastAsia="en-US"/>
              </w:rPr>
              <w:t>Reports and Meetings</w:t>
            </w:r>
            <w:r>
              <w:rPr>
                <w:rStyle w:val="IndexLink"/>
                <w:lang w:val="en-US" w:eastAsia="en-US"/>
              </w:rPr>
              <w:tab/>
              <w:t>35</w:t>
            </w:r>
          </w:hyperlink>
        </w:p>
        <w:p>
          <w:pPr>
            <w:pStyle w:val="TOC2"/>
            <w:tabs>
              <w:tab w:val="left" w:pos="800" w:leader="none"/>
              <w:tab w:val="right" w:pos="8777" w:leader="none"/>
            </w:tabs>
            <w:rPr>
              <w:caps w:val="false"/>
              <w:smallCaps w:val="false"/>
              <w:sz w:val="24"/>
              <w:szCs w:val="24"/>
              <w:lang w:val="en-US" w:eastAsia="en-US"/>
            </w:rPr>
          </w:pPr>
          <w:hyperlink w:anchor="__RefHeading___Toc157506517">
            <w:r>
              <w:rPr>
                <w:rStyle w:val="IndexLink"/>
                <w:lang w:val="en-GB" w:eastAsia="en-US"/>
              </w:rPr>
              <w:t>8.10</w:t>
            </w:r>
            <w:r>
              <w:rPr>
                <w:rStyle w:val="IndexLink"/>
                <w:caps w:val="false"/>
                <w:smallCaps w:val="false"/>
                <w:sz w:val="24"/>
                <w:szCs w:val="24"/>
                <w:lang w:val="en-US" w:eastAsia="en-US"/>
              </w:rPr>
              <w:tab/>
            </w:r>
            <w:r>
              <w:rPr>
                <w:rStyle w:val="IndexLink"/>
                <w:lang w:val="en-GB" w:eastAsia="en-US"/>
              </w:rPr>
              <w:t>Benchmarking</w:t>
            </w:r>
            <w:r>
              <w:rPr>
                <w:rStyle w:val="IndexLink"/>
                <w:lang w:val="en-US" w:eastAsia="en-US"/>
              </w:rPr>
              <w:tab/>
              <w:t>35</w:t>
            </w:r>
          </w:hyperlink>
        </w:p>
        <w:p>
          <w:pPr>
            <w:pStyle w:val="TOC2"/>
            <w:tabs>
              <w:tab w:val="left" w:pos="800" w:leader="none"/>
              <w:tab w:val="right" w:pos="8777" w:leader="none"/>
            </w:tabs>
            <w:rPr>
              <w:caps w:val="false"/>
              <w:smallCaps w:val="false"/>
              <w:sz w:val="24"/>
              <w:szCs w:val="24"/>
              <w:lang w:val="en-US" w:eastAsia="en-US"/>
            </w:rPr>
          </w:pPr>
          <w:hyperlink w:anchor="__RefHeading___Toc157506518">
            <w:r>
              <w:rPr>
                <w:rStyle w:val="IndexLink"/>
                <w:lang w:val="en-GB" w:eastAsia="en-US"/>
              </w:rPr>
              <w:t>8.11</w:t>
            </w:r>
            <w:r>
              <w:rPr>
                <w:rStyle w:val="IndexLink"/>
                <w:caps w:val="false"/>
                <w:smallCaps w:val="false"/>
                <w:sz w:val="24"/>
                <w:szCs w:val="24"/>
                <w:lang w:val="en-US" w:eastAsia="en-US"/>
              </w:rPr>
              <w:tab/>
            </w:r>
            <w:r>
              <w:rPr>
                <w:rStyle w:val="IndexLink"/>
                <w:lang w:val="en-GB" w:eastAsia="en-US"/>
              </w:rPr>
              <w:t>Novartis Pharma Use of Third Parties</w:t>
            </w:r>
            <w:r>
              <w:rPr>
                <w:rStyle w:val="IndexLink"/>
                <w:lang w:val="en-US" w:eastAsia="en-US"/>
              </w:rPr>
              <w:tab/>
              <w:t>39</w:t>
            </w:r>
          </w:hyperlink>
        </w:p>
        <w:p>
          <w:pPr>
            <w:pStyle w:val="TOC2"/>
            <w:tabs>
              <w:tab w:val="left" w:pos="800" w:leader="none"/>
              <w:tab w:val="right" w:pos="8777" w:leader="none"/>
            </w:tabs>
            <w:rPr>
              <w:caps w:val="false"/>
              <w:smallCaps w:val="false"/>
              <w:sz w:val="24"/>
              <w:szCs w:val="24"/>
              <w:lang w:val="en-US" w:eastAsia="en-US"/>
            </w:rPr>
          </w:pPr>
          <w:hyperlink w:anchor="__RefHeading___Toc157506519">
            <w:r>
              <w:rPr>
                <w:rStyle w:val="IndexLink"/>
                <w:lang w:val="en-GB" w:eastAsia="en-US"/>
              </w:rPr>
              <w:t>8.12</w:t>
            </w:r>
            <w:r>
              <w:rPr>
                <w:rStyle w:val="IndexLink"/>
                <w:caps w:val="false"/>
                <w:smallCaps w:val="false"/>
                <w:sz w:val="24"/>
                <w:szCs w:val="24"/>
                <w:lang w:val="en-US" w:eastAsia="en-US"/>
              </w:rPr>
              <w:tab/>
            </w:r>
            <w:r>
              <w:rPr>
                <w:rStyle w:val="IndexLink"/>
                <w:lang w:val="en-GB" w:eastAsia="en-US"/>
              </w:rPr>
              <w:t>Service Provider Use of Subcontractors</w:t>
            </w:r>
            <w:r>
              <w:rPr>
                <w:rStyle w:val="IndexLink"/>
                <w:lang w:val="en-US" w:eastAsia="en-US"/>
              </w:rPr>
              <w:tab/>
              <w:t>40</w:t>
            </w:r>
          </w:hyperlink>
        </w:p>
        <w:p>
          <w:pPr>
            <w:pStyle w:val="TOC2"/>
            <w:tabs>
              <w:tab w:val="left" w:pos="800" w:leader="none"/>
              <w:tab w:val="right" w:pos="8777" w:leader="none"/>
            </w:tabs>
            <w:rPr>
              <w:caps w:val="false"/>
              <w:smallCaps w:val="false"/>
              <w:sz w:val="24"/>
              <w:szCs w:val="24"/>
              <w:lang w:val="en-US" w:eastAsia="en-US"/>
            </w:rPr>
          </w:pPr>
          <w:hyperlink w:anchor="__RefHeading___Toc157506520">
            <w:r>
              <w:rPr>
                <w:rStyle w:val="IndexLink"/>
                <w:lang w:val="en-GB" w:eastAsia="en-US"/>
              </w:rPr>
              <w:t>8.13</w:t>
            </w:r>
            <w:r>
              <w:rPr>
                <w:rStyle w:val="IndexLink"/>
                <w:caps w:val="false"/>
                <w:smallCaps w:val="false"/>
                <w:sz w:val="24"/>
                <w:szCs w:val="24"/>
                <w:lang w:val="en-US" w:eastAsia="en-US"/>
              </w:rPr>
              <w:tab/>
            </w:r>
            <w:r>
              <w:rPr>
                <w:rStyle w:val="IndexLink"/>
                <w:lang w:val="en-GB" w:eastAsia="en-US"/>
              </w:rPr>
              <w:t>Extraordinary Events</w:t>
            </w:r>
            <w:r>
              <w:rPr>
                <w:rStyle w:val="IndexLink"/>
                <w:lang w:val="en-US" w:eastAsia="en-US"/>
              </w:rPr>
              <w:tab/>
              <w:t>41</w:t>
            </w:r>
          </w:hyperlink>
        </w:p>
        <w:p>
          <w:pPr>
            <w:pStyle w:val="TOC2"/>
            <w:tabs>
              <w:tab w:val="left" w:pos="800" w:leader="none"/>
              <w:tab w:val="right" w:pos="8777" w:leader="none"/>
            </w:tabs>
            <w:rPr>
              <w:caps w:val="false"/>
              <w:smallCaps w:val="false"/>
              <w:sz w:val="24"/>
              <w:szCs w:val="24"/>
              <w:lang w:val="en-US" w:eastAsia="en-US"/>
            </w:rPr>
          </w:pPr>
          <w:hyperlink w:anchor="__RefHeading___Toc157506521">
            <w:r>
              <w:rPr>
                <w:rStyle w:val="IndexLink"/>
                <w:lang w:val="en-GB" w:eastAsia="en-US"/>
              </w:rPr>
              <w:t>8.14</w:t>
            </w:r>
            <w:r>
              <w:rPr>
                <w:rStyle w:val="IndexLink"/>
                <w:caps w:val="false"/>
                <w:smallCaps w:val="false"/>
                <w:sz w:val="24"/>
                <w:szCs w:val="24"/>
                <w:lang w:val="en-US" w:eastAsia="en-US"/>
              </w:rPr>
              <w:tab/>
            </w:r>
            <w:r>
              <w:rPr>
                <w:rStyle w:val="IndexLink"/>
                <w:lang w:val="en-GB" w:eastAsia="en-US"/>
              </w:rPr>
              <w:t>Charges</w:t>
            </w:r>
            <w:r>
              <w:rPr>
                <w:rStyle w:val="IndexLink"/>
                <w:lang w:val="en-US" w:eastAsia="en-US"/>
              </w:rPr>
              <w:tab/>
              <w:t>42</w:t>
            </w:r>
          </w:hyperlink>
        </w:p>
        <w:p>
          <w:pPr>
            <w:pStyle w:val="TOC2"/>
            <w:tabs>
              <w:tab w:val="left" w:pos="800" w:leader="none"/>
              <w:tab w:val="right" w:pos="8777" w:leader="none"/>
            </w:tabs>
            <w:rPr>
              <w:caps w:val="false"/>
              <w:smallCaps w:val="false"/>
              <w:sz w:val="24"/>
              <w:szCs w:val="24"/>
              <w:lang w:val="en-US" w:eastAsia="en-US"/>
            </w:rPr>
          </w:pPr>
          <w:hyperlink w:anchor="__RefHeading___Toc157506522">
            <w:r>
              <w:rPr>
                <w:rStyle w:val="IndexLink"/>
                <w:lang w:val="en-GB" w:eastAsia="en-US"/>
              </w:rPr>
              <w:t>8.15</w:t>
            </w:r>
            <w:r>
              <w:rPr>
                <w:rStyle w:val="IndexLink"/>
                <w:caps w:val="false"/>
                <w:smallCaps w:val="false"/>
                <w:sz w:val="24"/>
                <w:szCs w:val="24"/>
                <w:lang w:val="en-US" w:eastAsia="en-US"/>
              </w:rPr>
              <w:tab/>
            </w:r>
            <w:r>
              <w:rPr>
                <w:rStyle w:val="IndexLink"/>
                <w:lang w:val="en-GB" w:eastAsia="en-US"/>
              </w:rPr>
              <w:t>Invoices, Payment</w:t>
            </w:r>
            <w:r>
              <w:rPr>
                <w:rStyle w:val="IndexLink"/>
                <w:lang w:val="en-US" w:eastAsia="en-US"/>
              </w:rPr>
              <w:tab/>
              <w:t>43</w:t>
            </w:r>
          </w:hyperlink>
        </w:p>
        <w:p>
          <w:pPr>
            <w:pStyle w:val="TOC2"/>
            <w:tabs>
              <w:tab w:val="left" w:pos="800" w:leader="none"/>
              <w:tab w:val="right" w:pos="8777" w:leader="none"/>
            </w:tabs>
            <w:rPr>
              <w:caps w:val="false"/>
              <w:smallCaps w:val="false"/>
              <w:sz w:val="24"/>
              <w:szCs w:val="24"/>
              <w:lang w:val="en-US" w:eastAsia="en-US"/>
            </w:rPr>
          </w:pPr>
          <w:hyperlink w:anchor="__RefHeading___Toc157506523">
            <w:r>
              <w:rPr>
                <w:rStyle w:val="IndexLink"/>
                <w:lang w:val="en-GB" w:eastAsia="en-US"/>
              </w:rPr>
              <w:t>8.16</w:t>
            </w:r>
            <w:r>
              <w:rPr>
                <w:rStyle w:val="IndexLink"/>
                <w:caps w:val="false"/>
                <w:smallCaps w:val="false"/>
                <w:sz w:val="24"/>
                <w:szCs w:val="24"/>
                <w:lang w:val="en-US" w:eastAsia="en-US"/>
              </w:rPr>
              <w:tab/>
            </w:r>
            <w:r>
              <w:rPr>
                <w:rStyle w:val="IndexLink"/>
                <w:lang w:val="en-GB" w:eastAsia="en-US"/>
              </w:rPr>
              <w:t>Taxes</w:t>
            </w:r>
            <w:r>
              <w:rPr>
                <w:rStyle w:val="IndexLink"/>
                <w:lang w:val="en-US" w:eastAsia="en-US"/>
              </w:rPr>
              <w:tab/>
              <w:t>44</w:t>
            </w:r>
          </w:hyperlink>
        </w:p>
        <w:p>
          <w:pPr>
            <w:pStyle w:val="TOC1"/>
            <w:tabs>
              <w:tab w:val="left" w:pos="400" w:leader="none"/>
              <w:tab w:val="right" w:pos="8777" w:leader="none"/>
            </w:tabs>
            <w:rPr>
              <w:b w:val="false"/>
              <w:bCs w:val="false"/>
              <w:caps w:val="false"/>
              <w:smallCaps w:val="false"/>
              <w:sz w:val="24"/>
              <w:szCs w:val="24"/>
              <w:lang w:val="en-US" w:eastAsia="en-US"/>
            </w:rPr>
          </w:pPr>
          <w:hyperlink w:anchor="__RefHeading___Toc157506524">
            <w:r>
              <w:rPr>
                <w:rStyle w:val="IndexLink"/>
                <w:lang w:val="en-GB" w:eastAsia="en-US"/>
              </w:rPr>
              <w:t>9.</w:t>
            </w:r>
            <w:r>
              <w:rPr>
                <w:rStyle w:val="IndexLink"/>
                <w:b w:val="false"/>
                <w:bCs w:val="false"/>
                <w:caps w:val="false"/>
                <w:smallCaps w:val="false"/>
                <w:sz w:val="24"/>
                <w:szCs w:val="24"/>
                <w:lang w:val="en-US" w:eastAsia="en-US"/>
              </w:rPr>
              <w:tab/>
            </w:r>
            <w:r>
              <w:rPr>
                <w:rStyle w:val="IndexLink"/>
                <w:lang w:val="en-GB" w:eastAsia="en-US"/>
              </w:rPr>
              <w:t>Auditing</w:t>
            </w:r>
            <w:r>
              <w:rPr>
                <w:rStyle w:val="IndexLink"/>
                <w:lang w:val="en-US" w:eastAsia="en-US"/>
              </w:rPr>
              <w:tab/>
              <w:t>45</w:t>
            </w:r>
          </w:hyperlink>
        </w:p>
        <w:p>
          <w:pPr>
            <w:pStyle w:val="TOC2"/>
            <w:tabs>
              <w:tab w:val="left" w:pos="800" w:leader="none"/>
              <w:tab w:val="right" w:pos="8777" w:leader="none"/>
            </w:tabs>
            <w:rPr>
              <w:caps w:val="false"/>
              <w:smallCaps w:val="false"/>
              <w:sz w:val="24"/>
              <w:szCs w:val="24"/>
              <w:lang w:val="en-US" w:eastAsia="en-US"/>
            </w:rPr>
          </w:pPr>
          <w:hyperlink w:anchor="__RefHeading___Toc157506525">
            <w:r>
              <w:rPr>
                <w:rStyle w:val="IndexLink"/>
                <w:lang w:val="en-GB" w:eastAsia="en-US"/>
              </w:rPr>
              <w:t>9.1</w:t>
            </w:r>
            <w:r>
              <w:rPr>
                <w:rStyle w:val="IndexLink"/>
                <w:caps w:val="false"/>
                <w:smallCaps w:val="false"/>
                <w:sz w:val="24"/>
                <w:szCs w:val="24"/>
                <w:lang w:val="en-US" w:eastAsia="en-US"/>
              </w:rPr>
              <w:tab/>
            </w:r>
            <w:r>
              <w:rPr>
                <w:rStyle w:val="IndexLink"/>
                <w:lang w:val="en-GB" w:eastAsia="en-US"/>
              </w:rPr>
              <w:t>Audit Rights</w:t>
            </w:r>
            <w:r>
              <w:rPr>
                <w:rStyle w:val="IndexLink"/>
                <w:lang w:val="en-US" w:eastAsia="en-US"/>
              </w:rPr>
              <w:tab/>
              <w:t>45</w:t>
            </w:r>
          </w:hyperlink>
        </w:p>
        <w:p>
          <w:pPr>
            <w:pStyle w:val="TOC2"/>
            <w:tabs>
              <w:tab w:val="left" w:pos="800" w:leader="none"/>
              <w:tab w:val="right" w:pos="8777" w:leader="none"/>
            </w:tabs>
            <w:rPr>
              <w:caps w:val="false"/>
              <w:smallCaps w:val="false"/>
              <w:sz w:val="24"/>
              <w:szCs w:val="24"/>
              <w:lang w:val="en-US" w:eastAsia="en-US"/>
            </w:rPr>
          </w:pPr>
          <w:hyperlink w:anchor="__RefHeading___Toc157506526">
            <w:r>
              <w:rPr>
                <w:rStyle w:val="IndexLink"/>
                <w:lang w:val="en-GB" w:eastAsia="en-US"/>
              </w:rPr>
              <w:t>9.2</w:t>
            </w:r>
            <w:r>
              <w:rPr>
                <w:rStyle w:val="IndexLink"/>
                <w:caps w:val="false"/>
                <w:smallCaps w:val="false"/>
                <w:sz w:val="24"/>
                <w:szCs w:val="24"/>
                <w:lang w:val="en-US" w:eastAsia="en-US"/>
              </w:rPr>
              <w:tab/>
            </w:r>
            <w:r>
              <w:rPr>
                <w:rStyle w:val="IndexLink"/>
                <w:lang w:val="en-GB" w:eastAsia="en-US"/>
              </w:rPr>
              <w:t>Audit Follow Up</w:t>
            </w:r>
            <w:r>
              <w:rPr>
                <w:rStyle w:val="IndexLink"/>
                <w:lang w:val="en-US" w:eastAsia="en-US"/>
              </w:rPr>
              <w:tab/>
              <w:t>46</w:t>
            </w:r>
          </w:hyperlink>
        </w:p>
        <w:p>
          <w:pPr>
            <w:pStyle w:val="TOC2"/>
            <w:tabs>
              <w:tab w:val="left" w:pos="800" w:leader="none"/>
              <w:tab w:val="right" w:pos="8777" w:leader="none"/>
            </w:tabs>
            <w:rPr>
              <w:caps w:val="false"/>
              <w:smallCaps w:val="false"/>
              <w:sz w:val="24"/>
              <w:szCs w:val="24"/>
              <w:lang w:val="en-US" w:eastAsia="en-US"/>
            </w:rPr>
          </w:pPr>
          <w:hyperlink w:anchor="__RefHeading___Toc157506527">
            <w:r>
              <w:rPr>
                <w:rStyle w:val="IndexLink"/>
                <w:lang w:val="en-GB" w:eastAsia="en-US"/>
              </w:rPr>
              <w:t>9.3</w:t>
            </w:r>
            <w:r>
              <w:rPr>
                <w:rStyle w:val="IndexLink"/>
                <w:caps w:val="false"/>
                <w:smallCaps w:val="false"/>
                <w:sz w:val="24"/>
                <w:szCs w:val="24"/>
                <w:lang w:val="en-US" w:eastAsia="en-US"/>
              </w:rPr>
              <w:tab/>
            </w:r>
            <w:r>
              <w:rPr>
                <w:rStyle w:val="IndexLink"/>
                <w:lang w:val="en-GB" w:eastAsia="en-US"/>
              </w:rPr>
              <w:t>Records Retention</w:t>
            </w:r>
            <w:r>
              <w:rPr>
                <w:rStyle w:val="IndexLink"/>
                <w:lang w:val="en-US" w:eastAsia="en-US"/>
              </w:rPr>
              <w:tab/>
              <w:t>47</w:t>
            </w:r>
          </w:hyperlink>
        </w:p>
        <w:p>
          <w:pPr>
            <w:pStyle w:val="TOC1"/>
            <w:tabs>
              <w:tab w:val="left" w:pos="600" w:leader="none"/>
              <w:tab w:val="right" w:pos="8777" w:leader="none"/>
            </w:tabs>
            <w:rPr>
              <w:b w:val="false"/>
              <w:bCs w:val="false"/>
              <w:caps w:val="false"/>
              <w:smallCaps w:val="false"/>
              <w:sz w:val="24"/>
              <w:szCs w:val="24"/>
              <w:lang w:val="en-US" w:eastAsia="en-US"/>
            </w:rPr>
          </w:pPr>
          <w:hyperlink w:anchor="__RefHeading___Toc157506528">
            <w:r>
              <w:rPr>
                <w:rStyle w:val="IndexLink"/>
                <w:lang w:val="en-GB" w:eastAsia="en-US"/>
              </w:rPr>
              <w:t>10.</w:t>
            </w:r>
            <w:r>
              <w:rPr>
                <w:rStyle w:val="IndexLink"/>
                <w:b w:val="false"/>
                <w:bCs w:val="false"/>
                <w:caps w:val="false"/>
                <w:smallCaps w:val="false"/>
                <w:sz w:val="24"/>
                <w:szCs w:val="24"/>
                <w:lang w:val="en-US" w:eastAsia="en-US"/>
              </w:rPr>
              <w:tab/>
            </w:r>
            <w:r>
              <w:rPr>
                <w:rStyle w:val="IndexLink"/>
                <w:lang w:val="en-GB" w:eastAsia="en-US"/>
              </w:rPr>
              <w:t>Safeguarding of Novartis PHarma INformation, Confidentiality</w:t>
            </w:r>
            <w:r>
              <w:rPr>
                <w:rStyle w:val="IndexLink"/>
                <w:lang w:val="en-US" w:eastAsia="en-US"/>
              </w:rPr>
              <w:tab/>
              <w:t>47</w:t>
            </w:r>
          </w:hyperlink>
        </w:p>
        <w:p>
          <w:pPr>
            <w:pStyle w:val="TOC1"/>
            <w:tabs>
              <w:tab w:val="left" w:pos="600" w:leader="none"/>
              <w:tab w:val="right" w:pos="8777" w:leader="none"/>
            </w:tabs>
            <w:rPr>
              <w:b w:val="false"/>
              <w:bCs w:val="false"/>
              <w:caps w:val="false"/>
              <w:smallCaps w:val="false"/>
              <w:sz w:val="24"/>
              <w:szCs w:val="24"/>
              <w:lang w:val="en-US" w:eastAsia="en-US"/>
            </w:rPr>
          </w:pPr>
          <w:hyperlink w:anchor="__RefHeading___Toc157506529">
            <w:r>
              <w:rPr>
                <w:rStyle w:val="IndexLink"/>
                <w:lang w:val="en-GB" w:eastAsia="en-US"/>
              </w:rPr>
              <w:t>11.</w:t>
            </w:r>
            <w:r>
              <w:rPr>
                <w:rStyle w:val="IndexLink"/>
                <w:b w:val="false"/>
                <w:bCs w:val="false"/>
                <w:caps w:val="false"/>
                <w:smallCaps w:val="false"/>
                <w:sz w:val="24"/>
                <w:szCs w:val="24"/>
                <w:lang w:val="en-US" w:eastAsia="en-US"/>
              </w:rPr>
              <w:tab/>
            </w:r>
            <w:r>
              <w:rPr>
                <w:rStyle w:val="IndexLink"/>
                <w:lang w:val="en-GB" w:eastAsia="en-US"/>
              </w:rPr>
              <w:t>Representations and Warranties</w:t>
            </w:r>
            <w:r>
              <w:rPr>
                <w:rStyle w:val="IndexLink"/>
                <w:lang w:val="en-US" w:eastAsia="en-US"/>
              </w:rPr>
              <w:tab/>
              <w:t>48</w:t>
            </w:r>
          </w:hyperlink>
        </w:p>
        <w:p>
          <w:pPr>
            <w:pStyle w:val="TOC2"/>
            <w:tabs>
              <w:tab w:val="left" w:pos="800" w:leader="none"/>
              <w:tab w:val="right" w:pos="8777" w:leader="none"/>
            </w:tabs>
            <w:rPr>
              <w:caps w:val="false"/>
              <w:smallCaps w:val="false"/>
              <w:sz w:val="24"/>
              <w:szCs w:val="24"/>
              <w:lang w:val="en-US" w:eastAsia="en-US"/>
            </w:rPr>
          </w:pPr>
          <w:hyperlink w:anchor="__RefHeading___Toc157506530">
            <w:r>
              <w:rPr>
                <w:rStyle w:val="IndexLink"/>
                <w:lang w:val="en-GB" w:eastAsia="en-US"/>
              </w:rPr>
              <w:t>11.1</w:t>
            </w:r>
            <w:r>
              <w:rPr>
                <w:rStyle w:val="IndexLink"/>
                <w:caps w:val="false"/>
                <w:smallCaps w:val="false"/>
                <w:sz w:val="24"/>
                <w:szCs w:val="24"/>
                <w:lang w:val="en-US" w:eastAsia="en-US"/>
              </w:rPr>
              <w:tab/>
            </w:r>
            <w:r>
              <w:rPr>
                <w:rStyle w:val="IndexLink"/>
                <w:lang w:val="en-GB" w:eastAsia="en-US"/>
              </w:rPr>
              <w:t>Work Standards</w:t>
            </w:r>
            <w:r>
              <w:rPr>
                <w:rStyle w:val="IndexLink"/>
                <w:lang w:val="en-US" w:eastAsia="en-US"/>
              </w:rPr>
              <w:tab/>
              <w:t>48</w:t>
            </w:r>
          </w:hyperlink>
        </w:p>
        <w:p>
          <w:pPr>
            <w:pStyle w:val="TOC2"/>
            <w:tabs>
              <w:tab w:val="left" w:pos="800" w:leader="none"/>
              <w:tab w:val="right" w:pos="8777" w:leader="none"/>
            </w:tabs>
            <w:rPr>
              <w:caps w:val="false"/>
              <w:smallCaps w:val="false"/>
              <w:sz w:val="24"/>
              <w:szCs w:val="24"/>
              <w:lang w:val="en-US" w:eastAsia="en-US"/>
            </w:rPr>
          </w:pPr>
          <w:hyperlink w:anchor="__RefHeading___Toc157506531">
            <w:r>
              <w:rPr>
                <w:rStyle w:val="IndexLink"/>
                <w:lang w:val="en-GB" w:eastAsia="en-US"/>
              </w:rPr>
              <w:t>11.2</w:t>
            </w:r>
            <w:r>
              <w:rPr>
                <w:rStyle w:val="IndexLink"/>
                <w:caps w:val="false"/>
                <w:smallCaps w:val="false"/>
                <w:sz w:val="24"/>
                <w:szCs w:val="24"/>
                <w:lang w:val="en-US" w:eastAsia="en-US"/>
              </w:rPr>
              <w:tab/>
            </w:r>
            <w:r>
              <w:rPr>
                <w:rStyle w:val="IndexLink"/>
                <w:lang w:val="en-GB" w:eastAsia="en-US"/>
              </w:rPr>
              <w:t>Maintenance</w:t>
            </w:r>
            <w:r>
              <w:rPr>
                <w:rStyle w:val="IndexLink"/>
                <w:lang w:val="en-US" w:eastAsia="en-US"/>
              </w:rPr>
              <w:tab/>
              <w:t>49</w:t>
            </w:r>
          </w:hyperlink>
        </w:p>
        <w:p>
          <w:pPr>
            <w:pStyle w:val="TOC2"/>
            <w:tabs>
              <w:tab w:val="left" w:pos="800" w:leader="none"/>
              <w:tab w:val="right" w:pos="8777" w:leader="none"/>
            </w:tabs>
            <w:rPr>
              <w:caps w:val="false"/>
              <w:smallCaps w:val="false"/>
              <w:sz w:val="24"/>
              <w:szCs w:val="24"/>
              <w:lang w:val="en-US" w:eastAsia="en-US"/>
            </w:rPr>
          </w:pPr>
          <w:hyperlink w:anchor="__RefHeading___Toc157506532">
            <w:r>
              <w:rPr>
                <w:rStyle w:val="IndexLink"/>
                <w:lang w:val="en-GB" w:eastAsia="en-US"/>
              </w:rPr>
              <w:t>11.3</w:t>
            </w:r>
            <w:r>
              <w:rPr>
                <w:rStyle w:val="IndexLink"/>
                <w:caps w:val="false"/>
                <w:smallCaps w:val="false"/>
                <w:sz w:val="24"/>
                <w:szCs w:val="24"/>
                <w:lang w:val="en-US" w:eastAsia="en-US"/>
              </w:rPr>
              <w:tab/>
            </w:r>
            <w:r>
              <w:rPr>
                <w:rStyle w:val="IndexLink"/>
                <w:lang w:val="en-GB" w:eastAsia="en-US"/>
              </w:rPr>
              <w:t>Efficiency and Cost Effectiveness</w:t>
            </w:r>
            <w:r>
              <w:rPr>
                <w:rStyle w:val="IndexLink"/>
                <w:lang w:val="en-US" w:eastAsia="en-US"/>
              </w:rPr>
              <w:tab/>
              <w:t>49</w:t>
            </w:r>
          </w:hyperlink>
        </w:p>
        <w:p>
          <w:pPr>
            <w:pStyle w:val="TOC2"/>
            <w:tabs>
              <w:tab w:val="left" w:pos="800" w:leader="none"/>
              <w:tab w:val="right" w:pos="8777" w:leader="none"/>
            </w:tabs>
            <w:rPr>
              <w:caps w:val="false"/>
              <w:smallCaps w:val="false"/>
              <w:sz w:val="24"/>
              <w:szCs w:val="24"/>
              <w:lang w:val="en-US" w:eastAsia="en-US"/>
            </w:rPr>
          </w:pPr>
          <w:hyperlink w:anchor="__RefHeading___Toc157506533">
            <w:r>
              <w:rPr>
                <w:rStyle w:val="IndexLink"/>
                <w:lang w:val="en-GB" w:eastAsia="en-US"/>
              </w:rPr>
              <w:t>11.4</w:t>
            </w:r>
            <w:r>
              <w:rPr>
                <w:rStyle w:val="IndexLink"/>
                <w:caps w:val="false"/>
                <w:smallCaps w:val="false"/>
                <w:sz w:val="24"/>
                <w:szCs w:val="24"/>
                <w:lang w:val="en-US" w:eastAsia="en-US"/>
              </w:rPr>
              <w:tab/>
            </w:r>
            <w:r>
              <w:rPr>
                <w:rStyle w:val="IndexLink"/>
                <w:lang w:val="en-GB" w:eastAsia="en-US"/>
              </w:rPr>
              <w:t>Non-Infringement</w:t>
            </w:r>
            <w:r>
              <w:rPr>
                <w:rStyle w:val="IndexLink"/>
                <w:lang w:val="en-US" w:eastAsia="en-US"/>
              </w:rPr>
              <w:tab/>
              <w:t>49</w:t>
            </w:r>
          </w:hyperlink>
        </w:p>
        <w:p>
          <w:pPr>
            <w:pStyle w:val="TOC2"/>
            <w:tabs>
              <w:tab w:val="left" w:pos="800" w:leader="none"/>
              <w:tab w:val="right" w:pos="8777" w:leader="none"/>
            </w:tabs>
            <w:rPr>
              <w:caps w:val="false"/>
              <w:smallCaps w:val="false"/>
              <w:sz w:val="24"/>
              <w:szCs w:val="24"/>
              <w:lang w:val="en-US" w:eastAsia="en-US"/>
            </w:rPr>
          </w:pPr>
          <w:hyperlink w:anchor="__RefHeading___Toc157506534">
            <w:r>
              <w:rPr>
                <w:rStyle w:val="IndexLink"/>
                <w:lang w:val="en-GB" w:eastAsia="en-US"/>
              </w:rPr>
              <w:t>11.5</w:t>
            </w:r>
            <w:r>
              <w:rPr>
                <w:rStyle w:val="IndexLink"/>
                <w:caps w:val="false"/>
                <w:smallCaps w:val="false"/>
                <w:sz w:val="24"/>
                <w:szCs w:val="24"/>
                <w:lang w:val="en-US" w:eastAsia="en-US"/>
              </w:rPr>
              <w:tab/>
            </w:r>
            <w:r>
              <w:rPr>
                <w:rStyle w:val="IndexLink"/>
                <w:lang w:val="en-GB" w:eastAsia="en-US"/>
              </w:rPr>
              <w:t>Materials</w:t>
            </w:r>
            <w:r>
              <w:rPr>
                <w:rStyle w:val="IndexLink"/>
                <w:lang w:val="en-US" w:eastAsia="en-US"/>
              </w:rPr>
              <w:tab/>
              <w:t>49</w:t>
            </w:r>
          </w:hyperlink>
        </w:p>
        <w:p>
          <w:pPr>
            <w:pStyle w:val="TOC2"/>
            <w:tabs>
              <w:tab w:val="left" w:pos="800" w:leader="none"/>
              <w:tab w:val="right" w:pos="8777" w:leader="none"/>
            </w:tabs>
            <w:rPr>
              <w:caps w:val="false"/>
              <w:smallCaps w:val="false"/>
              <w:sz w:val="24"/>
              <w:szCs w:val="24"/>
              <w:lang w:val="en-US" w:eastAsia="en-US"/>
            </w:rPr>
          </w:pPr>
          <w:hyperlink w:anchor="__RefHeading___Toc157506535">
            <w:r>
              <w:rPr>
                <w:rStyle w:val="IndexLink"/>
                <w:lang w:val="en-GB" w:eastAsia="en-US"/>
              </w:rPr>
              <w:t>11.6</w:t>
            </w:r>
            <w:r>
              <w:rPr>
                <w:rStyle w:val="IndexLink"/>
                <w:caps w:val="false"/>
                <w:smallCaps w:val="false"/>
                <w:sz w:val="24"/>
                <w:szCs w:val="24"/>
                <w:lang w:val="en-US" w:eastAsia="en-US"/>
              </w:rPr>
              <w:tab/>
            </w:r>
            <w:r>
              <w:rPr>
                <w:rStyle w:val="IndexLink"/>
                <w:lang w:val="en-GB" w:eastAsia="en-US"/>
              </w:rPr>
              <w:t>Developed Materials</w:t>
            </w:r>
            <w:r>
              <w:rPr>
                <w:rStyle w:val="IndexLink"/>
                <w:lang w:val="en-US" w:eastAsia="en-US"/>
              </w:rPr>
              <w:tab/>
              <w:t>49</w:t>
            </w:r>
          </w:hyperlink>
        </w:p>
        <w:p>
          <w:pPr>
            <w:pStyle w:val="TOC2"/>
            <w:tabs>
              <w:tab w:val="left" w:pos="800" w:leader="none"/>
              <w:tab w:val="right" w:pos="8777" w:leader="none"/>
            </w:tabs>
            <w:rPr>
              <w:caps w:val="false"/>
              <w:smallCaps w:val="false"/>
              <w:sz w:val="24"/>
              <w:szCs w:val="24"/>
              <w:lang w:val="en-US" w:eastAsia="en-US"/>
            </w:rPr>
          </w:pPr>
          <w:hyperlink w:anchor="__RefHeading___Toc157506536">
            <w:r>
              <w:rPr>
                <w:rStyle w:val="IndexLink"/>
                <w:lang w:val="en-GB" w:eastAsia="en-US"/>
              </w:rPr>
              <w:t>11.7</w:t>
            </w:r>
            <w:r>
              <w:rPr>
                <w:rStyle w:val="IndexLink"/>
                <w:caps w:val="false"/>
                <w:smallCaps w:val="false"/>
                <w:sz w:val="24"/>
                <w:szCs w:val="24"/>
                <w:lang w:val="en-US" w:eastAsia="en-US"/>
              </w:rPr>
              <w:tab/>
            </w:r>
            <w:r>
              <w:rPr>
                <w:rStyle w:val="IndexLink"/>
                <w:lang w:val="en-GB" w:eastAsia="en-US"/>
              </w:rPr>
              <w:t>Compliance with Laws and Regulations</w:t>
            </w:r>
            <w:r>
              <w:rPr>
                <w:rStyle w:val="IndexLink"/>
                <w:lang w:val="en-US" w:eastAsia="en-US"/>
              </w:rPr>
              <w:tab/>
              <w:t>51</w:t>
            </w:r>
          </w:hyperlink>
        </w:p>
        <w:p>
          <w:pPr>
            <w:pStyle w:val="TOC2"/>
            <w:tabs>
              <w:tab w:val="left" w:pos="800" w:leader="none"/>
              <w:tab w:val="right" w:pos="8777" w:leader="none"/>
            </w:tabs>
            <w:rPr>
              <w:caps w:val="false"/>
              <w:smallCaps w:val="false"/>
              <w:sz w:val="24"/>
              <w:szCs w:val="24"/>
              <w:lang w:val="en-US" w:eastAsia="en-US"/>
            </w:rPr>
          </w:pPr>
          <w:hyperlink w:anchor="__RefHeading___Toc157506537">
            <w:r>
              <w:rPr>
                <w:rStyle w:val="IndexLink"/>
                <w:lang w:val="en-GB" w:eastAsia="en-US"/>
              </w:rPr>
              <w:t>11.8</w:t>
            </w:r>
            <w:r>
              <w:rPr>
                <w:rStyle w:val="IndexLink"/>
                <w:caps w:val="false"/>
                <w:smallCaps w:val="false"/>
                <w:sz w:val="24"/>
                <w:szCs w:val="24"/>
                <w:lang w:val="en-US" w:eastAsia="en-US"/>
              </w:rPr>
              <w:tab/>
            </w:r>
            <w:r>
              <w:rPr>
                <w:rStyle w:val="IndexLink"/>
                <w:lang w:val="en-GB" w:eastAsia="en-US"/>
              </w:rPr>
              <w:t>Absence of Litigation</w:t>
            </w:r>
            <w:r>
              <w:rPr>
                <w:rStyle w:val="IndexLink"/>
                <w:lang w:val="en-US" w:eastAsia="en-US"/>
              </w:rPr>
              <w:tab/>
              <w:t>51</w:t>
            </w:r>
          </w:hyperlink>
        </w:p>
        <w:p>
          <w:pPr>
            <w:pStyle w:val="TOC2"/>
            <w:tabs>
              <w:tab w:val="left" w:pos="800" w:leader="none"/>
              <w:tab w:val="right" w:pos="8777" w:leader="none"/>
            </w:tabs>
            <w:rPr>
              <w:caps w:val="false"/>
              <w:smallCaps w:val="false"/>
              <w:sz w:val="24"/>
              <w:szCs w:val="24"/>
              <w:lang w:val="en-US" w:eastAsia="en-US"/>
            </w:rPr>
          </w:pPr>
          <w:hyperlink w:anchor="__RefHeading___Toc157506538">
            <w:r>
              <w:rPr>
                <w:rStyle w:val="IndexLink"/>
                <w:lang w:val="en-GB" w:eastAsia="en-US"/>
              </w:rPr>
              <w:t>11.9</w:t>
            </w:r>
            <w:r>
              <w:rPr>
                <w:rStyle w:val="IndexLink"/>
                <w:caps w:val="false"/>
                <w:smallCaps w:val="false"/>
                <w:sz w:val="24"/>
                <w:szCs w:val="24"/>
                <w:lang w:val="en-US" w:eastAsia="en-US"/>
              </w:rPr>
              <w:tab/>
            </w:r>
            <w:r>
              <w:rPr>
                <w:rStyle w:val="IndexLink"/>
                <w:lang w:val="en-GB" w:eastAsia="en-US"/>
              </w:rPr>
              <w:t>Authorization</w:t>
            </w:r>
            <w:r>
              <w:rPr>
                <w:rStyle w:val="IndexLink"/>
                <w:lang w:val="en-US" w:eastAsia="en-US"/>
              </w:rPr>
              <w:tab/>
              <w:t>51</w:t>
            </w:r>
          </w:hyperlink>
        </w:p>
        <w:p>
          <w:pPr>
            <w:pStyle w:val="TOC2"/>
            <w:tabs>
              <w:tab w:val="left" w:pos="1000" w:leader="none"/>
              <w:tab w:val="right" w:pos="8777" w:leader="none"/>
            </w:tabs>
            <w:rPr>
              <w:caps w:val="false"/>
              <w:smallCaps w:val="false"/>
              <w:sz w:val="24"/>
              <w:szCs w:val="24"/>
              <w:lang w:val="en-US" w:eastAsia="en-US"/>
            </w:rPr>
          </w:pPr>
          <w:hyperlink w:anchor="__RefHeading___Toc157506539">
            <w:r>
              <w:rPr>
                <w:rStyle w:val="IndexLink"/>
                <w:lang w:val="en-GB" w:eastAsia="en-US"/>
              </w:rPr>
              <w:t>11.10</w:t>
            </w:r>
            <w:r>
              <w:rPr>
                <w:rStyle w:val="IndexLink"/>
                <w:caps w:val="false"/>
                <w:smallCaps w:val="false"/>
                <w:sz w:val="24"/>
                <w:szCs w:val="24"/>
                <w:lang w:val="en-US" w:eastAsia="en-US"/>
              </w:rPr>
              <w:tab/>
            </w:r>
            <w:r>
              <w:rPr>
                <w:rStyle w:val="IndexLink"/>
                <w:lang w:val="en-GB" w:eastAsia="en-US"/>
              </w:rPr>
              <w:t>Inducements</w:t>
            </w:r>
            <w:r>
              <w:rPr>
                <w:rStyle w:val="IndexLink"/>
                <w:lang w:val="en-US" w:eastAsia="en-US"/>
              </w:rPr>
              <w:tab/>
              <w:t>51</w:t>
            </w:r>
          </w:hyperlink>
        </w:p>
        <w:p>
          <w:pPr>
            <w:pStyle w:val="TOC2"/>
            <w:tabs>
              <w:tab w:val="left" w:pos="1000" w:leader="none"/>
              <w:tab w:val="right" w:pos="8777" w:leader="none"/>
            </w:tabs>
            <w:rPr>
              <w:caps w:val="false"/>
              <w:smallCaps w:val="false"/>
              <w:sz w:val="24"/>
              <w:szCs w:val="24"/>
              <w:lang w:val="en-US" w:eastAsia="en-US"/>
            </w:rPr>
          </w:pPr>
          <w:hyperlink w:anchor="__RefHeading___Toc157506540">
            <w:r>
              <w:rPr>
                <w:rStyle w:val="IndexLink"/>
                <w:lang w:val="en-GB" w:eastAsia="en-US"/>
              </w:rPr>
              <w:t>11.11</w:t>
            </w:r>
            <w:r>
              <w:rPr>
                <w:rStyle w:val="IndexLink"/>
                <w:caps w:val="false"/>
                <w:smallCaps w:val="false"/>
                <w:sz w:val="24"/>
                <w:szCs w:val="24"/>
                <w:lang w:val="en-US" w:eastAsia="en-US"/>
              </w:rPr>
              <w:tab/>
            </w:r>
            <w:r>
              <w:rPr>
                <w:rStyle w:val="IndexLink"/>
                <w:lang w:val="en-GB" w:eastAsia="en-US"/>
              </w:rPr>
              <w:t>Viruses</w:t>
            </w:r>
            <w:r>
              <w:rPr>
                <w:rStyle w:val="IndexLink"/>
                <w:lang w:val="en-US" w:eastAsia="en-US"/>
              </w:rPr>
              <w:tab/>
              <w:t>52</w:t>
            </w:r>
          </w:hyperlink>
        </w:p>
        <w:p>
          <w:pPr>
            <w:pStyle w:val="TOC2"/>
            <w:tabs>
              <w:tab w:val="left" w:pos="1000" w:leader="none"/>
              <w:tab w:val="right" w:pos="8777" w:leader="none"/>
            </w:tabs>
            <w:rPr>
              <w:caps w:val="false"/>
              <w:smallCaps w:val="false"/>
              <w:sz w:val="24"/>
              <w:szCs w:val="24"/>
              <w:lang w:val="en-US" w:eastAsia="en-US"/>
            </w:rPr>
          </w:pPr>
          <w:hyperlink w:anchor="__RefHeading___Toc157506541">
            <w:r>
              <w:rPr>
                <w:rStyle w:val="IndexLink"/>
                <w:lang w:val="en-GB" w:eastAsia="en-US"/>
              </w:rPr>
              <w:t>11.12</w:t>
            </w:r>
            <w:r>
              <w:rPr>
                <w:rStyle w:val="IndexLink"/>
                <w:caps w:val="false"/>
                <w:smallCaps w:val="false"/>
                <w:sz w:val="24"/>
                <w:szCs w:val="24"/>
                <w:lang w:val="en-US" w:eastAsia="en-US"/>
              </w:rPr>
              <w:tab/>
            </w:r>
            <w:r>
              <w:rPr>
                <w:rStyle w:val="IndexLink"/>
                <w:lang w:val="en-GB" w:eastAsia="en-US"/>
              </w:rPr>
              <w:t>Disabling Code</w:t>
            </w:r>
            <w:r>
              <w:rPr>
                <w:rStyle w:val="IndexLink"/>
                <w:lang w:val="en-US" w:eastAsia="en-US"/>
              </w:rPr>
              <w:tab/>
              <w:t>52</w:t>
            </w:r>
          </w:hyperlink>
        </w:p>
        <w:p>
          <w:pPr>
            <w:pStyle w:val="TOC2"/>
            <w:tabs>
              <w:tab w:val="left" w:pos="1000" w:leader="none"/>
              <w:tab w:val="right" w:pos="8777" w:leader="none"/>
            </w:tabs>
            <w:rPr>
              <w:caps w:val="false"/>
              <w:smallCaps w:val="false"/>
              <w:sz w:val="24"/>
              <w:szCs w:val="24"/>
              <w:lang w:val="en-US" w:eastAsia="en-US"/>
            </w:rPr>
          </w:pPr>
          <w:hyperlink w:anchor="__RefHeading___Toc157506542">
            <w:r>
              <w:rPr>
                <w:rStyle w:val="IndexLink"/>
                <w:lang w:val="en-GB" w:eastAsia="en-US"/>
              </w:rPr>
              <w:t>11.13</w:t>
            </w:r>
            <w:r>
              <w:rPr>
                <w:rStyle w:val="IndexLink"/>
                <w:caps w:val="false"/>
                <w:smallCaps w:val="false"/>
                <w:sz w:val="24"/>
                <w:szCs w:val="24"/>
                <w:lang w:val="en-US" w:eastAsia="en-US"/>
              </w:rPr>
              <w:tab/>
            </w:r>
            <w:r>
              <w:rPr>
                <w:rStyle w:val="IndexLink"/>
                <w:lang w:val="en-GB" w:eastAsia="en-US"/>
              </w:rPr>
              <w:t>Currency Support</w:t>
            </w:r>
            <w:r>
              <w:rPr>
                <w:rStyle w:val="IndexLink"/>
                <w:lang w:val="en-US" w:eastAsia="en-US"/>
              </w:rPr>
              <w:tab/>
              <w:t>52</w:t>
            </w:r>
          </w:hyperlink>
        </w:p>
        <w:p>
          <w:pPr>
            <w:pStyle w:val="TOC1"/>
            <w:tabs>
              <w:tab w:val="left" w:pos="600" w:leader="none"/>
              <w:tab w:val="right" w:pos="8777" w:leader="none"/>
            </w:tabs>
            <w:rPr>
              <w:b w:val="false"/>
              <w:bCs w:val="false"/>
              <w:caps w:val="false"/>
              <w:smallCaps w:val="false"/>
              <w:sz w:val="24"/>
              <w:szCs w:val="24"/>
              <w:lang w:val="en-US" w:eastAsia="en-US"/>
            </w:rPr>
          </w:pPr>
          <w:hyperlink w:anchor="__RefHeading___Toc157506543">
            <w:r>
              <w:rPr>
                <w:rStyle w:val="IndexLink"/>
                <w:lang w:val="en-GB" w:eastAsia="en-US"/>
              </w:rPr>
              <w:t>12.</w:t>
            </w:r>
            <w:r>
              <w:rPr>
                <w:rStyle w:val="IndexLink"/>
                <w:b w:val="false"/>
                <w:bCs w:val="false"/>
                <w:caps w:val="false"/>
                <w:smallCaps w:val="false"/>
                <w:sz w:val="24"/>
                <w:szCs w:val="24"/>
                <w:lang w:val="en-US" w:eastAsia="en-US"/>
              </w:rPr>
              <w:tab/>
            </w:r>
            <w:r>
              <w:rPr>
                <w:rStyle w:val="IndexLink"/>
                <w:lang w:val="en-GB" w:eastAsia="en-US"/>
              </w:rPr>
              <w:t>Insurance and Risk of Loss</w:t>
            </w:r>
            <w:r>
              <w:rPr>
                <w:rStyle w:val="IndexLink"/>
                <w:lang w:val="en-US" w:eastAsia="en-US"/>
              </w:rPr>
              <w:tab/>
              <w:t>52</w:t>
            </w:r>
          </w:hyperlink>
        </w:p>
        <w:p>
          <w:pPr>
            <w:pStyle w:val="TOC2"/>
            <w:tabs>
              <w:tab w:val="left" w:pos="800" w:leader="none"/>
              <w:tab w:val="right" w:pos="8777" w:leader="none"/>
            </w:tabs>
            <w:rPr>
              <w:caps w:val="false"/>
              <w:smallCaps w:val="false"/>
              <w:sz w:val="24"/>
              <w:szCs w:val="24"/>
              <w:lang w:val="en-US" w:eastAsia="en-US"/>
            </w:rPr>
          </w:pPr>
          <w:hyperlink w:anchor="__RefHeading___Toc157506544">
            <w:r>
              <w:rPr>
                <w:rStyle w:val="IndexLink"/>
                <w:lang w:val="en-GB" w:eastAsia="en-US"/>
              </w:rPr>
              <w:t>12.1</w:t>
            </w:r>
            <w:r>
              <w:rPr>
                <w:rStyle w:val="IndexLink"/>
                <w:caps w:val="false"/>
                <w:smallCaps w:val="false"/>
                <w:sz w:val="24"/>
                <w:szCs w:val="24"/>
                <w:lang w:val="en-US" w:eastAsia="en-US"/>
              </w:rPr>
              <w:tab/>
            </w:r>
            <w:r>
              <w:rPr>
                <w:rStyle w:val="IndexLink"/>
                <w:lang w:val="en-GB" w:eastAsia="en-US"/>
              </w:rPr>
              <w:t>Insurance</w:t>
            </w:r>
            <w:r>
              <w:rPr>
                <w:rStyle w:val="IndexLink"/>
                <w:lang w:val="en-US" w:eastAsia="en-US"/>
              </w:rPr>
              <w:tab/>
              <w:t>52</w:t>
            </w:r>
          </w:hyperlink>
        </w:p>
        <w:p>
          <w:pPr>
            <w:pStyle w:val="TOC2"/>
            <w:tabs>
              <w:tab w:val="left" w:pos="800" w:leader="none"/>
              <w:tab w:val="right" w:pos="8777" w:leader="none"/>
            </w:tabs>
            <w:rPr>
              <w:caps w:val="false"/>
              <w:smallCaps w:val="false"/>
              <w:sz w:val="24"/>
              <w:szCs w:val="24"/>
              <w:lang w:val="en-US" w:eastAsia="en-US"/>
            </w:rPr>
          </w:pPr>
          <w:hyperlink w:anchor="__RefHeading___Toc157506545">
            <w:r>
              <w:rPr>
                <w:rStyle w:val="IndexLink"/>
                <w:lang w:val="en-GB" w:eastAsia="en-US"/>
              </w:rPr>
              <w:t>12.2</w:t>
            </w:r>
            <w:r>
              <w:rPr>
                <w:rStyle w:val="IndexLink"/>
                <w:caps w:val="false"/>
                <w:smallCaps w:val="false"/>
                <w:sz w:val="24"/>
                <w:szCs w:val="24"/>
                <w:lang w:val="en-US" w:eastAsia="en-US"/>
              </w:rPr>
              <w:tab/>
            </w:r>
            <w:r>
              <w:rPr>
                <w:rStyle w:val="IndexLink"/>
                <w:lang w:val="en-GB" w:eastAsia="en-US"/>
              </w:rPr>
              <w:t>Risk of Loss</w:t>
            </w:r>
            <w:r>
              <w:rPr>
                <w:rStyle w:val="IndexLink"/>
                <w:lang w:val="en-US" w:eastAsia="en-US"/>
              </w:rPr>
              <w:tab/>
              <w:t>54</w:t>
            </w:r>
          </w:hyperlink>
        </w:p>
        <w:p>
          <w:pPr>
            <w:pStyle w:val="TOC1"/>
            <w:tabs>
              <w:tab w:val="left" w:pos="600" w:leader="none"/>
              <w:tab w:val="right" w:pos="8777" w:leader="none"/>
            </w:tabs>
            <w:rPr>
              <w:b w:val="false"/>
              <w:bCs w:val="false"/>
              <w:caps w:val="false"/>
              <w:smallCaps w:val="false"/>
              <w:sz w:val="24"/>
              <w:szCs w:val="24"/>
              <w:lang w:val="en-US" w:eastAsia="en-US"/>
            </w:rPr>
          </w:pPr>
          <w:hyperlink w:anchor="__RefHeading___Toc157506546">
            <w:r>
              <w:rPr>
                <w:rStyle w:val="IndexLink"/>
                <w:lang w:val="en-GB" w:eastAsia="en-US"/>
              </w:rPr>
              <w:t>13.</w:t>
            </w:r>
            <w:r>
              <w:rPr>
                <w:rStyle w:val="IndexLink"/>
                <w:b w:val="false"/>
                <w:bCs w:val="false"/>
                <w:caps w:val="false"/>
                <w:smallCaps w:val="false"/>
                <w:sz w:val="24"/>
                <w:szCs w:val="24"/>
                <w:lang w:val="en-US" w:eastAsia="en-US"/>
              </w:rPr>
              <w:tab/>
            </w:r>
            <w:r>
              <w:rPr>
                <w:rStyle w:val="IndexLink"/>
                <w:lang w:val="en-GB" w:eastAsia="en-US"/>
              </w:rPr>
              <w:t>Indemnities</w:t>
            </w:r>
            <w:r>
              <w:rPr>
                <w:rStyle w:val="IndexLink"/>
                <w:lang w:val="en-US" w:eastAsia="en-US"/>
              </w:rPr>
              <w:tab/>
              <w:t>54</w:t>
            </w:r>
          </w:hyperlink>
        </w:p>
        <w:p>
          <w:pPr>
            <w:pStyle w:val="TOC2"/>
            <w:tabs>
              <w:tab w:val="left" w:pos="800" w:leader="none"/>
              <w:tab w:val="right" w:pos="8777" w:leader="none"/>
            </w:tabs>
            <w:rPr>
              <w:caps w:val="false"/>
              <w:smallCaps w:val="false"/>
              <w:sz w:val="24"/>
              <w:szCs w:val="24"/>
              <w:lang w:val="en-US" w:eastAsia="en-US"/>
            </w:rPr>
          </w:pPr>
          <w:hyperlink w:anchor="__RefHeading___Toc157506547">
            <w:r>
              <w:rPr>
                <w:rStyle w:val="IndexLink"/>
                <w:lang w:val="en-GB" w:eastAsia="en-US"/>
              </w:rPr>
              <w:t>13.1</w:t>
            </w:r>
            <w:r>
              <w:rPr>
                <w:rStyle w:val="IndexLink"/>
                <w:caps w:val="false"/>
                <w:smallCaps w:val="false"/>
                <w:sz w:val="24"/>
                <w:szCs w:val="24"/>
                <w:lang w:val="en-US" w:eastAsia="en-US"/>
              </w:rPr>
              <w:tab/>
            </w:r>
            <w:r>
              <w:rPr>
                <w:rStyle w:val="IndexLink"/>
                <w:lang w:val="en-GB" w:eastAsia="en-US"/>
              </w:rPr>
              <w:t>Indemnities by Service-Provider</w:t>
            </w:r>
            <w:r>
              <w:rPr>
                <w:rStyle w:val="IndexLink"/>
                <w:lang w:val="en-US" w:eastAsia="en-US"/>
              </w:rPr>
              <w:tab/>
              <w:t>54</w:t>
            </w:r>
          </w:hyperlink>
        </w:p>
        <w:p>
          <w:pPr>
            <w:pStyle w:val="TOC2"/>
            <w:tabs>
              <w:tab w:val="left" w:pos="800" w:leader="none"/>
              <w:tab w:val="right" w:pos="8777" w:leader="none"/>
            </w:tabs>
            <w:rPr>
              <w:caps w:val="false"/>
              <w:smallCaps w:val="false"/>
              <w:sz w:val="24"/>
              <w:szCs w:val="24"/>
              <w:lang w:val="en-US" w:eastAsia="en-US"/>
            </w:rPr>
          </w:pPr>
          <w:hyperlink w:anchor="__RefHeading___Toc157506548">
            <w:r>
              <w:rPr>
                <w:rStyle w:val="IndexLink"/>
                <w:lang w:val="en-GB" w:eastAsia="en-US"/>
              </w:rPr>
              <w:t>13.2</w:t>
            </w:r>
            <w:r>
              <w:rPr>
                <w:rStyle w:val="IndexLink"/>
                <w:caps w:val="false"/>
                <w:smallCaps w:val="false"/>
                <w:sz w:val="24"/>
                <w:szCs w:val="24"/>
                <w:lang w:val="en-US" w:eastAsia="en-US"/>
              </w:rPr>
              <w:tab/>
            </w:r>
            <w:r>
              <w:rPr>
                <w:rStyle w:val="IndexLink"/>
                <w:lang w:val="en-GB" w:eastAsia="en-US"/>
              </w:rPr>
              <w:t>Indemnities by Novartis Pharma</w:t>
            </w:r>
            <w:r>
              <w:rPr>
                <w:rStyle w:val="IndexLink"/>
                <w:lang w:val="en-US" w:eastAsia="en-US"/>
              </w:rPr>
              <w:tab/>
              <w:t>55</w:t>
            </w:r>
          </w:hyperlink>
        </w:p>
        <w:p>
          <w:pPr>
            <w:pStyle w:val="TOC2"/>
            <w:tabs>
              <w:tab w:val="left" w:pos="800" w:leader="none"/>
              <w:tab w:val="right" w:pos="8777" w:leader="none"/>
            </w:tabs>
            <w:rPr>
              <w:caps w:val="false"/>
              <w:smallCaps w:val="false"/>
              <w:sz w:val="24"/>
              <w:szCs w:val="24"/>
              <w:lang w:val="en-US" w:eastAsia="en-US"/>
            </w:rPr>
          </w:pPr>
          <w:hyperlink w:anchor="__RefHeading___Toc157506549">
            <w:r>
              <w:rPr>
                <w:rStyle w:val="IndexLink"/>
                <w:lang w:val="en-GB" w:eastAsia="en-US"/>
              </w:rPr>
              <w:t>13.3</w:t>
            </w:r>
            <w:r>
              <w:rPr>
                <w:rStyle w:val="IndexLink"/>
                <w:caps w:val="false"/>
                <w:smallCaps w:val="false"/>
                <w:sz w:val="24"/>
                <w:szCs w:val="24"/>
                <w:lang w:val="en-US" w:eastAsia="en-US"/>
              </w:rPr>
              <w:tab/>
            </w:r>
            <w:r>
              <w:rPr>
                <w:rStyle w:val="IndexLink"/>
                <w:lang w:val="en-GB" w:eastAsia="en-US"/>
              </w:rPr>
              <w:t>Additional Indemnities</w:t>
            </w:r>
            <w:r>
              <w:rPr>
                <w:rStyle w:val="IndexLink"/>
                <w:lang w:val="en-US" w:eastAsia="en-US"/>
              </w:rPr>
              <w:tab/>
              <w:t>55</w:t>
            </w:r>
          </w:hyperlink>
        </w:p>
        <w:p>
          <w:pPr>
            <w:pStyle w:val="TOC2"/>
            <w:tabs>
              <w:tab w:val="left" w:pos="800" w:leader="none"/>
              <w:tab w:val="right" w:pos="8777" w:leader="none"/>
            </w:tabs>
            <w:rPr>
              <w:caps w:val="false"/>
              <w:smallCaps w:val="false"/>
              <w:sz w:val="24"/>
              <w:szCs w:val="24"/>
              <w:lang w:val="en-US" w:eastAsia="en-US"/>
            </w:rPr>
          </w:pPr>
          <w:hyperlink w:anchor="__RefHeading___Toc157506550">
            <w:r>
              <w:rPr>
                <w:rStyle w:val="IndexLink"/>
                <w:lang w:val="en-GB" w:eastAsia="en-US"/>
              </w:rPr>
              <w:t>13.4</w:t>
            </w:r>
            <w:r>
              <w:rPr>
                <w:rStyle w:val="IndexLink"/>
                <w:caps w:val="false"/>
                <w:smallCaps w:val="false"/>
                <w:sz w:val="24"/>
                <w:szCs w:val="24"/>
                <w:lang w:val="en-US" w:eastAsia="en-US"/>
              </w:rPr>
              <w:tab/>
            </w:r>
            <w:r>
              <w:rPr>
                <w:rStyle w:val="IndexLink"/>
                <w:lang w:val="en-GB" w:eastAsia="en-US"/>
              </w:rPr>
              <w:t>Infringement</w:t>
            </w:r>
            <w:r>
              <w:rPr>
                <w:rStyle w:val="IndexLink"/>
                <w:lang w:val="en-US" w:eastAsia="en-US"/>
              </w:rPr>
              <w:tab/>
              <w:t>56</w:t>
            </w:r>
          </w:hyperlink>
        </w:p>
        <w:p>
          <w:pPr>
            <w:pStyle w:val="TOC1"/>
            <w:tabs>
              <w:tab w:val="left" w:pos="600" w:leader="none"/>
              <w:tab w:val="right" w:pos="8777" w:leader="none"/>
            </w:tabs>
            <w:rPr>
              <w:b w:val="false"/>
              <w:bCs w:val="false"/>
              <w:caps w:val="false"/>
              <w:smallCaps w:val="false"/>
              <w:sz w:val="24"/>
              <w:szCs w:val="24"/>
              <w:lang w:val="en-US" w:eastAsia="en-US"/>
            </w:rPr>
          </w:pPr>
          <w:hyperlink w:anchor="__RefHeading___Toc157506551">
            <w:r>
              <w:rPr>
                <w:rStyle w:val="IndexLink"/>
                <w:lang w:val="en-GB" w:eastAsia="en-US"/>
              </w:rPr>
              <w:t>14.</w:t>
            </w:r>
            <w:r>
              <w:rPr>
                <w:rStyle w:val="IndexLink"/>
                <w:b w:val="false"/>
                <w:bCs w:val="false"/>
                <w:caps w:val="false"/>
                <w:smallCaps w:val="false"/>
                <w:sz w:val="24"/>
                <w:szCs w:val="24"/>
                <w:lang w:val="en-US" w:eastAsia="en-US"/>
              </w:rPr>
              <w:tab/>
            </w:r>
            <w:r>
              <w:rPr>
                <w:rStyle w:val="IndexLink"/>
                <w:lang w:val="en-GB" w:eastAsia="en-US"/>
              </w:rPr>
              <w:t>Remedies and Liability</w:t>
            </w:r>
            <w:r>
              <w:rPr>
                <w:rStyle w:val="IndexLink"/>
                <w:lang w:val="en-US" w:eastAsia="en-US"/>
              </w:rPr>
              <w:tab/>
              <w:t>56</w:t>
            </w:r>
          </w:hyperlink>
        </w:p>
        <w:p>
          <w:pPr>
            <w:pStyle w:val="TOC2"/>
            <w:tabs>
              <w:tab w:val="left" w:pos="800" w:leader="none"/>
              <w:tab w:val="right" w:pos="8777" w:leader="none"/>
            </w:tabs>
            <w:rPr>
              <w:caps w:val="false"/>
              <w:smallCaps w:val="false"/>
              <w:sz w:val="24"/>
              <w:szCs w:val="24"/>
              <w:lang w:val="en-US" w:eastAsia="en-US"/>
            </w:rPr>
          </w:pPr>
          <w:hyperlink w:anchor="__RefHeading___Toc157506552">
            <w:r>
              <w:rPr>
                <w:rStyle w:val="IndexLink"/>
                <w:lang w:val="en-GB" w:eastAsia="en-US"/>
              </w:rPr>
              <w:t>14.1</w:t>
            </w:r>
            <w:r>
              <w:rPr>
                <w:rStyle w:val="IndexLink"/>
                <w:caps w:val="false"/>
                <w:smallCaps w:val="false"/>
                <w:sz w:val="24"/>
                <w:szCs w:val="24"/>
                <w:lang w:val="en-US" w:eastAsia="en-US"/>
              </w:rPr>
              <w:tab/>
            </w:r>
            <w:r>
              <w:rPr>
                <w:rStyle w:val="IndexLink"/>
                <w:lang w:val="en-GB" w:eastAsia="en-US"/>
              </w:rPr>
              <w:t>Remedies</w:t>
            </w:r>
            <w:r>
              <w:rPr>
                <w:rStyle w:val="IndexLink"/>
                <w:lang w:val="en-US" w:eastAsia="en-US"/>
              </w:rPr>
              <w:tab/>
              <w:t>56</w:t>
            </w:r>
          </w:hyperlink>
        </w:p>
        <w:p>
          <w:pPr>
            <w:pStyle w:val="TOC2"/>
            <w:tabs>
              <w:tab w:val="left" w:pos="800" w:leader="none"/>
              <w:tab w:val="right" w:pos="8777" w:leader="none"/>
            </w:tabs>
            <w:rPr>
              <w:caps w:val="false"/>
              <w:smallCaps w:val="false"/>
              <w:sz w:val="24"/>
              <w:szCs w:val="24"/>
              <w:lang w:val="en-US" w:eastAsia="en-US"/>
            </w:rPr>
          </w:pPr>
          <w:hyperlink w:anchor="__RefHeading___Toc157506553">
            <w:r>
              <w:rPr>
                <w:rStyle w:val="IndexLink"/>
                <w:lang w:val="en-GB" w:eastAsia="en-US"/>
              </w:rPr>
              <w:t>14.2</w:t>
            </w:r>
            <w:r>
              <w:rPr>
                <w:rStyle w:val="IndexLink"/>
                <w:caps w:val="false"/>
                <w:smallCaps w:val="false"/>
                <w:sz w:val="24"/>
                <w:szCs w:val="24"/>
                <w:lang w:val="en-US" w:eastAsia="en-US"/>
              </w:rPr>
              <w:tab/>
            </w:r>
            <w:r>
              <w:rPr>
                <w:rStyle w:val="IndexLink"/>
                <w:lang w:val="en-GB" w:eastAsia="en-US"/>
              </w:rPr>
              <w:t>Liability</w:t>
            </w:r>
            <w:r>
              <w:rPr>
                <w:rStyle w:val="IndexLink"/>
                <w:lang w:val="en-US" w:eastAsia="en-US"/>
              </w:rPr>
              <w:tab/>
              <w:t>56</w:t>
            </w:r>
          </w:hyperlink>
        </w:p>
        <w:p>
          <w:pPr>
            <w:pStyle w:val="TOC3"/>
            <w:tabs>
              <w:tab w:val="left" w:pos="1200" w:leader="none"/>
              <w:tab w:val="right" w:pos="8777" w:leader="none"/>
            </w:tabs>
            <w:rPr>
              <w:i w:val="false"/>
              <w:i w:val="false"/>
              <w:iCs w:val="false"/>
              <w:sz w:val="24"/>
              <w:szCs w:val="24"/>
              <w:lang w:val="en-US" w:eastAsia="en-US"/>
            </w:rPr>
          </w:pPr>
          <w:hyperlink w:anchor="__RefHeading___Toc157506554">
            <w:r>
              <w:rPr>
                <w:rStyle w:val="IndexLink"/>
                <w:lang w:val="en-GB" w:eastAsia="en-US"/>
              </w:rPr>
              <w:t>14.2.1</w:t>
            </w:r>
            <w:r>
              <w:rPr>
                <w:rStyle w:val="IndexLink"/>
                <w:i w:val="false"/>
                <w:iCs w:val="false"/>
                <w:sz w:val="24"/>
                <w:szCs w:val="24"/>
                <w:lang w:val="en-US" w:eastAsia="en-US"/>
              </w:rPr>
              <w:tab/>
            </w:r>
            <w:r>
              <w:rPr>
                <w:rStyle w:val="IndexLink"/>
                <w:lang w:val="en-GB" w:eastAsia="en-US"/>
              </w:rPr>
              <w:t>General</w:t>
            </w:r>
            <w:r>
              <w:rPr>
                <w:rStyle w:val="IndexLink"/>
                <w:lang w:val="en-US" w:eastAsia="en-US"/>
              </w:rPr>
              <w:tab/>
              <w:t>56</w:t>
            </w:r>
          </w:hyperlink>
        </w:p>
        <w:p>
          <w:pPr>
            <w:pStyle w:val="TOC3"/>
            <w:tabs>
              <w:tab w:val="left" w:pos="1200" w:leader="none"/>
              <w:tab w:val="right" w:pos="8777" w:leader="none"/>
            </w:tabs>
            <w:rPr>
              <w:i w:val="false"/>
              <w:i w:val="false"/>
              <w:iCs w:val="false"/>
              <w:sz w:val="24"/>
              <w:szCs w:val="24"/>
              <w:lang w:val="en-US" w:eastAsia="en-US"/>
            </w:rPr>
          </w:pPr>
          <w:hyperlink w:anchor="__RefHeading___Toc157506555">
            <w:r>
              <w:rPr>
                <w:rStyle w:val="IndexLink"/>
                <w:lang w:val="en-GB" w:eastAsia="en-US"/>
              </w:rPr>
              <w:t>14.2.2</w:t>
            </w:r>
            <w:r>
              <w:rPr>
                <w:rStyle w:val="IndexLink"/>
                <w:i w:val="false"/>
                <w:iCs w:val="false"/>
                <w:sz w:val="24"/>
                <w:szCs w:val="24"/>
                <w:lang w:val="en-US" w:eastAsia="en-US"/>
              </w:rPr>
              <w:tab/>
            </w:r>
            <w:r>
              <w:rPr>
                <w:rStyle w:val="IndexLink"/>
                <w:lang w:val="en-GB" w:eastAsia="en-US"/>
              </w:rPr>
              <w:t>Liability Limitations</w:t>
            </w:r>
            <w:r>
              <w:rPr>
                <w:rStyle w:val="IndexLink"/>
                <w:lang w:val="en-US" w:eastAsia="en-US"/>
              </w:rPr>
              <w:tab/>
              <w:t>57</w:t>
            </w:r>
          </w:hyperlink>
        </w:p>
        <w:p>
          <w:pPr>
            <w:pStyle w:val="TOC3"/>
            <w:tabs>
              <w:tab w:val="left" w:pos="1200" w:leader="none"/>
              <w:tab w:val="right" w:pos="8777" w:leader="none"/>
            </w:tabs>
            <w:rPr>
              <w:i w:val="false"/>
              <w:i w:val="false"/>
              <w:iCs w:val="false"/>
              <w:sz w:val="24"/>
              <w:szCs w:val="24"/>
              <w:lang w:val="en-US" w:eastAsia="en-US"/>
            </w:rPr>
          </w:pPr>
          <w:hyperlink w:anchor="__RefHeading___Toc157506556">
            <w:r>
              <w:rPr>
                <w:rStyle w:val="IndexLink"/>
                <w:lang w:val="en-GB" w:eastAsia="en-US"/>
              </w:rPr>
              <w:t>14.2.3</w:t>
            </w:r>
            <w:r>
              <w:rPr>
                <w:rStyle w:val="IndexLink"/>
                <w:i w:val="false"/>
                <w:iCs w:val="false"/>
                <w:sz w:val="24"/>
                <w:szCs w:val="24"/>
                <w:lang w:val="en-US" w:eastAsia="en-US"/>
              </w:rPr>
              <w:tab/>
            </w:r>
            <w:r>
              <w:rPr>
                <w:rStyle w:val="IndexLink"/>
                <w:lang w:val="en-GB" w:eastAsia="en-US"/>
              </w:rPr>
              <w:t>Force Majeure</w:t>
            </w:r>
            <w:r>
              <w:rPr>
                <w:rStyle w:val="IndexLink"/>
                <w:lang w:val="en-US" w:eastAsia="en-US"/>
              </w:rPr>
              <w:tab/>
              <w:t>57</w:t>
            </w:r>
          </w:hyperlink>
        </w:p>
        <w:p>
          <w:pPr>
            <w:pStyle w:val="TOC1"/>
            <w:tabs>
              <w:tab w:val="left" w:pos="600" w:leader="none"/>
              <w:tab w:val="right" w:pos="8777" w:leader="none"/>
            </w:tabs>
            <w:rPr>
              <w:b w:val="false"/>
              <w:bCs w:val="false"/>
              <w:caps w:val="false"/>
              <w:smallCaps w:val="false"/>
              <w:sz w:val="24"/>
              <w:szCs w:val="24"/>
              <w:lang w:val="en-US" w:eastAsia="en-US"/>
            </w:rPr>
          </w:pPr>
          <w:hyperlink w:anchor="__RefHeading___Toc157506557">
            <w:r>
              <w:rPr>
                <w:rStyle w:val="IndexLink"/>
                <w:lang w:val="en-GB" w:eastAsia="en-US"/>
              </w:rPr>
              <w:t>15.</w:t>
            </w:r>
            <w:r>
              <w:rPr>
                <w:rStyle w:val="IndexLink"/>
                <w:b w:val="false"/>
                <w:bCs w:val="false"/>
                <w:caps w:val="false"/>
                <w:smallCaps w:val="false"/>
                <w:sz w:val="24"/>
                <w:szCs w:val="24"/>
                <w:lang w:val="en-US" w:eastAsia="en-US"/>
              </w:rPr>
              <w:tab/>
            </w:r>
            <w:r>
              <w:rPr>
                <w:rStyle w:val="IndexLink"/>
                <w:lang w:val="en-GB" w:eastAsia="en-US"/>
              </w:rPr>
              <w:t>Dispute Resolution</w:t>
            </w:r>
            <w:r>
              <w:rPr>
                <w:rStyle w:val="IndexLink"/>
                <w:lang w:val="en-US" w:eastAsia="en-US"/>
              </w:rPr>
              <w:tab/>
              <w:t>59</w:t>
            </w:r>
          </w:hyperlink>
        </w:p>
        <w:p>
          <w:pPr>
            <w:pStyle w:val="TOC2"/>
            <w:tabs>
              <w:tab w:val="left" w:pos="800" w:leader="none"/>
              <w:tab w:val="right" w:pos="8777" w:leader="none"/>
            </w:tabs>
            <w:rPr>
              <w:caps w:val="false"/>
              <w:smallCaps w:val="false"/>
              <w:sz w:val="24"/>
              <w:szCs w:val="24"/>
              <w:lang w:val="en-US" w:eastAsia="en-US"/>
            </w:rPr>
          </w:pPr>
          <w:hyperlink w:anchor="__RefHeading___Toc157506558">
            <w:r>
              <w:rPr>
                <w:rStyle w:val="IndexLink"/>
                <w:lang w:val="en-GB" w:eastAsia="en-US"/>
              </w:rPr>
              <w:t>15.1</w:t>
            </w:r>
            <w:r>
              <w:rPr>
                <w:rStyle w:val="IndexLink"/>
                <w:caps w:val="false"/>
                <w:smallCaps w:val="false"/>
                <w:sz w:val="24"/>
                <w:szCs w:val="24"/>
                <w:lang w:val="en-US" w:eastAsia="en-US"/>
              </w:rPr>
              <w:tab/>
            </w:r>
            <w:r>
              <w:rPr>
                <w:rStyle w:val="IndexLink"/>
                <w:lang w:val="en-GB" w:eastAsia="en-US"/>
              </w:rPr>
              <w:t>Formal Dispute Resolution</w:t>
            </w:r>
            <w:r>
              <w:rPr>
                <w:rStyle w:val="IndexLink"/>
                <w:lang w:val="en-US" w:eastAsia="en-US"/>
              </w:rPr>
              <w:tab/>
              <w:t>59</w:t>
            </w:r>
          </w:hyperlink>
        </w:p>
        <w:p>
          <w:pPr>
            <w:pStyle w:val="TOC2"/>
            <w:tabs>
              <w:tab w:val="left" w:pos="800" w:leader="none"/>
              <w:tab w:val="right" w:pos="8777" w:leader="none"/>
            </w:tabs>
            <w:rPr>
              <w:caps w:val="false"/>
              <w:smallCaps w:val="false"/>
              <w:sz w:val="24"/>
              <w:szCs w:val="24"/>
              <w:lang w:val="en-US" w:eastAsia="en-US"/>
            </w:rPr>
          </w:pPr>
          <w:hyperlink w:anchor="__RefHeading___Toc157506559">
            <w:r>
              <w:rPr>
                <w:rStyle w:val="IndexLink"/>
                <w:lang w:val="en-GB" w:eastAsia="en-US"/>
              </w:rPr>
              <w:t>15.2</w:t>
            </w:r>
            <w:r>
              <w:rPr>
                <w:rStyle w:val="IndexLink"/>
                <w:caps w:val="false"/>
                <w:smallCaps w:val="false"/>
                <w:sz w:val="24"/>
                <w:szCs w:val="24"/>
                <w:lang w:val="en-US" w:eastAsia="en-US"/>
              </w:rPr>
              <w:tab/>
            </w:r>
            <w:r>
              <w:rPr>
                <w:rStyle w:val="IndexLink"/>
                <w:lang w:val="en-GB" w:eastAsia="en-US"/>
              </w:rPr>
              <w:t>Injunctive Relief</w:t>
            </w:r>
            <w:r>
              <w:rPr>
                <w:rStyle w:val="IndexLink"/>
                <w:lang w:val="en-US" w:eastAsia="en-US"/>
              </w:rPr>
              <w:tab/>
              <w:t>59</w:t>
            </w:r>
          </w:hyperlink>
        </w:p>
        <w:p>
          <w:pPr>
            <w:pStyle w:val="TOC2"/>
            <w:tabs>
              <w:tab w:val="left" w:pos="800" w:leader="none"/>
              <w:tab w:val="right" w:pos="8777" w:leader="none"/>
            </w:tabs>
            <w:rPr>
              <w:caps w:val="false"/>
              <w:smallCaps w:val="false"/>
              <w:sz w:val="24"/>
              <w:szCs w:val="24"/>
              <w:lang w:val="en-US" w:eastAsia="en-US"/>
            </w:rPr>
          </w:pPr>
          <w:hyperlink w:anchor="__RefHeading___Toc157506560">
            <w:r>
              <w:rPr>
                <w:rStyle w:val="IndexLink"/>
                <w:lang w:val="en-GB" w:eastAsia="en-US"/>
              </w:rPr>
              <w:t>15.3</w:t>
            </w:r>
            <w:r>
              <w:rPr>
                <w:rStyle w:val="IndexLink"/>
                <w:caps w:val="false"/>
                <w:smallCaps w:val="false"/>
                <w:sz w:val="24"/>
                <w:szCs w:val="24"/>
                <w:lang w:val="en-US" w:eastAsia="en-US"/>
              </w:rPr>
              <w:tab/>
            </w:r>
            <w:r>
              <w:rPr>
                <w:rStyle w:val="IndexLink"/>
                <w:lang w:val="en-GB" w:eastAsia="en-US"/>
              </w:rPr>
              <w:t>Governing Law and Arbitration</w:t>
            </w:r>
            <w:r>
              <w:rPr>
                <w:rStyle w:val="IndexLink"/>
                <w:lang w:val="en-US" w:eastAsia="en-US"/>
              </w:rPr>
              <w:tab/>
              <w:t>59</w:t>
            </w:r>
          </w:hyperlink>
        </w:p>
        <w:p>
          <w:pPr>
            <w:pStyle w:val="TOC1"/>
            <w:tabs>
              <w:tab w:val="left" w:pos="600" w:leader="none"/>
              <w:tab w:val="right" w:pos="8777" w:leader="none"/>
            </w:tabs>
            <w:rPr>
              <w:b w:val="false"/>
              <w:bCs w:val="false"/>
              <w:caps w:val="false"/>
              <w:smallCaps w:val="false"/>
              <w:sz w:val="24"/>
              <w:szCs w:val="24"/>
              <w:lang w:val="en-US" w:eastAsia="en-US"/>
            </w:rPr>
          </w:pPr>
          <w:hyperlink w:anchor="__RefHeading___Toc157506561">
            <w:r>
              <w:rPr>
                <w:rStyle w:val="IndexLink"/>
                <w:lang w:val="en-GB" w:eastAsia="en-US"/>
              </w:rPr>
              <w:t>16.</w:t>
            </w:r>
            <w:r>
              <w:rPr>
                <w:rStyle w:val="IndexLink"/>
                <w:b w:val="false"/>
                <w:bCs w:val="false"/>
                <w:caps w:val="false"/>
                <w:smallCaps w:val="false"/>
                <w:sz w:val="24"/>
                <w:szCs w:val="24"/>
                <w:lang w:val="en-US" w:eastAsia="en-US"/>
              </w:rPr>
              <w:tab/>
            </w:r>
            <w:r>
              <w:rPr>
                <w:rStyle w:val="IndexLink"/>
                <w:lang w:val="en-GB" w:eastAsia="en-US"/>
              </w:rPr>
              <w:t>termination</w:t>
            </w:r>
            <w:r>
              <w:rPr>
                <w:rStyle w:val="IndexLink"/>
                <w:lang w:val="en-US" w:eastAsia="en-US"/>
              </w:rPr>
              <w:tab/>
              <w:t>60</w:t>
            </w:r>
          </w:hyperlink>
        </w:p>
        <w:p>
          <w:pPr>
            <w:pStyle w:val="TOC2"/>
            <w:tabs>
              <w:tab w:val="left" w:pos="800" w:leader="none"/>
              <w:tab w:val="right" w:pos="8777" w:leader="none"/>
            </w:tabs>
            <w:rPr>
              <w:caps w:val="false"/>
              <w:smallCaps w:val="false"/>
              <w:sz w:val="24"/>
              <w:szCs w:val="24"/>
              <w:lang w:val="en-US" w:eastAsia="en-US"/>
            </w:rPr>
          </w:pPr>
          <w:hyperlink w:anchor="__RefHeading___Toc157506562">
            <w:r>
              <w:rPr>
                <w:rStyle w:val="IndexLink"/>
                <w:lang w:val="en-GB" w:eastAsia="en-US"/>
              </w:rPr>
              <w:t>16.1</w:t>
            </w:r>
            <w:r>
              <w:rPr>
                <w:rStyle w:val="IndexLink"/>
                <w:caps w:val="false"/>
                <w:smallCaps w:val="false"/>
                <w:sz w:val="24"/>
                <w:szCs w:val="24"/>
                <w:lang w:val="en-US" w:eastAsia="en-US"/>
              </w:rPr>
              <w:tab/>
            </w:r>
            <w:r>
              <w:rPr>
                <w:rStyle w:val="IndexLink"/>
                <w:lang w:val="en-GB" w:eastAsia="en-US"/>
              </w:rPr>
              <w:t>Termination for Cause</w:t>
            </w:r>
            <w:r>
              <w:rPr>
                <w:rStyle w:val="IndexLink"/>
                <w:lang w:val="en-US" w:eastAsia="en-US"/>
              </w:rPr>
              <w:tab/>
              <w:t>60</w:t>
            </w:r>
          </w:hyperlink>
        </w:p>
        <w:p>
          <w:pPr>
            <w:pStyle w:val="TOC2"/>
            <w:tabs>
              <w:tab w:val="left" w:pos="800" w:leader="none"/>
              <w:tab w:val="right" w:pos="8777" w:leader="none"/>
            </w:tabs>
            <w:rPr>
              <w:caps w:val="false"/>
              <w:smallCaps w:val="false"/>
              <w:sz w:val="24"/>
              <w:szCs w:val="24"/>
              <w:lang w:val="en-US" w:eastAsia="en-US"/>
            </w:rPr>
          </w:pPr>
          <w:hyperlink w:anchor="__RefHeading___Toc157506563">
            <w:r>
              <w:rPr>
                <w:rStyle w:val="IndexLink"/>
                <w:lang w:val="en-GB" w:eastAsia="en-US"/>
              </w:rPr>
              <w:t>16.2</w:t>
            </w:r>
            <w:r>
              <w:rPr>
                <w:rStyle w:val="IndexLink"/>
                <w:caps w:val="false"/>
                <w:smallCaps w:val="false"/>
                <w:sz w:val="24"/>
                <w:szCs w:val="24"/>
                <w:lang w:val="en-US" w:eastAsia="en-US"/>
              </w:rPr>
              <w:tab/>
            </w:r>
            <w:r>
              <w:rPr>
                <w:rStyle w:val="IndexLink"/>
                <w:lang w:val="en-GB" w:eastAsia="en-US"/>
              </w:rPr>
              <w:t>Termination for Regulatory Change</w:t>
            </w:r>
            <w:r>
              <w:rPr>
                <w:rStyle w:val="IndexLink"/>
                <w:lang w:val="en-US" w:eastAsia="en-US"/>
              </w:rPr>
              <w:tab/>
              <w:t>61</w:t>
            </w:r>
          </w:hyperlink>
        </w:p>
        <w:p>
          <w:pPr>
            <w:pStyle w:val="TOC2"/>
            <w:tabs>
              <w:tab w:val="left" w:pos="800" w:leader="none"/>
              <w:tab w:val="right" w:pos="8777" w:leader="none"/>
            </w:tabs>
            <w:rPr>
              <w:caps w:val="false"/>
              <w:smallCaps w:val="false"/>
              <w:sz w:val="24"/>
              <w:szCs w:val="24"/>
              <w:lang w:val="en-US" w:eastAsia="en-US"/>
            </w:rPr>
          </w:pPr>
          <w:hyperlink w:anchor="__RefHeading___Toc157506564">
            <w:r>
              <w:rPr>
                <w:rStyle w:val="IndexLink"/>
                <w:lang w:val="en-GB" w:eastAsia="en-US"/>
              </w:rPr>
              <w:t>16.3</w:t>
            </w:r>
            <w:r>
              <w:rPr>
                <w:rStyle w:val="IndexLink"/>
                <w:caps w:val="false"/>
                <w:smallCaps w:val="false"/>
                <w:sz w:val="24"/>
                <w:szCs w:val="24"/>
                <w:lang w:val="en-US" w:eastAsia="en-US"/>
              </w:rPr>
              <w:tab/>
            </w:r>
            <w:r>
              <w:rPr>
                <w:rStyle w:val="IndexLink"/>
                <w:lang w:val="en-GB" w:eastAsia="en-US"/>
              </w:rPr>
              <w:t>Termination for Convenience</w:t>
            </w:r>
            <w:r>
              <w:rPr>
                <w:rStyle w:val="IndexLink"/>
                <w:lang w:val="en-US" w:eastAsia="en-US"/>
              </w:rPr>
              <w:tab/>
              <w:t>61</w:t>
            </w:r>
          </w:hyperlink>
        </w:p>
        <w:p>
          <w:pPr>
            <w:pStyle w:val="TOC2"/>
            <w:tabs>
              <w:tab w:val="left" w:pos="800" w:leader="none"/>
              <w:tab w:val="right" w:pos="8777" w:leader="none"/>
            </w:tabs>
            <w:rPr>
              <w:caps w:val="false"/>
              <w:smallCaps w:val="false"/>
              <w:sz w:val="24"/>
              <w:szCs w:val="24"/>
              <w:lang w:val="en-US" w:eastAsia="en-US"/>
            </w:rPr>
          </w:pPr>
          <w:hyperlink w:anchor="__RefHeading___Toc157506565">
            <w:r>
              <w:rPr>
                <w:rStyle w:val="IndexLink"/>
                <w:lang w:val="en-GB" w:eastAsia="en-US"/>
              </w:rPr>
              <w:t>16.4</w:t>
            </w:r>
            <w:r>
              <w:rPr>
                <w:rStyle w:val="IndexLink"/>
                <w:caps w:val="false"/>
                <w:smallCaps w:val="false"/>
                <w:sz w:val="24"/>
                <w:szCs w:val="24"/>
                <w:lang w:val="en-US" w:eastAsia="en-US"/>
              </w:rPr>
              <w:tab/>
            </w:r>
            <w:r>
              <w:rPr>
                <w:rStyle w:val="IndexLink"/>
                <w:lang w:val="en-GB" w:eastAsia="en-US"/>
              </w:rPr>
              <w:t>Termination for Change of Control of Service Provider</w:t>
            </w:r>
            <w:r>
              <w:rPr>
                <w:rStyle w:val="IndexLink"/>
                <w:lang w:val="en-US" w:eastAsia="en-US"/>
              </w:rPr>
              <w:tab/>
              <w:t>62</w:t>
            </w:r>
          </w:hyperlink>
        </w:p>
        <w:p>
          <w:pPr>
            <w:pStyle w:val="TOC2"/>
            <w:tabs>
              <w:tab w:val="left" w:pos="800" w:leader="none"/>
              <w:tab w:val="right" w:pos="8777" w:leader="none"/>
            </w:tabs>
            <w:rPr>
              <w:caps w:val="false"/>
              <w:smallCaps w:val="false"/>
              <w:sz w:val="24"/>
              <w:szCs w:val="24"/>
              <w:lang w:val="en-US" w:eastAsia="en-US"/>
            </w:rPr>
          </w:pPr>
          <w:hyperlink w:anchor="__RefHeading___Toc157506566">
            <w:r>
              <w:rPr>
                <w:rStyle w:val="IndexLink"/>
                <w:lang w:val="en-GB" w:eastAsia="en-US"/>
              </w:rPr>
              <w:t>16.5</w:t>
            </w:r>
            <w:r>
              <w:rPr>
                <w:rStyle w:val="IndexLink"/>
                <w:caps w:val="false"/>
                <w:smallCaps w:val="false"/>
                <w:sz w:val="24"/>
                <w:szCs w:val="24"/>
                <w:lang w:val="en-US" w:eastAsia="en-US"/>
              </w:rPr>
              <w:tab/>
            </w:r>
            <w:r>
              <w:rPr>
                <w:rStyle w:val="IndexLink"/>
                <w:lang w:val="en-GB" w:eastAsia="en-US"/>
              </w:rPr>
              <w:t>Termination for Change of Control of Novartis Pharma</w:t>
            </w:r>
            <w:r>
              <w:rPr>
                <w:rStyle w:val="IndexLink"/>
                <w:lang w:val="en-US" w:eastAsia="en-US"/>
              </w:rPr>
              <w:tab/>
              <w:t>62</w:t>
            </w:r>
          </w:hyperlink>
        </w:p>
        <w:p>
          <w:pPr>
            <w:pStyle w:val="TOC2"/>
            <w:tabs>
              <w:tab w:val="left" w:pos="800" w:leader="none"/>
              <w:tab w:val="right" w:pos="8777" w:leader="none"/>
            </w:tabs>
            <w:rPr>
              <w:caps w:val="false"/>
              <w:smallCaps w:val="false"/>
              <w:sz w:val="24"/>
              <w:szCs w:val="24"/>
              <w:lang w:val="en-US" w:eastAsia="en-US"/>
            </w:rPr>
          </w:pPr>
          <w:hyperlink w:anchor="__RefHeading___Toc157506567">
            <w:r>
              <w:rPr>
                <w:rStyle w:val="IndexLink"/>
                <w:lang w:val="en-GB" w:eastAsia="en-US"/>
              </w:rPr>
              <w:t>16.6</w:t>
            </w:r>
            <w:r>
              <w:rPr>
                <w:rStyle w:val="IndexLink"/>
                <w:caps w:val="false"/>
                <w:smallCaps w:val="false"/>
                <w:sz w:val="24"/>
                <w:szCs w:val="24"/>
                <w:lang w:val="en-US" w:eastAsia="en-US"/>
              </w:rPr>
              <w:tab/>
            </w:r>
            <w:r>
              <w:rPr>
                <w:rStyle w:val="IndexLink"/>
                <w:lang w:val="en-GB" w:eastAsia="en-US"/>
              </w:rPr>
              <w:t>Termination of Service Provider for the Existence of a Benchmarking Condition</w:t>
            </w:r>
            <w:r>
              <w:rPr>
                <w:rStyle w:val="IndexLink"/>
                <w:lang w:val="en-US" w:eastAsia="en-US"/>
              </w:rPr>
              <w:tab/>
              <w:t>62</w:t>
            </w:r>
          </w:hyperlink>
        </w:p>
        <w:p>
          <w:pPr>
            <w:pStyle w:val="TOC2"/>
            <w:tabs>
              <w:tab w:val="left" w:pos="800" w:leader="none"/>
              <w:tab w:val="right" w:pos="8777" w:leader="none"/>
            </w:tabs>
            <w:rPr>
              <w:caps w:val="false"/>
              <w:smallCaps w:val="false"/>
              <w:sz w:val="24"/>
              <w:szCs w:val="24"/>
              <w:lang w:val="en-US" w:eastAsia="en-US"/>
            </w:rPr>
          </w:pPr>
          <w:hyperlink w:anchor="__RefHeading___Toc157506568">
            <w:r>
              <w:rPr>
                <w:rStyle w:val="IndexLink"/>
                <w:lang w:val="en-GB" w:eastAsia="en-US"/>
              </w:rPr>
              <w:t>16.7</w:t>
            </w:r>
            <w:r>
              <w:rPr>
                <w:rStyle w:val="IndexLink"/>
                <w:caps w:val="false"/>
                <w:smallCaps w:val="false"/>
                <w:sz w:val="24"/>
                <w:szCs w:val="24"/>
                <w:lang w:val="en-US" w:eastAsia="en-US"/>
              </w:rPr>
              <w:tab/>
            </w:r>
            <w:r>
              <w:rPr>
                <w:rStyle w:val="IndexLink"/>
                <w:lang w:val="en-GB" w:eastAsia="en-US"/>
              </w:rPr>
              <w:t>Termination Due to Service Provider's Financial Status</w:t>
            </w:r>
            <w:r>
              <w:rPr>
                <w:rStyle w:val="IndexLink"/>
                <w:lang w:val="en-US" w:eastAsia="en-US"/>
              </w:rPr>
              <w:tab/>
              <w:t>63</w:t>
            </w:r>
          </w:hyperlink>
        </w:p>
        <w:p>
          <w:pPr>
            <w:pStyle w:val="TOC2"/>
            <w:tabs>
              <w:tab w:val="left" w:pos="800" w:leader="none"/>
              <w:tab w:val="right" w:pos="8777" w:leader="none"/>
            </w:tabs>
            <w:rPr>
              <w:caps w:val="false"/>
              <w:smallCaps w:val="false"/>
              <w:sz w:val="24"/>
              <w:szCs w:val="24"/>
              <w:lang w:val="en-US" w:eastAsia="en-US"/>
            </w:rPr>
          </w:pPr>
          <w:hyperlink w:anchor="__RefHeading___Toc157506569">
            <w:r>
              <w:rPr>
                <w:rStyle w:val="IndexLink"/>
                <w:lang w:val="en-GB" w:eastAsia="en-US"/>
              </w:rPr>
              <w:t>16.8</w:t>
            </w:r>
            <w:r>
              <w:rPr>
                <w:rStyle w:val="IndexLink"/>
                <w:caps w:val="false"/>
                <w:smallCaps w:val="false"/>
                <w:sz w:val="24"/>
                <w:szCs w:val="24"/>
                <w:lang w:val="en-US" w:eastAsia="en-US"/>
              </w:rPr>
              <w:tab/>
            </w:r>
            <w:r>
              <w:rPr>
                <w:rStyle w:val="IndexLink"/>
                <w:lang w:val="en-GB" w:eastAsia="en-US"/>
              </w:rPr>
              <w:t>Extension of Termination Effective Date</w:t>
            </w:r>
            <w:r>
              <w:rPr>
                <w:rStyle w:val="IndexLink"/>
                <w:lang w:val="en-US" w:eastAsia="en-US"/>
              </w:rPr>
              <w:tab/>
              <w:t>63</w:t>
            </w:r>
          </w:hyperlink>
        </w:p>
        <w:p>
          <w:pPr>
            <w:pStyle w:val="TOC2"/>
            <w:tabs>
              <w:tab w:val="left" w:pos="800" w:leader="none"/>
              <w:tab w:val="right" w:pos="8777" w:leader="none"/>
            </w:tabs>
            <w:rPr>
              <w:caps w:val="false"/>
              <w:smallCaps w:val="false"/>
              <w:sz w:val="24"/>
              <w:szCs w:val="24"/>
              <w:lang w:val="en-US" w:eastAsia="en-US"/>
            </w:rPr>
          </w:pPr>
          <w:hyperlink w:anchor="__RefHeading___Toc157506570">
            <w:r>
              <w:rPr>
                <w:rStyle w:val="IndexLink"/>
                <w:lang w:val="en-GB" w:eastAsia="en-US"/>
              </w:rPr>
              <w:t>16.9</w:t>
            </w:r>
            <w:r>
              <w:rPr>
                <w:rStyle w:val="IndexLink"/>
                <w:caps w:val="false"/>
                <w:smallCaps w:val="false"/>
                <w:sz w:val="24"/>
                <w:szCs w:val="24"/>
                <w:lang w:val="en-US" w:eastAsia="en-US"/>
              </w:rPr>
              <w:tab/>
            </w:r>
            <w:r>
              <w:rPr>
                <w:rStyle w:val="IndexLink"/>
                <w:lang w:val="en-GB" w:eastAsia="en-US"/>
              </w:rPr>
              <w:t>Termination/Expiration Assistance</w:t>
            </w:r>
            <w:r>
              <w:rPr>
                <w:rStyle w:val="IndexLink"/>
                <w:lang w:val="en-US" w:eastAsia="en-US"/>
              </w:rPr>
              <w:tab/>
              <w:t>63</w:t>
            </w:r>
          </w:hyperlink>
        </w:p>
        <w:p>
          <w:pPr>
            <w:pStyle w:val="TOC2"/>
            <w:tabs>
              <w:tab w:val="left" w:pos="1000" w:leader="none"/>
              <w:tab w:val="right" w:pos="8777" w:leader="none"/>
            </w:tabs>
            <w:rPr>
              <w:caps w:val="false"/>
              <w:smallCaps w:val="false"/>
              <w:sz w:val="24"/>
              <w:szCs w:val="24"/>
              <w:lang w:val="en-US" w:eastAsia="en-US"/>
            </w:rPr>
          </w:pPr>
          <w:hyperlink w:anchor="__RefHeading___Toc157506571">
            <w:r>
              <w:rPr>
                <w:rStyle w:val="IndexLink"/>
                <w:lang w:val="en-GB" w:eastAsia="en-US"/>
              </w:rPr>
              <w:t>16.10</w:t>
            </w:r>
            <w:r>
              <w:rPr>
                <w:rStyle w:val="IndexLink"/>
                <w:caps w:val="false"/>
                <w:smallCaps w:val="false"/>
                <w:sz w:val="24"/>
                <w:szCs w:val="24"/>
                <w:lang w:val="en-US" w:eastAsia="en-US"/>
              </w:rPr>
              <w:tab/>
            </w:r>
            <w:r>
              <w:rPr>
                <w:rStyle w:val="IndexLink"/>
                <w:lang w:val="en-GB" w:eastAsia="en-US"/>
              </w:rPr>
              <w:t>Information regarding the Services</w:t>
            </w:r>
            <w:r>
              <w:rPr>
                <w:rStyle w:val="IndexLink"/>
                <w:lang w:val="en-US" w:eastAsia="en-US"/>
              </w:rPr>
              <w:tab/>
              <w:t>65</w:t>
            </w:r>
          </w:hyperlink>
        </w:p>
        <w:p>
          <w:pPr>
            <w:pStyle w:val="TOC1"/>
            <w:tabs>
              <w:tab w:val="left" w:pos="600" w:leader="none"/>
              <w:tab w:val="right" w:pos="8777" w:leader="none"/>
            </w:tabs>
            <w:rPr>
              <w:b w:val="false"/>
              <w:caps w:val="false"/>
              <w:smallCaps w:val="false"/>
              <w:sz w:val="24"/>
              <w:szCs w:val="24"/>
              <w:lang w:val="en-US" w:eastAsia="en-US"/>
            </w:rPr>
          </w:pPr>
          <w:hyperlink w:anchor="__RefHeading___Toc157506572">
            <w:r>
              <w:rPr>
                <w:rStyle w:val="IndexLink"/>
                <w:lang w:val="en-GB" w:eastAsia="en-US"/>
              </w:rPr>
              <w:t>17.</w:t>
            </w:r>
            <w:r>
              <w:rPr>
                <w:rStyle w:val="IndexLink"/>
                <w:b w:val="false"/>
                <w:bCs w:val="false"/>
                <w:caps w:val="false"/>
                <w:smallCaps w:val="false"/>
                <w:sz w:val="24"/>
                <w:szCs w:val="24"/>
                <w:lang w:val="en-US" w:eastAsia="en-US"/>
              </w:rPr>
              <w:tab/>
            </w:r>
            <w:r>
              <w:rPr>
                <w:rStyle w:val="IndexLink"/>
                <w:lang w:val="en-GB" w:eastAsia="en-US"/>
              </w:rPr>
              <w:t>General Terms</w:t>
            </w:r>
            <w:r>
              <w:rPr>
                <w:rStyle w:val="IndexLink"/>
                <w:lang w:val="en-US" w:eastAsia="en-US"/>
              </w:rPr>
              <w:tab/>
              <w:t>65</w:t>
            </w:r>
          </w:hyperlink>
        </w:p>
        <w:p>
          <w:pPr>
            <w:pStyle w:val="TOC2"/>
            <w:tabs>
              <w:tab w:val="left" w:pos="800" w:leader="none"/>
              <w:tab w:val="right" w:pos="8777" w:leader="none"/>
            </w:tabs>
            <w:rPr>
              <w:caps w:val="false"/>
              <w:smallCaps w:val="false"/>
              <w:sz w:val="24"/>
              <w:szCs w:val="24"/>
              <w:lang w:val="en-US" w:eastAsia="en-US"/>
            </w:rPr>
          </w:pPr>
          <w:hyperlink w:anchor="__RefHeading___Toc157506573">
            <w:r>
              <w:rPr>
                <w:rStyle w:val="IndexLink"/>
                <w:lang w:val="en-GB" w:eastAsia="en-US"/>
              </w:rPr>
              <w:t>17.1</w:t>
            </w:r>
            <w:r>
              <w:rPr>
                <w:rStyle w:val="IndexLink"/>
                <w:caps w:val="false"/>
                <w:smallCaps w:val="false"/>
                <w:sz w:val="24"/>
                <w:szCs w:val="24"/>
                <w:lang w:val="en-US" w:eastAsia="en-US"/>
              </w:rPr>
              <w:tab/>
            </w:r>
            <w:r>
              <w:rPr>
                <w:rStyle w:val="IndexLink"/>
                <w:lang w:val="en-GB" w:eastAsia="en-US"/>
              </w:rPr>
              <w:t>Assignment</w:t>
            </w:r>
            <w:r>
              <w:rPr>
                <w:rStyle w:val="IndexLink"/>
                <w:lang w:val="en-US" w:eastAsia="en-US"/>
              </w:rPr>
              <w:tab/>
              <w:t>65</w:t>
            </w:r>
          </w:hyperlink>
        </w:p>
        <w:p>
          <w:pPr>
            <w:pStyle w:val="TOC2"/>
            <w:tabs>
              <w:tab w:val="left" w:pos="800" w:leader="none"/>
              <w:tab w:val="right" w:pos="8777" w:leader="none"/>
            </w:tabs>
            <w:rPr>
              <w:caps w:val="false"/>
              <w:smallCaps w:val="false"/>
              <w:sz w:val="24"/>
              <w:szCs w:val="24"/>
              <w:lang w:val="en-US" w:eastAsia="en-US"/>
            </w:rPr>
          </w:pPr>
          <w:hyperlink w:anchor="__RefHeading___Toc157506574">
            <w:r>
              <w:rPr>
                <w:rStyle w:val="IndexLink"/>
                <w:lang w:val="en-GB" w:eastAsia="en-US"/>
              </w:rPr>
              <w:t>17.2</w:t>
            </w:r>
            <w:r>
              <w:rPr>
                <w:rStyle w:val="IndexLink"/>
                <w:caps w:val="false"/>
                <w:smallCaps w:val="false"/>
                <w:sz w:val="24"/>
                <w:szCs w:val="24"/>
                <w:lang w:val="en-US" w:eastAsia="en-US"/>
              </w:rPr>
              <w:tab/>
            </w:r>
            <w:r>
              <w:rPr>
                <w:rStyle w:val="IndexLink"/>
                <w:lang w:val="en-GB" w:eastAsia="en-US"/>
              </w:rPr>
              <w:t>Consent and Approvals</w:t>
            </w:r>
            <w:r>
              <w:rPr>
                <w:rStyle w:val="IndexLink"/>
                <w:lang w:val="en-US" w:eastAsia="en-US"/>
              </w:rPr>
              <w:tab/>
              <w:t>65</w:t>
            </w:r>
          </w:hyperlink>
        </w:p>
        <w:p>
          <w:pPr>
            <w:pStyle w:val="TOC2"/>
            <w:tabs>
              <w:tab w:val="left" w:pos="800" w:leader="none"/>
              <w:tab w:val="right" w:pos="8777" w:leader="none"/>
            </w:tabs>
            <w:rPr>
              <w:caps w:val="false"/>
              <w:smallCaps w:val="false"/>
              <w:sz w:val="24"/>
              <w:szCs w:val="24"/>
              <w:lang w:val="en-US" w:eastAsia="en-US"/>
            </w:rPr>
          </w:pPr>
          <w:hyperlink w:anchor="__RefHeading___Toc157506575">
            <w:r>
              <w:rPr>
                <w:rStyle w:val="IndexLink"/>
                <w:lang w:val="en-GB" w:eastAsia="en-US"/>
              </w:rPr>
              <w:t>17.3</w:t>
            </w:r>
            <w:r>
              <w:rPr>
                <w:rStyle w:val="IndexLink"/>
                <w:caps w:val="false"/>
                <w:smallCaps w:val="false"/>
                <w:sz w:val="24"/>
                <w:szCs w:val="24"/>
                <w:lang w:val="en-US" w:eastAsia="en-US"/>
              </w:rPr>
              <w:tab/>
            </w:r>
            <w:r>
              <w:rPr>
                <w:rStyle w:val="IndexLink"/>
                <w:lang w:val="en-GB" w:eastAsia="en-US"/>
              </w:rPr>
              <w:t>Publicity</w:t>
            </w:r>
            <w:r>
              <w:rPr>
                <w:rStyle w:val="IndexLink"/>
                <w:lang w:val="en-US" w:eastAsia="en-US"/>
              </w:rPr>
              <w:tab/>
              <w:t>66</w:t>
            </w:r>
          </w:hyperlink>
        </w:p>
        <w:p>
          <w:pPr>
            <w:pStyle w:val="TOC2"/>
            <w:tabs>
              <w:tab w:val="left" w:pos="800" w:leader="none"/>
              <w:tab w:val="right" w:pos="8777" w:leader="none"/>
            </w:tabs>
            <w:rPr>
              <w:caps w:val="false"/>
              <w:smallCaps w:val="false"/>
              <w:sz w:val="24"/>
              <w:szCs w:val="24"/>
              <w:lang w:val="en-US" w:eastAsia="en-US"/>
            </w:rPr>
          </w:pPr>
          <w:hyperlink w:anchor="__RefHeading___Toc157506576">
            <w:r>
              <w:rPr>
                <w:rStyle w:val="IndexLink"/>
                <w:lang w:val="en-GB" w:eastAsia="en-US"/>
              </w:rPr>
              <w:t>17.4</w:t>
            </w:r>
            <w:r>
              <w:rPr>
                <w:rStyle w:val="IndexLink"/>
                <w:caps w:val="false"/>
                <w:smallCaps w:val="false"/>
                <w:sz w:val="24"/>
                <w:szCs w:val="24"/>
                <w:lang w:val="en-US" w:eastAsia="en-US"/>
              </w:rPr>
              <w:tab/>
            </w:r>
            <w:r>
              <w:rPr>
                <w:rStyle w:val="IndexLink"/>
                <w:lang w:val="en-GB" w:eastAsia="en-US"/>
              </w:rPr>
              <w:t>Liens</w:t>
            </w:r>
            <w:r>
              <w:rPr>
                <w:rStyle w:val="IndexLink"/>
                <w:lang w:val="en-US" w:eastAsia="en-US"/>
              </w:rPr>
              <w:tab/>
              <w:t>66</w:t>
            </w:r>
          </w:hyperlink>
        </w:p>
        <w:p>
          <w:pPr>
            <w:pStyle w:val="TOC2"/>
            <w:tabs>
              <w:tab w:val="left" w:pos="800" w:leader="none"/>
              <w:tab w:val="right" w:pos="8777" w:leader="none"/>
            </w:tabs>
            <w:rPr>
              <w:caps w:val="false"/>
              <w:smallCaps w:val="false"/>
              <w:sz w:val="24"/>
              <w:szCs w:val="24"/>
              <w:lang w:val="en-US" w:eastAsia="en-US"/>
            </w:rPr>
          </w:pPr>
          <w:hyperlink w:anchor="__RefHeading___Toc157506577">
            <w:r>
              <w:rPr>
                <w:rStyle w:val="IndexLink"/>
                <w:lang w:val="en-GB" w:eastAsia="en-US"/>
              </w:rPr>
              <w:t>17.5</w:t>
            </w:r>
            <w:r>
              <w:rPr>
                <w:rStyle w:val="IndexLink"/>
                <w:caps w:val="false"/>
                <w:smallCaps w:val="false"/>
                <w:sz w:val="24"/>
                <w:szCs w:val="24"/>
                <w:lang w:val="en-US" w:eastAsia="en-US"/>
              </w:rPr>
              <w:tab/>
            </w:r>
            <w:r>
              <w:rPr>
                <w:rStyle w:val="IndexLink"/>
                <w:lang w:val="en-GB" w:eastAsia="en-US"/>
              </w:rPr>
              <w:t>Escrow</w:t>
            </w:r>
            <w:r>
              <w:rPr>
                <w:rStyle w:val="IndexLink"/>
                <w:lang w:val="en-US" w:eastAsia="en-US"/>
              </w:rPr>
              <w:tab/>
              <w:t>66</w:t>
            </w:r>
          </w:hyperlink>
        </w:p>
        <w:p>
          <w:pPr>
            <w:pStyle w:val="TOC2"/>
            <w:tabs>
              <w:tab w:val="left" w:pos="800" w:leader="none"/>
              <w:tab w:val="right" w:pos="8777" w:leader="none"/>
            </w:tabs>
            <w:rPr>
              <w:caps w:val="false"/>
              <w:smallCaps w:val="false"/>
              <w:sz w:val="24"/>
              <w:szCs w:val="24"/>
              <w:lang w:val="en-US" w:eastAsia="en-US"/>
            </w:rPr>
          </w:pPr>
          <w:hyperlink w:anchor="__RefHeading___Toc157506578">
            <w:r>
              <w:rPr>
                <w:rStyle w:val="IndexLink"/>
                <w:lang w:val="en-GB" w:eastAsia="en-US"/>
              </w:rPr>
              <w:t>17.6</w:t>
            </w:r>
            <w:r>
              <w:rPr>
                <w:rStyle w:val="IndexLink"/>
                <w:caps w:val="false"/>
                <w:smallCaps w:val="false"/>
                <w:sz w:val="24"/>
                <w:szCs w:val="24"/>
                <w:lang w:val="en-US" w:eastAsia="en-US"/>
              </w:rPr>
              <w:tab/>
            </w:r>
            <w:r>
              <w:rPr>
                <w:rStyle w:val="IndexLink"/>
                <w:lang w:val="en-GB" w:eastAsia="en-US"/>
              </w:rPr>
              <w:t>Labor Laws and Prison Labor</w:t>
            </w:r>
            <w:r>
              <w:rPr>
                <w:rStyle w:val="IndexLink"/>
                <w:lang w:val="en-US" w:eastAsia="en-US"/>
              </w:rPr>
              <w:tab/>
              <w:t>67</w:t>
            </w:r>
          </w:hyperlink>
        </w:p>
        <w:p>
          <w:pPr>
            <w:pStyle w:val="TOC2"/>
            <w:tabs>
              <w:tab w:val="left" w:pos="800" w:leader="none"/>
              <w:tab w:val="right" w:pos="8777" w:leader="none"/>
            </w:tabs>
            <w:rPr>
              <w:caps w:val="false"/>
              <w:smallCaps w:val="false"/>
              <w:sz w:val="24"/>
              <w:szCs w:val="24"/>
              <w:lang w:val="en-US" w:eastAsia="en-US"/>
            </w:rPr>
          </w:pPr>
          <w:hyperlink w:anchor="__RefHeading___Toc157506579">
            <w:r>
              <w:rPr>
                <w:rStyle w:val="IndexLink"/>
                <w:lang w:val="en-GB" w:eastAsia="en-US"/>
              </w:rPr>
              <w:t>17.7</w:t>
            </w:r>
            <w:r>
              <w:rPr>
                <w:rStyle w:val="IndexLink"/>
                <w:caps w:val="false"/>
                <w:smallCaps w:val="false"/>
                <w:sz w:val="24"/>
                <w:szCs w:val="24"/>
                <w:lang w:val="en-US" w:eastAsia="en-US"/>
              </w:rPr>
              <w:tab/>
            </w:r>
            <w:r>
              <w:rPr>
                <w:rStyle w:val="IndexLink"/>
                <w:lang w:val="en-GB" w:eastAsia="en-US"/>
              </w:rPr>
              <w:t>No Association</w:t>
            </w:r>
            <w:r>
              <w:rPr>
                <w:rStyle w:val="IndexLink"/>
                <w:lang w:val="en-US" w:eastAsia="en-US"/>
              </w:rPr>
              <w:tab/>
              <w:t>67</w:t>
            </w:r>
          </w:hyperlink>
        </w:p>
        <w:p>
          <w:pPr>
            <w:pStyle w:val="TOC2"/>
            <w:tabs>
              <w:tab w:val="left" w:pos="800" w:leader="none"/>
              <w:tab w:val="right" w:pos="8777" w:leader="none"/>
            </w:tabs>
            <w:rPr>
              <w:caps w:val="false"/>
              <w:smallCaps w:val="false"/>
              <w:sz w:val="24"/>
              <w:szCs w:val="24"/>
              <w:lang w:val="en-US" w:eastAsia="en-US"/>
            </w:rPr>
          </w:pPr>
          <w:hyperlink w:anchor="__RefHeading___Toc157506580">
            <w:r>
              <w:rPr>
                <w:rStyle w:val="IndexLink"/>
                <w:lang w:val="en-GB" w:eastAsia="en-US"/>
              </w:rPr>
              <w:t>17.8</w:t>
            </w:r>
            <w:r>
              <w:rPr>
                <w:rStyle w:val="IndexLink"/>
                <w:caps w:val="false"/>
                <w:smallCaps w:val="false"/>
                <w:sz w:val="24"/>
                <w:szCs w:val="24"/>
                <w:lang w:val="en-US" w:eastAsia="en-US"/>
              </w:rPr>
              <w:tab/>
            </w:r>
            <w:r>
              <w:rPr>
                <w:rStyle w:val="IndexLink"/>
                <w:lang w:val="en-GB" w:eastAsia="en-US"/>
              </w:rPr>
              <w:t>Non-Waiver</w:t>
            </w:r>
            <w:r>
              <w:rPr>
                <w:rStyle w:val="IndexLink"/>
                <w:lang w:val="en-US" w:eastAsia="en-US"/>
              </w:rPr>
              <w:tab/>
              <w:t>67</w:t>
            </w:r>
          </w:hyperlink>
        </w:p>
        <w:p>
          <w:pPr>
            <w:pStyle w:val="TOC2"/>
            <w:tabs>
              <w:tab w:val="left" w:pos="800" w:leader="none"/>
              <w:tab w:val="right" w:pos="8777" w:leader="none"/>
            </w:tabs>
            <w:rPr>
              <w:caps w:val="false"/>
              <w:smallCaps w:val="false"/>
              <w:sz w:val="24"/>
              <w:szCs w:val="24"/>
              <w:lang w:val="en-US" w:eastAsia="en-US"/>
            </w:rPr>
          </w:pPr>
          <w:hyperlink w:anchor="__RefHeading___Toc157506581">
            <w:r>
              <w:rPr>
                <w:rStyle w:val="IndexLink"/>
                <w:lang w:val="en-GB" w:eastAsia="en-US"/>
              </w:rPr>
              <w:t>17.9</w:t>
            </w:r>
            <w:r>
              <w:rPr>
                <w:rStyle w:val="IndexLink"/>
                <w:caps w:val="false"/>
                <w:smallCaps w:val="false"/>
                <w:sz w:val="24"/>
                <w:szCs w:val="24"/>
                <w:lang w:val="en-US" w:eastAsia="en-US"/>
              </w:rPr>
              <w:tab/>
            </w:r>
            <w:r>
              <w:rPr>
                <w:rStyle w:val="IndexLink"/>
                <w:lang w:val="en-GB" w:eastAsia="en-US"/>
              </w:rPr>
              <w:t>Amendments and Revisions</w:t>
            </w:r>
            <w:r>
              <w:rPr>
                <w:rStyle w:val="IndexLink"/>
                <w:lang w:val="en-US" w:eastAsia="en-US"/>
              </w:rPr>
              <w:tab/>
              <w:t>68</w:t>
            </w:r>
          </w:hyperlink>
        </w:p>
        <w:p>
          <w:pPr>
            <w:pStyle w:val="TOC2"/>
            <w:tabs>
              <w:tab w:val="left" w:pos="1000" w:leader="none"/>
              <w:tab w:val="right" w:pos="8777" w:leader="none"/>
            </w:tabs>
            <w:rPr>
              <w:caps w:val="false"/>
              <w:smallCaps w:val="false"/>
              <w:sz w:val="24"/>
              <w:szCs w:val="24"/>
              <w:lang w:val="en-US" w:eastAsia="en-US"/>
            </w:rPr>
          </w:pPr>
          <w:hyperlink w:anchor="__RefHeading___Toc157506582">
            <w:r>
              <w:rPr>
                <w:rStyle w:val="IndexLink"/>
                <w:lang w:val="en-GB" w:eastAsia="en-US"/>
              </w:rPr>
              <w:t>17.10</w:t>
            </w:r>
            <w:r>
              <w:rPr>
                <w:rStyle w:val="IndexLink"/>
                <w:caps w:val="false"/>
                <w:smallCaps w:val="false"/>
                <w:sz w:val="24"/>
                <w:szCs w:val="24"/>
                <w:lang w:val="en-US" w:eastAsia="en-US"/>
              </w:rPr>
              <w:tab/>
            </w:r>
            <w:r>
              <w:rPr>
                <w:rStyle w:val="IndexLink"/>
                <w:lang w:val="en-GB" w:eastAsia="en-US"/>
              </w:rPr>
              <w:t>No Third Party Beneficiaries</w:t>
            </w:r>
            <w:r>
              <w:rPr>
                <w:rStyle w:val="IndexLink"/>
                <w:lang w:val="en-US" w:eastAsia="en-US"/>
              </w:rPr>
              <w:tab/>
              <w:t>68</w:t>
            </w:r>
          </w:hyperlink>
        </w:p>
        <w:p>
          <w:pPr>
            <w:pStyle w:val="TOC2"/>
            <w:tabs>
              <w:tab w:val="left" w:pos="1000" w:leader="none"/>
              <w:tab w:val="right" w:pos="8777" w:leader="none"/>
            </w:tabs>
            <w:rPr>
              <w:caps w:val="false"/>
              <w:smallCaps w:val="false"/>
              <w:sz w:val="24"/>
              <w:szCs w:val="24"/>
              <w:lang w:val="en-US" w:eastAsia="en-US"/>
            </w:rPr>
          </w:pPr>
          <w:hyperlink w:anchor="__RefHeading___Toc157506583">
            <w:r>
              <w:rPr>
                <w:rStyle w:val="IndexLink"/>
                <w:lang w:val="en-GB" w:eastAsia="en-US"/>
              </w:rPr>
              <w:t>17.11</w:t>
            </w:r>
            <w:r>
              <w:rPr>
                <w:rStyle w:val="IndexLink"/>
                <w:caps w:val="false"/>
                <w:smallCaps w:val="false"/>
                <w:sz w:val="24"/>
                <w:szCs w:val="24"/>
                <w:lang w:val="en-US" w:eastAsia="en-US"/>
              </w:rPr>
              <w:tab/>
            </w:r>
            <w:r>
              <w:rPr>
                <w:rStyle w:val="IndexLink"/>
                <w:lang w:val="en-GB" w:eastAsia="en-US"/>
              </w:rPr>
              <w:t>Principles of Co-operation</w:t>
            </w:r>
            <w:r>
              <w:rPr>
                <w:rStyle w:val="IndexLink"/>
                <w:lang w:val="en-US" w:eastAsia="en-US"/>
              </w:rPr>
              <w:tab/>
              <w:t>68</w:t>
            </w:r>
          </w:hyperlink>
        </w:p>
        <w:p>
          <w:pPr>
            <w:pStyle w:val="TOC2"/>
            <w:tabs>
              <w:tab w:val="left" w:pos="1000" w:leader="none"/>
              <w:tab w:val="right" w:pos="8777" w:leader="none"/>
            </w:tabs>
            <w:rPr>
              <w:caps w:val="false"/>
              <w:smallCaps w:val="false"/>
              <w:sz w:val="24"/>
              <w:szCs w:val="24"/>
              <w:lang w:val="en-US" w:eastAsia="en-US"/>
            </w:rPr>
          </w:pPr>
          <w:hyperlink w:anchor="__RefHeading___Toc157506584">
            <w:r>
              <w:rPr>
                <w:rStyle w:val="IndexLink"/>
                <w:lang w:val="en-GB" w:eastAsia="en-US"/>
              </w:rPr>
              <w:t>17.12</w:t>
            </w:r>
            <w:r>
              <w:rPr>
                <w:rStyle w:val="IndexLink"/>
                <w:caps w:val="false"/>
                <w:smallCaps w:val="false"/>
                <w:sz w:val="24"/>
                <w:szCs w:val="24"/>
                <w:lang w:val="en-US" w:eastAsia="en-US"/>
              </w:rPr>
              <w:tab/>
            </w:r>
            <w:r>
              <w:rPr>
                <w:rStyle w:val="IndexLink"/>
                <w:lang w:val="en-GB" w:eastAsia="en-US"/>
              </w:rPr>
              <w:t>Notice</w:t>
            </w:r>
            <w:r>
              <w:rPr>
                <w:rStyle w:val="IndexLink"/>
                <w:lang w:val="en-US" w:eastAsia="en-US"/>
              </w:rPr>
              <w:tab/>
              <w:t>68</w:t>
            </w:r>
          </w:hyperlink>
        </w:p>
        <w:p>
          <w:pPr>
            <w:pStyle w:val="TOC2"/>
            <w:tabs>
              <w:tab w:val="left" w:pos="1000" w:leader="none"/>
              <w:tab w:val="right" w:pos="8777" w:leader="none"/>
            </w:tabs>
            <w:rPr>
              <w:caps w:val="false"/>
              <w:smallCaps w:val="false"/>
              <w:sz w:val="24"/>
              <w:szCs w:val="24"/>
              <w:lang w:val="en-US" w:eastAsia="en-US"/>
            </w:rPr>
          </w:pPr>
          <w:hyperlink w:anchor="__RefHeading___Toc157506585">
            <w:r>
              <w:rPr>
                <w:rStyle w:val="IndexLink"/>
                <w:lang w:val="en-GB" w:eastAsia="en-US"/>
              </w:rPr>
              <w:t>17.13</w:t>
            </w:r>
            <w:r>
              <w:rPr>
                <w:rStyle w:val="IndexLink"/>
                <w:caps w:val="false"/>
                <w:smallCaps w:val="false"/>
                <w:sz w:val="24"/>
                <w:szCs w:val="24"/>
                <w:lang w:val="en-US" w:eastAsia="en-US"/>
              </w:rPr>
              <w:tab/>
            </w:r>
            <w:r>
              <w:rPr>
                <w:rStyle w:val="IndexLink"/>
                <w:lang w:val="en-GB" w:eastAsia="en-US"/>
              </w:rPr>
              <w:t>Cost and Fees</w:t>
            </w:r>
            <w:r>
              <w:rPr>
                <w:rStyle w:val="IndexLink"/>
                <w:lang w:val="en-US" w:eastAsia="en-US"/>
              </w:rPr>
              <w:tab/>
              <w:t>69</w:t>
            </w:r>
          </w:hyperlink>
        </w:p>
        <w:p>
          <w:pPr>
            <w:pStyle w:val="TOC2"/>
            <w:tabs>
              <w:tab w:val="left" w:pos="1000" w:leader="none"/>
              <w:tab w:val="right" w:pos="8777" w:leader="none"/>
            </w:tabs>
            <w:rPr>
              <w:caps w:val="false"/>
              <w:smallCaps w:val="false"/>
              <w:sz w:val="24"/>
              <w:szCs w:val="24"/>
              <w:lang w:val="en-US" w:eastAsia="en-US"/>
            </w:rPr>
          </w:pPr>
          <w:hyperlink w:anchor="__RefHeading___Toc157506586">
            <w:r>
              <w:rPr>
                <w:rStyle w:val="IndexLink"/>
                <w:lang w:val="en-GB" w:eastAsia="en-US"/>
              </w:rPr>
              <w:t>17.14</w:t>
            </w:r>
            <w:r>
              <w:rPr>
                <w:rStyle w:val="IndexLink"/>
                <w:caps w:val="false"/>
                <w:smallCaps w:val="false"/>
                <w:sz w:val="24"/>
                <w:szCs w:val="24"/>
                <w:lang w:val="en-US" w:eastAsia="en-US"/>
              </w:rPr>
              <w:tab/>
            </w:r>
            <w:r>
              <w:rPr>
                <w:rStyle w:val="IndexLink"/>
                <w:lang w:val="en-GB" w:eastAsia="en-US"/>
              </w:rPr>
              <w:t>Survival of Obligations</w:t>
            </w:r>
            <w:r>
              <w:rPr>
                <w:rStyle w:val="IndexLink"/>
                <w:lang w:val="en-US" w:eastAsia="en-US"/>
              </w:rPr>
              <w:tab/>
              <w:t>69</w:t>
            </w:r>
          </w:hyperlink>
        </w:p>
        <w:p>
          <w:pPr>
            <w:pStyle w:val="TOC2"/>
            <w:tabs>
              <w:tab w:val="left" w:pos="1000" w:leader="none"/>
              <w:tab w:val="right" w:pos="8777" w:leader="none"/>
            </w:tabs>
            <w:rPr>
              <w:sz w:val="24"/>
              <w:szCs w:val="24"/>
              <w:lang w:val="en-US" w:eastAsia="en-US"/>
            </w:rPr>
          </w:pPr>
          <w:hyperlink w:anchor="__RefHeading___Toc157506587">
            <w:r>
              <w:rPr>
                <w:rStyle w:val="IndexLink"/>
                <w:caps w:val="false"/>
                <w:smallCaps w:val="false"/>
                <w:lang w:val="en-GB" w:eastAsia="en-US"/>
              </w:rPr>
              <w:t>17.15</w:t>
            </w:r>
            <w:r>
              <w:rPr>
                <w:rStyle w:val="IndexLink"/>
                <w:caps w:val="false"/>
                <w:smallCaps w:val="false"/>
                <w:sz w:val="24"/>
                <w:szCs w:val="24"/>
                <w:lang w:val="en-US" w:eastAsia="en-US"/>
              </w:rPr>
              <w:tab/>
            </w:r>
            <w:r>
              <w:rPr>
                <w:rStyle w:val="IndexLink"/>
                <w:caps w:val="false"/>
                <w:smallCaps w:val="false"/>
                <w:lang w:val="en-GB" w:eastAsia="en-US"/>
              </w:rPr>
              <w:t>Severability</w:t>
            </w:r>
            <w:r>
              <w:rPr>
                <w:rStyle w:val="IndexLink"/>
                <w:caps w:val="false"/>
                <w:smallCaps w:val="false"/>
                <w:lang w:val="en-US" w:eastAsia="en-US"/>
              </w:rPr>
              <w:tab/>
              <w:t>69</w:t>
            </w:r>
          </w:hyperlink>
          <w:r>
            <w:rPr>
              <w:rStyle w:val="IndexLink"/>
              <w:smallCaps w:val="false"/>
              <w:caps w:val="false"/>
              <w:lang w:val="en-US" w:eastAsia="en-US"/>
            </w:rPr>
            <w:fldChar w:fldCharType="end"/>
          </w:r>
        </w:p>
      </w:sdtContent>
    </w:sdt>
    <w:p>
      <w:pPr>
        <w:pStyle w:val="Heading1"/>
        <w:numPr>
          <w:ilvl w:val="0"/>
          <w:numId w:val="0"/>
        </w:numPr>
        <w:ind w:hanging="0" w:start="0"/>
        <w:rPr>
          <w:smallCaps/>
          <w:sz w:val="24"/>
          <w:szCs w:val="24"/>
          <w:lang w:val="en-GB" w:eastAsia="en-US"/>
        </w:rPr>
      </w:pPr>
      <w:r>
        <w:rPr>
          <w:smallCaps/>
          <w:sz w:val="24"/>
          <w:szCs w:val="24"/>
          <w:lang w:val="en-GB" w:eastAsia="en-US"/>
        </w:rPr>
      </w:r>
      <w:r>
        <w:br w:type="page"/>
      </w:r>
    </w:p>
    <w:p>
      <w:pPr>
        <w:pStyle w:val="Heading1"/>
        <w:numPr>
          <w:ilvl w:val="0"/>
          <w:numId w:val="0"/>
        </w:numPr>
        <w:ind w:hanging="0" w:start="0"/>
        <w:rPr/>
      </w:pPr>
      <w:bookmarkStart w:id="2" w:name="__RefHeading___Toc157506463"/>
      <w:bookmarkEnd w:id="2"/>
      <w:r>
        <w:rPr/>
        <w:t>Exhibits</w:t>
      </w:r>
    </w:p>
    <w:tbl>
      <w:tblPr>
        <w:tblW w:w="9532" w:type="dxa"/>
        <w:jc w:val="start"/>
        <w:tblInd w:w="0" w:type="dxa"/>
        <w:tblLayout w:type="fixed"/>
        <w:tblCellMar>
          <w:top w:w="0" w:type="dxa"/>
          <w:start w:w="108" w:type="dxa"/>
          <w:bottom w:w="0" w:type="dxa"/>
          <w:end w:w="108" w:type="dxa"/>
        </w:tblCellMar>
      </w:tblPr>
      <w:tblGrid>
        <w:gridCol w:w="3936"/>
        <w:gridCol w:w="5596"/>
      </w:tblGrid>
      <w:tr>
        <w:trPr/>
        <w:tc>
          <w:tcPr>
            <w:tcW w:w="3936" w:type="dxa"/>
            <w:tcBorders/>
          </w:tcPr>
          <w:p>
            <w:pPr>
              <w:pStyle w:val="BodyText"/>
              <w:spacing w:lineRule="auto" w:line="240" w:before="120" w:after="120"/>
              <w:jc w:val="start"/>
              <w:rPr>
                <w:lang w:val="en-GB"/>
              </w:rPr>
            </w:pPr>
            <w:r>
              <w:rPr>
                <w:lang w:val="en-GB"/>
              </w:rPr>
              <w:t>Exhibit 1</w:t>
            </w:r>
          </w:p>
        </w:tc>
        <w:tc>
          <w:tcPr>
            <w:tcW w:w="5596" w:type="dxa"/>
            <w:tcBorders/>
          </w:tcPr>
          <w:p>
            <w:pPr>
              <w:pStyle w:val="BodyText"/>
              <w:spacing w:lineRule="auto" w:line="240" w:before="120" w:after="120"/>
              <w:jc w:val="start"/>
              <w:rPr>
                <w:lang w:val="en-GB"/>
              </w:rPr>
            </w:pPr>
            <w:r>
              <w:rPr>
                <w:lang w:val="en-GB"/>
              </w:rPr>
              <w:t>Definitions</w:t>
            </w:r>
          </w:p>
        </w:tc>
      </w:tr>
      <w:tr>
        <w:trPr/>
        <w:tc>
          <w:tcPr>
            <w:tcW w:w="3936" w:type="dxa"/>
            <w:tcBorders/>
          </w:tcPr>
          <w:p>
            <w:pPr>
              <w:pStyle w:val="BodyText"/>
              <w:spacing w:lineRule="auto" w:line="240" w:before="120" w:after="120"/>
              <w:jc w:val="start"/>
              <w:rPr>
                <w:lang w:val="en-GB"/>
              </w:rPr>
            </w:pPr>
            <w:r>
              <w:rPr>
                <w:lang w:val="en-GB"/>
              </w:rPr>
              <w:tab/>
              <w:tab/>
              <w:t>Attachment 1-A</w:t>
            </w:r>
          </w:p>
        </w:tc>
        <w:tc>
          <w:tcPr>
            <w:tcW w:w="5596" w:type="dxa"/>
            <w:tcBorders/>
          </w:tcPr>
          <w:p>
            <w:pPr>
              <w:pStyle w:val="BodyText"/>
              <w:spacing w:lineRule="auto" w:line="240" w:before="120" w:after="120"/>
              <w:jc w:val="start"/>
              <w:rPr>
                <w:lang w:val="en-GB"/>
              </w:rPr>
            </w:pPr>
            <w:r>
              <w:rPr>
                <w:lang w:val="en-GB"/>
              </w:rPr>
              <w:t>Common Terms and Acronyms</w:t>
            </w:r>
          </w:p>
        </w:tc>
      </w:tr>
      <w:tr>
        <w:trPr/>
        <w:tc>
          <w:tcPr>
            <w:tcW w:w="3936" w:type="dxa"/>
            <w:tcBorders/>
          </w:tcPr>
          <w:p>
            <w:pPr>
              <w:pStyle w:val="BodyText"/>
              <w:spacing w:lineRule="auto" w:line="240" w:before="120" w:after="120"/>
              <w:jc w:val="start"/>
              <w:rPr>
                <w:lang w:val="en-GB"/>
              </w:rPr>
            </w:pPr>
            <w:r>
              <w:rPr>
                <w:lang w:val="en-GB"/>
              </w:rPr>
              <w:t>Exhibit 2.0</w:t>
            </w:r>
          </w:p>
        </w:tc>
        <w:tc>
          <w:tcPr>
            <w:tcW w:w="5596" w:type="dxa"/>
            <w:tcBorders/>
          </w:tcPr>
          <w:p>
            <w:pPr>
              <w:pStyle w:val="BodyText"/>
              <w:spacing w:lineRule="auto" w:line="240" w:before="120" w:after="120"/>
              <w:jc w:val="start"/>
              <w:rPr>
                <w:lang w:val="en-GB"/>
              </w:rPr>
            </w:pPr>
            <w:r>
              <w:rPr>
                <w:lang w:val="en-GB"/>
              </w:rPr>
              <w:t>Statements of Work</w:t>
            </w:r>
          </w:p>
        </w:tc>
      </w:tr>
      <w:tr>
        <w:trPr/>
        <w:tc>
          <w:tcPr>
            <w:tcW w:w="3936" w:type="dxa"/>
            <w:tcBorders/>
          </w:tcPr>
          <w:p>
            <w:pPr>
              <w:pStyle w:val="BodyText"/>
              <w:spacing w:lineRule="auto" w:line="240" w:before="120" w:after="120"/>
              <w:jc w:val="start"/>
              <w:rPr>
                <w:lang w:val="en-GB"/>
              </w:rPr>
            </w:pPr>
            <w:r>
              <w:rPr>
                <w:lang w:val="en-GB"/>
              </w:rPr>
              <w:tab/>
              <w:t>Exhibit 2.1</w:t>
            </w:r>
          </w:p>
        </w:tc>
        <w:tc>
          <w:tcPr>
            <w:tcW w:w="5596" w:type="dxa"/>
            <w:tcBorders/>
          </w:tcPr>
          <w:p>
            <w:pPr>
              <w:pStyle w:val="BodyText"/>
              <w:spacing w:lineRule="auto" w:line="240" w:before="120" w:after="120"/>
              <w:jc w:val="start"/>
              <w:rPr/>
            </w:pPr>
            <w:r>
              <w:rPr>
                <w:lang w:val="en-GB"/>
              </w:rPr>
              <w:t>Statement of Work, Cross Functional (CF)</w:t>
            </w:r>
          </w:p>
        </w:tc>
      </w:tr>
      <w:tr>
        <w:trPr/>
        <w:tc>
          <w:tcPr>
            <w:tcW w:w="3936" w:type="dxa"/>
            <w:tcBorders/>
          </w:tcPr>
          <w:p>
            <w:pPr>
              <w:pStyle w:val="BodyText"/>
              <w:spacing w:lineRule="auto" w:line="240" w:before="120" w:after="120"/>
              <w:jc w:val="start"/>
              <w:rPr>
                <w:lang w:val="en-GB"/>
              </w:rPr>
            </w:pPr>
            <w:r>
              <w:rPr>
                <w:lang w:val="en-GB"/>
              </w:rPr>
              <w:tab/>
              <w:t>Exhibit 2.2</w:t>
            </w:r>
          </w:p>
        </w:tc>
        <w:tc>
          <w:tcPr>
            <w:tcW w:w="5596" w:type="dxa"/>
            <w:tcBorders/>
          </w:tcPr>
          <w:p>
            <w:pPr>
              <w:pStyle w:val="BodyText"/>
              <w:spacing w:lineRule="auto" w:line="240" w:before="120" w:after="120"/>
              <w:jc w:val="start"/>
              <w:rPr>
                <w:lang w:val="en-GB"/>
              </w:rPr>
            </w:pPr>
            <w:r>
              <w:rPr>
                <w:lang w:val="en-GB"/>
              </w:rPr>
              <w:t>Statement of Work General Accounting (GA)</w:t>
            </w:r>
          </w:p>
        </w:tc>
      </w:tr>
      <w:tr>
        <w:trPr/>
        <w:tc>
          <w:tcPr>
            <w:tcW w:w="3936" w:type="dxa"/>
            <w:tcBorders/>
          </w:tcPr>
          <w:p>
            <w:pPr>
              <w:pStyle w:val="BodyText"/>
              <w:spacing w:lineRule="auto" w:line="240" w:before="120" w:after="120"/>
              <w:jc w:val="start"/>
              <w:rPr>
                <w:lang w:val="en-GB"/>
              </w:rPr>
            </w:pPr>
            <w:r>
              <w:rPr>
                <w:lang w:val="en-GB"/>
              </w:rPr>
              <w:tab/>
              <w:t>Exhibit 2.3</w:t>
            </w:r>
          </w:p>
        </w:tc>
        <w:tc>
          <w:tcPr>
            <w:tcW w:w="5596" w:type="dxa"/>
            <w:tcBorders/>
          </w:tcPr>
          <w:p>
            <w:pPr>
              <w:pStyle w:val="BodyText"/>
              <w:spacing w:lineRule="auto" w:line="240" w:before="120" w:after="120"/>
              <w:jc w:val="start"/>
              <w:rPr>
                <w:lang w:val="en-GB"/>
              </w:rPr>
            </w:pPr>
            <w:r>
              <w:rPr>
                <w:lang w:val="en-GB"/>
              </w:rPr>
              <w:t>Statement of Work  Fixed Asset Management (FA)</w:t>
            </w:r>
          </w:p>
        </w:tc>
      </w:tr>
      <w:tr>
        <w:trPr/>
        <w:tc>
          <w:tcPr>
            <w:tcW w:w="3936" w:type="dxa"/>
            <w:tcBorders/>
          </w:tcPr>
          <w:p>
            <w:pPr>
              <w:pStyle w:val="BodyText"/>
              <w:spacing w:lineRule="auto" w:line="240" w:before="120" w:after="120"/>
              <w:jc w:val="start"/>
              <w:rPr>
                <w:lang w:val="en-GB"/>
              </w:rPr>
            </w:pPr>
            <w:r>
              <w:rPr>
                <w:lang w:val="en-GB"/>
              </w:rPr>
              <w:tab/>
              <w:t>Exhibit 2.4</w:t>
            </w:r>
          </w:p>
        </w:tc>
        <w:tc>
          <w:tcPr>
            <w:tcW w:w="5596" w:type="dxa"/>
            <w:tcBorders/>
          </w:tcPr>
          <w:p>
            <w:pPr>
              <w:pStyle w:val="BodyText"/>
              <w:spacing w:lineRule="auto" w:line="240" w:before="120" w:after="120"/>
              <w:jc w:val="start"/>
              <w:rPr/>
            </w:pPr>
            <w:r>
              <w:rPr>
                <w:lang w:val="en-GB"/>
              </w:rPr>
              <w:t>Statement of Work Requisition to Pay (RTP)</w:t>
            </w:r>
          </w:p>
        </w:tc>
      </w:tr>
      <w:tr>
        <w:trPr/>
        <w:tc>
          <w:tcPr>
            <w:tcW w:w="3936" w:type="dxa"/>
            <w:tcBorders/>
          </w:tcPr>
          <w:p>
            <w:pPr>
              <w:pStyle w:val="BodyText"/>
              <w:spacing w:lineRule="auto" w:line="240" w:before="120" w:after="120"/>
              <w:jc w:val="start"/>
              <w:rPr>
                <w:lang w:val="en-GB"/>
              </w:rPr>
            </w:pPr>
            <w:r>
              <w:rPr>
                <w:lang w:val="en-GB"/>
              </w:rPr>
              <w:tab/>
              <w:t>Exhibit 2.5</w:t>
            </w:r>
          </w:p>
        </w:tc>
        <w:tc>
          <w:tcPr>
            <w:tcW w:w="5596" w:type="dxa"/>
            <w:tcBorders/>
          </w:tcPr>
          <w:p>
            <w:pPr>
              <w:pStyle w:val="BodyText"/>
              <w:spacing w:lineRule="auto" w:line="240" w:before="120" w:after="120"/>
              <w:jc w:val="start"/>
              <w:rPr>
                <w:lang w:val="en-GB"/>
              </w:rPr>
            </w:pPr>
            <w:r>
              <w:rPr>
                <w:lang w:val="en-GB"/>
              </w:rPr>
              <w:t>Statement of Work Accounts Payable (AP)</w:t>
            </w:r>
          </w:p>
        </w:tc>
      </w:tr>
      <w:tr>
        <w:trPr/>
        <w:tc>
          <w:tcPr>
            <w:tcW w:w="3936" w:type="dxa"/>
            <w:tcBorders/>
          </w:tcPr>
          <w:p>
            <w:pPr>
              <w:pStyle w:val="BodyText"/>
              <w:spacing w:lineRule="auto" w:line="240" w:before="120" w:after="120"/>
              <w:jc w:val="start"/>
              <w:rPr>
                <w:lang w:val="en-GB"/>
              </w:rPr>
            </w:pPr>
            <w:r>
              <w:rPr>
                <w:lang w:val="en-GB"/>
              </w:rPr>
              <w:tab/>
              <w:t>Exhibit 2.6</w:t>
            </w:r>
          </w:p>
        </w:tc>
        <w:tc>
          <w:tcPr>
            <w:tcW w:w="5596" w:type="dxa"/>
            <w:tcBorders/>
          </w:tcPr>
          <w:p>
            <w:pPr>
              <w:pStyle w:val="BodyText"/>
              <w:spacing w:lineRule="auto" w:line="240" w:before="120" w:after="120"/>
              <w:jc w:val="start"/>
              <w:rPr>
                <w:lang w:val="en-GB"/>
              </w:rPr>
            </w:pPr>
            <w:r>
              <w:rPr>
                <w:lang w:val="en-GB"/>
              </w:rPr>
              <w:t>Statement of Work Travel &amp; Expense (T&amp;E)</w:t>
            </w:r>
          </w:p>
        </w:tc>
      </w:tr>
      <w:tr>
        <w:trPr/>
        <w:tc>
          <w:tcPr>
            <w:tcW w:w="3936" w:type="dxa"/>
            <w:tcBorders/>
          </w:tcPr>
          <w:p>
            <w:pPr>
              <w:pStyle w:val="BodyText"/>
              <w:spacing w:lineRule="auto" w:line="240" w:before="120" w:after="120"/>
              <w:jc w:val="start"/>
              <w:rPr>
                <w:lang w:val="en-GB"/>
              </w:rPr>
            </w:pPr>
            <w:r>
              <w:rPr>
                <w:lang w:val="en-GB"/>
              </w:rPr>
              <w:tab/>
              <w:t>Exhibit 2.7</w:t>
            </w:r>
          </w:p>
        </w:tc>
        <w:tc>
          <w:tcPr>
            <w:tcW w:w="5596" w:type="dxa"/>
            <w:tcBorders/>
          </w:tcPr>
          <w:p>
            <w:pPr>
              <w:pStyle w:val="BodyText"/>
              <w:spacing w:lineRule="auto" w:line="240" w:before="120" w:after="120"/>
              <w:jc w:val="start"/>
              <w:rPr>
                <w:lang w:val="en-GB"/>
              </w:rPr>
            </w:pPr>
            <w:r>
              <w:rPr>
                <w:lang w:val="en-GB"/>
              </w:rPr>
              <w:t>Statement of Work Order to Cash (OTC)</w:t>
            </w:r>
          </w:p>
        </w:tc>
      </w:tr>
      <w:tr>
        <w:trPr/>
        <w:tc>
          <w:tcPr>
            <w:tcW w:w="3936" w:type="dxa"/>
            <w:tcBorders/>
          </w:tcPr>
          <w:p>
            <w:pPr>
              <w:pStyle w:val="BodyText"/>
              <w:spacing w:lineRule="auto" w:line="240" w:before="120" w:after="120"/>
              <w:jc w:val="start"/>
              <w:rPr>
                <w:lang w:val="en-GB"/>
              </w:rPr>
            </w:pPr>
            <w:r>
              <w:rPr>
                <w:lang w:val="en-GB"/>
              </w:rPr>
              <w:tab/>
              <w:t>Exhibit 2.8</w:t>
            </w:r>
          </w:p>
        </w:tc>
        <w:tc>
          <w:tcPr>
            <w:tcW w:w="5596" w:type="dxa"/>
            <w:tcBorders/>
          </w:tcPr>
          <w:p>
            <w:pPr>
              <w:pStyle w:val="BodyText"/>
              <w:spacing w:lineRule="auto" w:line="240" w:before="120" w:after="120"/>
              <w:jc w:val="start"/>
              <w:rPr>
                <w:lang w:val="en-GB"/>
              </w:rPr>
            </w:pPr>
            <w:r>
              <w:rPr>
                <w:lang w:val="en-GB"/>
              </w:rPr>
              <w:t>Statement of Work Financial &amp; Accounting Business Process Services, GlobalPharma’s Internal Controls Compliance Support</w:t>
            </w:r>
          </w:p>
        </w:tc>
      </w:tr>
      <w:tr>
        <w:trPr/>
        <w:tc>
          <w:tcPr>
            <w:tcW w:w="3936" w:type="dxa"/>
            <w:tcBorders/>
          </w:tcPr>
          <w:p>
            <w:pPr>
              <w:pStyle w:val="BodyText"/>
              <w:spacing w:lineRule="auto" w:line="240" w:before="120" w:after="120"/>
              <w:jc w:val="start"/>
              <w:rPr>
                <w:lang w:val="en-GB"/>
              </w:rPr>
            </w:pPr>
            <w:r>
              <w:rPr>
                <w:lang w:val="en-GB"/>
              </w:rPr>
              <w:t>Exhibit 3</w:t>
              <w:tab/>
            </w:r>
          </w:p>
        </w:tc>
        <w:tc>
          <w:tcPr>
            <w:tcW w:w="5596" w:type="dxa"/>
            <w:tcBorders/>
          </w:tcPr>
          <w:p>
            <w:pPr>
              <w:pStyle w:val="BodyText"/>
              <w:spacing w:lineRule="auto" w:line="240" w:before="120" w:after="120"/>
              <w:jc w:val="start"/>
              <w:rPr>
                <w:lang w:val="en-GB"/>
              </w:rPr>
            </w:pPr>
            <w:r>
              <w:rPr>
                <w:lang w:val="en-GB"/>
              </w:rPr>
              <w:t>Service Levels</w:t>
            </w:r>
          </w:p>
        </w:tc>
      </w:tr>
      <w:tr>
        <w:trPr/>
        <w:tc>
          <w:tcPr>
            <w:tcW w:w="3936" w:type="dxa"/>
            <w:tcBorders/>
          </w:tcPr>
          <w:p>
            <w:pPr>
              <w:pStyle w:val="BodyText"/>
              <w:spacing w:lineRule="auto" w:line="240" w:before="120" w:after="120"/>
              <w:jc w:val="start"/>
              <w:rPr>
                <w:lang w:val="en-GB"/>
              </w:rPr>
            </w:pPr>
            <w:r>
              <w:rPr>
                <w:lang w:val="en-GB"/>
              </w:rPr>
              <w:tab/>
              <w:tab/>
              <w:t>Attachment 3-A</w:t>
            </w:r>
          </w:p>
        </w:tc>
        <w:tc>
          <w:tcPr>
            <w:tcW w:w="5596" w:type="dxa"/>
            <w:tcBorders/>
          </w:tcPr>
          <w:p>
            <w:pPr>
              <w:pStyle w:val="BodyText"/>
              <w:spacing w:lineRule="auto" w:line="240" w:before="120" w:after="120"/>
              <w:jc w:val="start"/>
              <w:rPr/>
            </w:pPr>
            <w:r>
              <w:rPr>
                <w:lang w:val="en-GB"/>
              </w:rPr>
              <w:t>Service Levels Matrix</w:t>
            </w:r>
          </w:p>
        </w:tc>
      </w:tr>
      <w:tr>
        <w:trPr/>
        <w:tc>
          <w:tcPr>
            <w:tcW w:w="3936" w:type="dxa"/>
            <w:tcBorders/>
          </w:tcPr>
          <w:p>
            <w:pPr>
              <w:pStyle w:val="BodyText"/>
              <w:spacing w:lineRule="auto" w:line="240" w:before="120" w:after="120"/>
              <w:jc w:val="start"/>
              <w:rPr>
                <w:lang w:val="en-GB"/>
              </w:rPr>
            </w:pPr>
            <w:r>
              <w:rPr>
                <w:lang w:val="en-GB"/>
              </w:rPr>
              <w:tab/>
              <w:tab/>
              <w:t>Attachment 3-B</w:t>
            </w:r>
          </w:p>
        </w:tc>
        <w:tc>
          <w:tcPr>
            <w:tcW w:w="5596" w:type="dxa"/>
            <w:tcBorders/>
          </w:tcPr>
          <w:p>
            <w:pPr>
              <w:pStyle w:val="BodyText"/>
              <w:spacing w:lineRule="auto" w:line="240" w:before="120" w:after="120"/>
              <w:jc w:val="start"/>
              <w:rPr>
                <w:lang w:val="en-GB"/>
              </w:rPr>
            </w:pPr>
            <w:r>
              <w:rPr>
                <w:lang w:val="en-GB"/>
              </w:rPr>
              <w:t xml:space="preserve">Detailed Description of Critical Services and Key Measurements </w:t>
            </w:r>
          </w:p>
        </w:tc>
      </w:tr>
      <w:tr>
        <w:trPr/>
        <w:tc>
          <w:tcPr>
            <w:tcW w:w="3936" w:type="dxa"/>
            <w:tcBorders/>
          </w:tcPr>
          <w:p>
            <w:pPr>
              <w:pStyle w:val="BodyText"/>
              <w:spacing w:lineRule="auto" w:line="240" w:before="120" w:after="120"/>
              <w:jc w:val="start"/>
              <w:rPr>
                <w:lang w:val="en-GB"/>
              </w:rPr>
            </w:pPr>
            <w:r>
              <w:rPr>
                <w:lang w:val="en-GB"/>
              </w:rPr>
              <w:tab/>
              <w:tab/>
              <w:t>Attachment 3-C</w:t>
            </w:r>
          </w:p>
        </w:tc>
        <w:tc>
          <w:tcPr>
            <w:tcW w:w="5596" w:type="dxa"/>
            <w:tcBorders/>
          </w:tcPr>
          <w:p>
            <w:pPr>
              <w:pStyle w:val="BodyText"/>
              <w:spacing w:lineRule="auto" w:line="240" w:before="120" w:after="120"/>
              <w:jc w:val="start"/>
              <w:rPr>
                <w:lang w:val="en-GB"/>
              </w:rPr>
            </w:pPr>
            <w:r>
              <w:rPr>
                <w:lang w:val="en-GB"/>
              </w:rPr>
              <w:t>Detailed Description of One Time Critical Deliverables</w:t>
            </w:r>
          </w:p>
        </w:tc>
      </w:tr>
      <w:tr>
        <w:trPr/>
        <w:tc>
          <w:tcPr>
            <w:tcW w:w="3936" w:type="dxa"/>
            <w:tcBorders/>
          </w:tcPr>
          <w:p>
            <w:pPr>
              <w:pStyle w:val="BodyText"/>
              <w:spacing w:lineRule="auto" w:line="240" w:before="120" w:after="120"/>
              <w:jc w:val="start"/>
              <w:rPr>
                <w:lang w:val="en-GB"/>
              </w:rPr>
            </w:pPr>
            <w:r>
              <w:rPr>
                <w:lang w:val="en-GB"/>
              </w:rPr>
              <w:tab/>
              <w:tab/>
              <w:t>Attachment 3-D</w:t>
            </w:r>
          </w:p>
        </w:tc>
        <w:tc>
          <w:tcPr>
            <w:tcW w:w="5596" w:type="dxa"/>
            <w:tcBorders/>
          </w:tcPr>
          <w:p>
            <w:pPr>
              <w:pStyle w:val="BodyText"/>
              <w:spacing w:lineRule="auto" w:line="240" w:before="120" w:after="120"/>
              <w:jc w:val="start"/>
              <w:rPr>
                <w:lang w:val="en-GB"/>
              </w:rPr>
            </w:pPr>
            <w:r>
              <w:rPr>
                <w:lang w:val="en-GB"/>
              </w:rPr>
              <w:t>Service Levels Outcome Examples</w:t>
            </w:r>
          </w:p>
        </w:tc>
      </w:tr>
      <w:tr>
        <w:trPr/>
        <w:tc>
          <w:tcPr>
            <w:tcW w:w="3936" w:type="dxa"/>
            <w:tcBorders/>
          </w:tcPr>
          <w:p>
            <w:pPr>
              <w:pStyle w:val="BodyText"/>
              <w:spacing w:lineRule="auto" w:line="240" w:before="120" w:after="120"/>
              <w:jc w:val="start"/>
              <w:rPr>
                <w:lang w:val="en-GB"/>
              </w:rPr>
            </w:pPr>
            <w:r>
              <w:rPr>
                <w:lang w:val="en-GB"/>
              </w:rPr>
              <w:tab/>
              <w:tab/>
              <w:t>Attachment 3-E</w:t>
            </w:r>
          </w:p>
        </w:tc>
        <w:tc>
          <w:tcPr>
            <w:tcW w:w="5596" w:type="dxa"/>
            <w:tcBorders/>
          </w:tcPr>
          <w:p>
            <w:pPr>
              <w:pStyle w:val="BodyText"/>
              <w:spacing w:lineRule="auto" w:line="240" w:before="120" w:after="120"/>
              <w:jc w:val="start"/>
              <w:rPr>
                <w:lang w:val="en-GB"/>
              </w:rPr>
            </w:pPr>
            <w:r>
              <w:rPr>
                <w:lang w:val="en-GB"/>
              </w:rPr>
              <w:t>(no such Attachment)</w:t>
            </w:r>
          </w:p>
        </w:tc>
      </w:tr>
      <w:tr>
        <w:trPr/>
        <w:tc>
          <w:tcPr>
            <w:tcW w:w="3936" w:type="dxa"/>
            <w:tcBorders/>
          </w:tcPr>
          <w:p>
            <w:pPr>
              <w:pStyle w:val="BodyText"/>
              <w:spacing w:lineRule="auto" w:line="240" w:before="120" w:after="120"/>
              <w:jc w:val="start"/>
              <w:rPr>
                <w:lang w:val="en-GB"/>
              </w:rPr>
            </w:pPr>
            <w:r>
              <w:rPr>
                <w:lang w:val="en-GB"/>
              </w:rPr>
              <w:tab/>
              <w:tab/>
              <w:t>Attachment 3-F</w:t>
            </w:r>
          </w:p>
        </w:tc>
        <w:tc>
          <w:tcPr>
            <w:tcW w:w="5596" w:type="dxa"/>
            <w:tcBorders/>
          </w:tcPr>
          <w:p>
            <w:pPr>
              <w:pStyle w:val="BodyText"/>
              <w:spacing w:lineRule="auto" w:line="240" w:before="120" w:after="120"/>
              <w:jc w:val="start"/>
              <w:rPr>
                <w:lang w:val="en-GB"/>
              </w:rPr>
            </w:pPr>
            <w:r>
              <w:rPr>
                <w:lang w:val="en-GB"/>
              </w:rPr>
              <w:t>Severity Levels</w:t>
            </w:r>
          </w:p>
        </w:tc>
      </w:tr>
      <w:tr>
        <w:trPr/>
        <w:tc>
          <w:tcPr>
            <w:tcW w:w="3936" w:type="dxa"/>
            <w:tcBorders/>
          </w:tcPr>
          <w:p>
            <w:pPr>
              <w:pStyle w:val="BodyText"/>
              <w:spacing w:lineRule="auto" w:line="240" w:before="120" w:after="120"/>
              <w:jc w:val="start"/>
              <w:rPr>
                <w:lang w:val="en-GB"/>
              </w:rPr>
            </w:pPr>
            <w:r>
              <w:rPr>
                <w:lang w:val="en-GB"/>
              </w:rPr>
              <w:t>Exhibit 4</w:t>
            </w:r>
          </w:p>
        </w:tc>
        <w:tc>
          <w:tcPr>
            <w:tcW w:w="5596" w:type="dxa"/>
            <w:tcBorders/>
          </w:tcPr>
          <w:p>
            <w:pPr>
              <w:pStyle w:val="BodyText"/>
              <w:spacing w:lineRule="auto" w:line="240" w:before="120" w:after="120"/>
              <w:jc w:val="start"/>
              <w:rPr>
                <w:lang w:val="en-GB"/>
              </w:rPr>
            </w:pPr>
            <w:r>
              <w:rPr>
                <w:lang w:val="en-GB"/>
              </w:rPr>
              <w:t>Pricing and Financial Provisions</w:t>
            </w:r>
          </w:p>
        </w:tc>
      </w:tr>
      <w:tr>
        <w:trPr/>
        <w:tc>
          <w:tcPr>
            <w:tcW w:w="3936" w:type="dxa"/>
            <w:tcBorders/>
          </w:tcPr>
          <w:p>
            <w:pPr>
              <w:pStyle w:val="BodyText"/>
              <w:spacing w:lineRule="auto" w:line="240" w:before="120" w:after="120"/>
              <w:jc w:val="start"/>
              <w:rPr>
                <w:lang w:val="en-GB"/>
              </w:rPr>
            </w:pPr>
            <w:r>
              <w:rPr>
                <w:lang w:val="en-GB"/>
              </w:rPr>
              <w:tab/>
              <w:t>Attachment 4-A</w:t>
            </w:r>
          </w:p>
        </w:tc>
        <w:tc>
          <w:tcPr>
            <w:tcW w:w="5596" w:type="dxa"/>
            <w:tcBorders/>
          </w:tcPr>
          <w:p>
            <w:pPr>
              <w:pStyle w:val="BodyText"/>
              <w:spacing w:lineRule="auto" w:line="240" w:before="120" w:after="120"/>
              <w:jc w:val="start"/>
              <w:rPr>
                <w:lang w:val="en-GB"/>
              </w:rPr>
            </w:pPr>
            <w:r>
              <w:rPr>
                <w:lang w:val="en-GB"/>
              </w:rPr>
              <w:t>Service Provider Pricing Forms</w:t>
            </w:r>
          </w:p>
        </w:tc>
      </w:tr>
      <w:tr>
        <w:trPr/>
        <w:tc>
          <w:tcPr>
            <w:tcW w:w="3936" w:type="dxa"/>
            <w:tcBorders/>
          </w:tcPr>
          <w:p>
            <w:pPr>
              <w:pStyle w:val="BodyText"/>
              <w:spacing w:lineRule="auto" w:line="240" w:before="120" w:after="120"/>
              <w:jc w:val="start"/>
              <w:rPr>
                <w:lang w:val="en-GB"/>
              </w:rPr>
            </w:pPr>
            <w:r>
              <w:rPr>
                <w:lang w:val="en-GB"/>
              </w:rPr>
              <w:tab/>
            </w:r>
            <w:r>
              <w:rPr>
                <w:rFonts w:cs="Arial" w:ascii="Arial" w:hAnsi="Arial"/>
                <w:lang w:val="en-US"/>
              </w:rPr>
              <w:t>Attachment 4-A(2)</w:t>
            </w:r>
          </w:p>
        </w:tc>
        <w:tc>
          <w:tcPr>
            <w:tcW w:w="5596" w:type="dxa"/>
            <w:tcBorders/>
          </w:tcPr>
          <w:p>
            <w:pPr>
              <w:pStyle w:val="BodyText"/>
              <w:spacing w:lineRule="auto" w:line="240" w:before="120" w:after="120"/>
              <w:jc w:val="start"/>
              <w:rPr>
                <w:lang w:val="en-GB"/>
              </w:rPr>
            </w:pPr>
            <w:r>
              <w:rPr>
                <w:lang w:val="en-GB"/>
              </w:rPr>
              <w:t>Pricing Forms Phase 2</w:t>
            </w:r>
          </w:p>
        </w:tc>
      </w:tr>
      <w:tr>
        <w:trPr/>
        <w:tc>
          <w:tcPr>
            <w:tcW w:w="3936" w:type="dxa"/>
            <w:tcBorders/>
          </w:tcPr>
          <w:p>
            <w:pPr>
              <w:pStyle w:val="BodyText"/>
              <w:spacing w:lineRule="auto" w:line="240" w:before="120" w:after="120"/>
              <w:jc w:val="start"/>
              <w:rPr>
                <w:lang w:val="en-GB"/>
              </w:rPr>
            </w:pPr>
            <w:r>
              <w:rPr>
                <w:lang w:val="en-GB"/>
              </w:rPr>
              <w:tab/>
              <w:t>Attachment 4-B</w:t>
            </w:r>
          </w:p>
        </w:tc>
        <w:tc>
          <w:tcPr>
            <w:tcW w:w="5596" w:type="dxa"/>
            <w:tcBorders/>
          </w:tcPr>
          <w:p>
            <w:pPr>
              <w:pStyle w:val="BodyText"/>
              <w:spacing w:lineRule="auto" w:line="240" w:before="120" w:after="120"/>
              <w:jc w:val="start"/>
              <w:rPr/>
            </w:pPr>
            <w:r>
              <w:rPr>
                <w:lang w:val="en-GB"/>
              </w:rPr>
              <w:t>Financial Responsibility Matrix</w:t>
            </w:r>
          </w:p>
        </w:tc>
      </w:tr>
      <w:tr>
        <w:trPr/>
        <w:tc>
          <w:tcPr>
            <w:tcW w:w="3936" w:type="dxa"/>
            <w:tcBorders/>
          </w:tcPr>
          <w:p>
            <w:pPr>
              <w:pStyle w:val="BodyText"/>
              <w:spacing w:lineRule="auto" w:line="240" w:before="120" w:after="120"/>
              <w:jc w:val="start"/>
              <w:rPr>
                <w:lang w:val="en-GB"/>
              </w:rPr>
            </w:pPr>
            <w:r>
              <w:rPr>
                <w:lang w:val="en-GB"/>
              </w:rPr>
              <w:tab/>
              <w:t>Attachment 4-C</w:t>
            </w:r>
          </w:p>
        </w:tc>
        <w:tc>
          <w:tcPr>
            <w:tcW w:w="5596" w:type="dxa"/>
            <w:tcBorders/>
          </w:tcPr>
          <w:p>
            <w:pPr>
              <w:pStyle w:val="BodyText"/>
              <w:spacing w:lineRule="auto" w:line="240" w:before="120" w:after="120"/>
              <w:jc w:val="start"/>
              <w:rPr>
                <w:lang w:val="en-GB"/>
              </w:rPr>
            </w:pPr>
            <w:r>
              <w:rPr>
                <w:lang w:val="en-GB"/>
              </w:rPr>
              <w:t>Financial Base Case</w:t>
            </w:r>
          </w:p>
        </w:tc>
      </w:tr>
      <w:tr>
        <w:trPr/>
        <w:tc>
          <w:tcPr>
            <w:tcW w:w="3936" w:type="dxa"/>
            <w:tcBorders/>
          </w:tcPr>
          <w:p>
            <w:pPr>
              <w:pStyle w:val="BodyText"/>
              <w:spacing w:lineRule="auto" w:line="240" w:before="120" w:after="120"/>
              <w:jc w:val="start"/>
              <w:rPr>
                <w:lang w:val="en-GB"/>
              </w:rPr>
            </w:pPr>
            <w:r>
              <w:rPr>
                <w:lang w:val="en-GB"/>
              </w:rPr>
              <w:tab/>
              <w:t>Attachment 4-D</w:t>
            </w:r>
          </w:p>
        </w:tc>
        <w:tc>
          <w:tcPr>
            <w:tcW w:w="5596" w:type="dxa"/>
            <w:tcBorders/>
          </w:tcPr>
          <w:p>
            <w:pPr>
              <w:pStyle w:val="BodyText"/>
              <w:spacing w:lineRule="auto" w:line="240" w:before="120" w:after="120"/>
              <w:jc w:val="start"/>
              <w:rPr>
                <w:lang w:val="en-GB"/>
              </w:rPr>
            </w:pPr>
            <w:r>
              <w:rPr>
                <w:lang w:val="en-GB"/>
              </w:rPr>
              <w:t>Resource Zurichine</w:t>
            </w:r>
          </w:p>
        </w:tc>
      </w:tr>
      <w:tr>
        <w:trPr/>
        <w:tc>
          <w:tcPr>
            <w:tcW w:w="3936" w:type="dxa"/>
            <w:tcBorders/>
          </w:tcPr>
          <w:p>
            <w:pPr>
              <w:pStyle w:val="BodyText"/>
              <w:spacing w:lineRule="auto" w:line="240" w:before="120" w:after="120"/>
              <w:jc w:val="start"/>
              <w:rPr>
                <w:lang w:val="en-GB"/>
              </w:rPr>
            </w:pPr>
            <w:r>
              <w:rPr>
                <w:lang w:val="en-GB"/>
              </w:rPr>
              <w:tab/>
              <w:t>Attachment 4-D-1</w:t>
            </w:r>
          </w:p>
        </w:tc>
        <w:tc>
          <w:tcPr>
            <w:tcW w:w="5596" w:type="dxa"/>
            <w:tcBorders/>
          </w:tcPr>
          <w:p>
            <w:pPr>
              <w:pStyle w:val="BodyText"/>
              <w:spacing w:lineRule="auto" w:line="240" w:before="120" w:after="120"/>
              <w:jc w:val="start"/>
              <w:rPr>
                <w:lang w:val="en-GB"/>
              </w:rPr>
            </w:pPr>
            <w:r>
              <w:rPr>
                <w:lang w:val="en-GB"/>
              </w:rPr>
              <w:t>Volumetrics</w:t>
            </w:r>
            <w:r>
              <w:rPr>
                <w:rFonts w:cs="Arial" w:ascii="Arial" w:hAnsi="Arial"/>
                <w:lang w:val="en-US"/>
              </w:rPr>
              <w:t xml:space="preserve"> </w:t>
            </w:r>
          </w:p>
        </w:tc>
      </w:tr>
      <w:tr>
        <w:trPr/>
        <w:tc>
          <w:tcPr>
            <w:tcW w:w="3936" w:type="dxa"/>
            <w:tcBorders/>
          </w:tcPr>
          <w:p>
            <w:pPr>
              <w:pStyle w:val="BodyText"/>
              <w:spacing w:lineRule="auto" w:line="240" w:before="120" w:after="120"/>
              <w:jc w:val="start"/>
              <w:rPr>
                <w:lang w:val="en-GB"/>
              </w:rPr>
            </w:pPr>
            <w:r>
              <w:rPr>
                <w:lang w:val="en-GB"/>
              </w:rPr>
              <w:tab/>
              <w:t>Attachment 4-E</w:t>
            </w:r>
          </w:p>
        </w:tc>
        <w:tc>
          <w:tcPr>
            <w:tcW w:w="5596" w:type="dxa"/>
            <w:tcBorders/>
          </w:tcPr>
          <w:p>
            <w:pPr>
              <w:pStyle w:val="BodyText"/>
              <w:spacing w:lineRule="auto" w:line="240" w:before="120" w:after="120"/>
              <w:jc w:val="start"/>
              <w:rPr>
                <w:lang w:val="en-GB"/>
              </w:rPr>
            </w:pPr>
            <w:r>
              <w:rPr>
                <w:lang w:val="en-GB"/>
              </w:rPr>
              <w:t>Project Rate Card</w:t>
            </w:r>
          </w:p>
        </w:tc>
      </w:tr>
      <w:tr>
        <w:trPr/>
        <w:tc>
          <w:tcPr>
            <w:tcW w:w="3936" w:type="dxa"/>
            <w:tcBorders/>
          </w:tcPr>
          <w:p>
            <w:pPr>
              <w:pStyle w:val="BodyText"/>
              <w:spacing w:lineRule="auto" w:line="240" w:before="120" w:after="120"/>
              <w:jc w:val="start"/>
              <w:rPr>
                <w:lang w:val="en-GB"/>
              </w:rPr>
            </w:pPr>
            <w:r>
              <w:rPr>
                <w:lang w:val="en-GB"/>
              </w:rPr>
              <w:t>Exhibit 5</w:t>
            </w:r>
          </w:p>
        </w:tc>
        <w:tc>
          <w:tcPr>
            <w:tcW w:w="5596" w:type="dxa"/>
            <w:tcBorders/>
          </w:tcPr>
          <w:p>
            <w:pPr>
              <w:pStyle w:val="BodyText"/>
              <w:spacing w:lineRule="auto" w:line="240" w:before="120" w:after="120"/>
              <w:jc w:val="start"/>
              <w:rPr>
                <w:lang w:val="en-GB"/>
              </w:rPr>
            </w:pPr>
            <w:r>
              <w:rPr>
                <w:lang w:val="en-GB"/>
              </w:rPr>
              <w:t>Human Resource Provisions</w:t>
            </w:r>
          </w:p>
        </w:tc>
      </w:tr>
      <w:tr>
        <w:trPr/>
        <w:tc>
          <w:tcPr>
            <w:tcW w:w="3936" w:type="dxa"/>
            <w:tcBorders/>
          </w:tcPr>
          <w:p>
            <w:pPr>
              <w:pStyle w:val="BodyText"/>
              <w:spacing w:lineRule="auto" w:line="240" w:before="120" w:after="120"/>
              <w:jc w:val="start"/>
              <w:rPr>
                <w:lang w:val="en-GB"/>
              </w:rPr>
            </w:pPr>
            <w:r>
              <w:rPr>
                <w:lang w:val="en-GB"/>
              </w:rPr>
              <w:t>Exhibit 6</w:t>
            </w:r>
          </w:p>
        </w:tc>
        <w:tc>
          <w:tcPr>
            <w:tcW w:w="5596" w:type="dxa"/>
            <w:tcBorders/>
          </w:tcPr>
          <w:p>
            <w:pPr>
              <w:pStyle w:val="BodyText"/>
              <w:spacing w:lineRule="auto" w:line="240" w:before="120" w:after="120"/>
              <w:jc w:val="start"/>
              <w:rPr>
                <w:lang w:val="en-GB"/>
              </w:rPr>
            </w:pPr>
            <w:r>
              <w:rPr>
                <w:lang w:val="en-GB"/>
              </w:rPr>
              <w:t>Governance Model</w:t>
            </w:r>
          </w:p>
        </w:tc>
      </w:tr>
      <w:tr>
        <w:trPr/>
        <w:tc>
          <w:tcPr>
            <w:tcW w:w="3936" w:type="dxa"/>
            <w:tcBorders/>
          </w:tcPr>
          <w:p>
            <w:pPr>
              <w:pStyle w:val="BodyText"/>
              <w:spacing w:lineRule="auto" w:line="240" w:before="120" w:after="120"/>
              <w:jc w:val="start"/>
              <w:rPr>
                <w:lang w:val="en-GB"/>
              </w:rPr>
            </w:pPr>
            <w:r>
              <w:rPr>
                <w:lang w:val="en-GB"/>
              </w:rPr>
              <w:tab/>
              <w:t>Attachment 6-A</w:t>
            </w:r>
          </w:p>
        </w:tc>
        <w:tc>
          <w:tcPr>
            <w:tcW w:w="5596" w:type="dxa"/>
            <w:tcBorders/>
          </w:tcPr>
          <w:p>
            <w:pPr>
              <w:pStyle w:val="BodyText"/>
              <w:spacing w:lineRule="auto" w:line="240" w:before="120" w:after="120"/>
              <w:jc w:val="start"/>
              <w:rPr>
                <w:lang w:val="en-GB"/>
              </w:rPr>
            </w:pPr>
            <w:r>
              <w:rPr>
                <w:lang w:val="en-GB"/>
              </w:rPr>
              <w:t>Committee Relationships and Memberships</w:t>
            </w:r>
          </w:p>
        </w:tc>
      </w:tr>
      <w:tr>
        <w:trPr/>
        <w:tc>
          <w:tcPr>
            <w:tcW w:w="3936" w:type="dxa"/>
            <w:tcBorders/>
          </w:tcPr>
          <w:p>
            <w:pPr>
              <w:pStyle w:val="BodyText"/>
              <w:spacing w:lineRule="auto" w:line="240" w:before="120" w:after="120"/>
              <w:jc w:val="start"/>
              <w:rPr>
                <w:lang w:val="en-GB"/>
              </w:rPr>
            </w:pPr>
            <w:r>
              <w:rPr>
                <w:lang w:val="en-GB"/>
              </w:rPr>
              <w:tab/>
              <w:t>Attachment 6-B</w:t>
            </w:r>
          </w:p>
        </w:tc>
        <w:tc>
          <w:tcPr>
            <w:tcW w:w="5596" w:type="dxa"/>
            <w:tcBorders/>
          </w:tcPr>
          <w:p>
            <w:pPr>
              <w:pStyle w:val="BodyText"/>
              <w:spacing w:lineRule="auto" w:line="240" w:before="120" w:after="120"/>
              <w:jc w:val="start"/>
              <w:rPr>
                <w:lang w:val="en-GB"/>
              </w:rPr>
            </w:pPr>
            <w:r>
              <w:rPr>
                <w:lang w:val="en-GB"/>
              </w:rPr>
              <w:t>Policies and Procedure Manual Content</w:t>
            </w:r>
          </w:p>
        </w:tc>
      </w:tr>
      <w:tr>
        <w:trPr/>
        <w:tc>
          <w:tcPr>
            <w:tcW w:w="3936" w:type="dxa"/>
            <w:tcBorders/>
          </w:tcPr>
          <w:p>
            <w:pPr>
              <w:pStyle w:val="BodyText"/>
              <w:spacing w:lineRule="auto" w:line="240" w:before="120" w:after="120"/>
              <w:jc w:val="start"/>
              <w:rPr>
                <w:lang w:val="en-GB"/>
              </w:rPr>
            </w:pPr>
            <w:r>
              <w:rPr>
                <w:lang w:val="en-GB"/>
              </w:rPr>
              <w:t>Exhibit 7</w:t>
            </w:r>
          </w:p>
        </w:tc>
        <w:tc>
          <w:tcPr>
            <w:tcW w:w="5596" w:type="dxa"/>
            <w:tcBorders/>
          </w:tcPr>
          <w:p>
            <w:pPr>
              <w:pStyle w:val="BodyText"/>
              <w:spacing w:lineRule="auto" w:line="240" w:before="120" w:after="120"/>
              <w:jc w:val="start"/>
              <w:rPr>
                <w:lang w:val="en-GB"/>
              </w:rPr>
            </w:pPr>
            <w:r>
              <w:rPr>
                <w:lang w:val="en-GB"/>
              </w:rPr>
              <w:t>Sites</w:t>
            </w:r>
          </w:p>
        </w:tc>
      </w:tr>
      <w:tr>
        <w:trPr/>
        <w:tc>
          <w:tcPr>
            <w:tcW w:w="3936" w:type="dxa"/>
            <w:tcBorders/>
          </w:tcPr>
          <w:p>
            <w:pPr>
              <w:pStyle w:val="BodyText"/>
              <w:spacing w:lineRule="auto" w:line="240" w:before="120" w:after="120"/>
              <w:jc w:val="start"/>
              <w:rPr>
                <w:lang w:val="en-GB"/>
              </w:rPr>
            </w:pPr>
            <w:r>
              <w:rPr>
                <w:lang w:val="en-GB"/>
              </w:rPr>
              <w:t>Exhibit 8</w:t>
            </w:r>
          </w:p>
        </w:tc>
        <w:tc>
          <w:tcPr>
            <w:tcW w:w="5596" w:type="dxa"/>
            <w:tcBorders/>
          </w:tcPr>
          <w:p>
            <w:pPr>
              <w:pStyle w:val="BodyText"/>
              <w:spacing w:lineRule="auto" w:line="240" w:before="120" w:after="120"/>
              <w:jc w:val="start"/>
              <w:rPr/>
            </w:pPr>
            <w:r>
              <w:rPr>
                <w:lang w:val="en-GB"/>
              </w:rPr>
              <w:t>Technical Architecture and Product Standards</w:t>
            </w:r>
          </w:p>
        </w:tc>
      </w:tr>
      <w:tr>
        <w:trPr/>
        <w:tc>
          <w:tcPr>
            <w:tcW w:w="3936" w:type="dxa"/>
            <w:tcBorders/>
          </w:tcPr>
          <w:p>
            <w:pPr>
              <w:pStyle w:val="BodyText"/>
              <w:spacing w:lineRule="auto" w:line="240" w:before="120" w:after="120"/>
              <w:jc w:val="start"/>
              <w:rPr>
                <w:lang w:val="en-GB"/>
              </w:rPr>
            </w:pPr>
            <w:r>
              <w:rPr>
                <w:lang w:val="en-GB"/>
              </w:rPr>
              <w:t>Exhibit 9</w:t>
            </w:r>
          </w:p>
        </w:tc>
        <w:tc>
          <w:tcPr>
            <w:tcW w:w="5596" w:type="dxa"/>
            <w:tcBorders/>
          </w:tcPr>
          <w:p>
            <w:pPr>
              <w:pStyle w:val="BodyText"/>
              <w:spacing w:lineRule="auto" w:line="240" w:before="120" w:after="120"/>
              <w:jc w:val="start"/>
              <w:rPr>
                <w:lang w:val="en-GB"/>
              </w:rPr>
            </w:pPr>
            <w:r>
              <w:rPr>
                <w:lang w:val="en-GB"/>
              </w:rPr>
              <w:t>Current and Planned Projects</w:t>
            </w:r>
          </w:p>
        </w:tc>
      </w:tr>
      <w:tr>
        <w:trPr/>
        <w:tc>
          <w:tcPr>
            <w:tcW w:w="3936" w:type="dxa"/>
            <w:tcBorders/>
          </w:tcPr>
          <w:p>
            <w:pPr>
              <w:pStyle w:val="BodyText"/>
              <w:spacing w:lineRule="auto" w:line="240" w:before="120" w:after="120"/>
              <w:jc w:val="start"/>
              <w:rPr>
                <w:lang w:val="en-GB"/>
              </w:rPr>
            </w:pPr>
            <w:r>
              <w:rPr>
                <w:lang w:val="en-GB"/>
              </w:rPr>
              <w:t>Exhibit 10</w:t>
            </w:r>
          </w:p>
        </w:tc>
        <w:tc>
          <w:tcPr>
            <w:tcW w:w="5596" w:type="dxa"/>
            <w:tcBorders/>
          </w:tcPr>
          <w:p>
            <w:pPr>
              <w:pStyle w:val="BodyText"/>
              <w:spacing w:lineRule="auto" w:line="240" w:before="120" w:after="120"/>
              <w:jc w:val="start"/>
              <w:rPr>
                <w:highlight w:val="cyan"/>
                <w:lang w:val="en-GB"/>
              </w:rPr>
            </w:pPr>
            <w:r>
              <w:rPr>
                <w:lang w:val="en-GB"/>
              </w:rPr>
              <w:t>(no such Exhibit)</w:t>
            </w:r>
          </w:p>
        </w:tc>
      </w:tr>
      <w:tr>
        <w:trPr/>
        <w:tc>
          <w:tcPr>
            <w:tcW w:w="3936" w:type="dxa"/>
            <w:tcBorders/>
          </w:tcPr>
          <w:p>
            <w:pPr>
              <w:pStyle w:val="BodyText"/>
              <w:spacing w:lineRule="auto" w:line="240" w:before="120" w:after="120"/>
              <w:jc w:val="start"/>
              <w:rPr>
                <w:lang w:val="en-GB"/>
              </w:rPr>
            </w:pPr>
            <w:r>
              <w:rPr>
                <w:lang w:val="en-GB"/>
              </w:rPr>
              <w:t>Exhibit 11</w:t>
            </w:r>
          </w:p>
        </w:tc>
        <w:tc>
          <w:tcPr>
            <w:tcW w:w="5596" w:type="dxa"/>
            <w:tcBorders/>
          </w:tcPr>
          <w:p>
            <w:pPr>
              <w:pStyle w:val="BodyText"/>
              <w:spacing w:lineRule="auto" w:line="240" w:before="120" w:after="120"/>
              <w:jc w:val="start"/>
              <w:rPr>
                <w:highlight w:val="cyan"/>
                <w:lang w:val="en-GB"/>
              </w:rPr>
            </w:pPr>
            <w:r>
              <w:rPr>
                <w:lang w:val="en-GB"/>
              </w:rPr>
              <w:t>(no such Exhibit)</w:t>
            </w:r>
          </w:p>
        </w:tc>
      </w:tr>
      <w:tr>
        <w:trPr/>
        <w:tc>
          <w:tcPr>
            <w:tcW w:w="3936" w:type="dxa"/>
            <w:tcBorders/>
          </w:tcPr>
          <w:p>
            <w:pPr>
              <w:pStyle w:val="BodyText"/>
              <w:spacing w:lineRule="auto" w:line="240" w:before="120" w:after="120"/>
              <w:jc w:val="start"/>
              <w:rPr>
                <w:lang w:val="en-GB"/>
              </w:rPr>
            </w:pPr>
            <w:r>
              <w:rPr>
                <w:lang w:val="en-GB"/>
              </w:rPr>
              <w:t>Exhibit 12</w:t>
            </w:r>
          </w:p>
        </w:tc>
        <w:tc>
          <w:tcPr>
            <w:tcW w:w="5596" w:type="dxa"/>
            <w:tcBorders/>
          </w:tcPr>
          <w:p>
            <w:pPr>
              <w:pStyle w:val="BodyText"/>
              <w:spacing w:lineRule="auto" w:line="240" w:before="120" w:after="120"/>
              <w:jc w:val="start"/>
              <w:rPr>
                <w:lang w:val="en-GB"/>
              </w:rPr>
            </w:pPr>
            <w:r>
              <w:rPr>
                <w:lang w:val="en-GB"/>
              </w:rPr>
              <w:t>Third Party Contracts</w:t>
            </w:r>
          </w:p>
        </w:tc>
      </w:tr>
      <w:tr>
        <w:trPr/>
        <w:tc>
          <w:tcPr>
            <w:tcW w:w="3936" w:type="dxa"/>
            <w:tcBorders/>
          </w:tcPr>
          <w:p>
            <w:pPr>
              <w:pStyle w:val="BodyText"/>
              <w:spacing w:lineRule="auto" w:line="240" w:before="120" w:after="120"/>
              <w:jc w:val="start"/>
              <w:rPr>
                <w:lang w:val="en-GB"/>
              </w:rPr>
            </w:pPr>
            <w:r>
              <w:rPr>
                <w:lang w:val="en-GB"/>
              </w:rPr>
              <w:tab/>
              <w:t>Attachment 12-A</w:t>
            </w:r>
          </w:p>
        </w:tc>
        <w:tc>
          <w:tcPr>
            <w:tcW w:w="5596" w:type="dxa"/>
            <w:tcBorders/>
          </w:tcPr>
          <w:p>
            <w:pPr>
              <w:pStyle w:val="BodyText"/>
              <w:spacing w:lineRule="auto" w:line="240" w:before="120" w:after="120"/>
              <w:jc w:val="start"/>
              <w:rPr>
                <w:lang w:val="en-GB"/>
              </w:rPr>
            </w:pPr>
            <w:r>
              <w:rPr>
                <w:lang w:val="en-GB"/>
              </w:rPr>
              <w:t>Third Party Software</w:t>
            </w:r>
          </w:p>
        </w:tc>
      </w:tr>
      <w:tr>
        <w:trPr/>
        <w:tc>
          <w:tcPr>
            <w:tcW w:w="3936" w:type="dxa"/>
            <w:tcBorders/>
          </w:tcPr>
          <w:p>
            <w:pPr>
              <w:pStyle w:val="BodyText"/>
              <w:spacing w:lineRule="auto" w:line="240" w:before="120" w:after="120"/>
              <w:jc w:val="start"/>
              <w:rPr>
                <w:lang w:val="en-GB"/>
              </w:rPr>
            </w:pPr>
            <w:r>
              <w:rPr>
                <w:lang w:val="en-GB"/>
              </w:rPr>
              <w:tab/>
              <w:t>Attachment 12-B</w:t>
            </w:r>
          </w:p>
        </w:tc>
        <w:tc>
          <w:tcPr>
            <w:tcW w:w="5596" w:type="dxa"/>
            <w:tcBorders/>
          </w:tcPr>
          <w:p>
            <w:pPr>
              <w:pStyle w:val="BodyText"/>
              <w:spacing w:lineRule="auto" w:line="240" w:before="120" w:after="120"/>
              <w:jc w:val="start"/>
              <w:rPr/>
            </w:pPr>
            <w:r>
              <w:rPr>
                <w:lang w:val="en-GB"/>
              </w:rPr>
              <w:t>Third Party Service Contracts</w:t>
            </w:r>
          </w:p>
        </w:tc>
      </w:tr>
      <w:tr>
        <w:trPr/>
        <w:tc>
          <w:tcPr>
            <w:tcW w:w="3936" w:type="dxa"/>
            <w:tcBorders/>
          </w:tcPr>
          <w:p>
            <w:pPr>
              <w:pStyle w:val="BodyText"/>
              <w:spacing w:lineRule="auto" w:line="240" w:before="120" w:after="120"/>
              <w:jc w:val="start"/>
              <w:rPr>
                <w:lang w:val="en-GB"/>
              </w:rPr>
            </w:pPr>
            <w:r>
              <w:rPr>
                <w:lang w:val="en-GB"/>
              </w:rPr>
              <w:t>Exhibit 13</w:t>
            </w:r>
          </w:p>
        </w:tc>
        <w:tc>
          <w:tcPr>
            <w:tcW w:w="5596" w:type="dxa"/>
            <w:tcBorders/>
          </w:tcPr>
          <w:p>
            <w:pPr>
              <w:pStyle w:val="BodyText"/>
              <w:spacing w:lineRule="auto" w:line="240" w:before="120" w:after="120"/>
              <w:jc w:val="start"/>
              <w:rPr/>
            </w:pPr>
            <w:r>
              <w:rPr>
                <w:lang w:val="en-GB"/>
              </w:rPr>
              <w:t>Statement of Work Reports</w:t>
            </w:r>
          </w:p>
        </w:tc>
      </w:tr>
      <w:tr>
        <w:trPr/>
        <w:tc>
          <w:tcPr>
            <w:tcW w:w="3936" w:type="dxa"/>
            <w:tcBorders/>
          </w:tcPr>
          <w:p>
            <w:pPr>
              <w:pStyle w:val="BodyText"/>
              <w:spacing w:lineRule="auto" w:line="240" w:before="120" w:after="120"/>
              <w:jc w:val="start"/>
              <w:rPr>
                <w:lang w:val="en-GB"/>
              </w:rPr>
            </w:pPr>
            <w:r>
              <w:rPr>
                <w:lang w:val="en-GB"/>
              </w:rPr>
              <w:tab/>
              <w:t>Attachment 13-A</w:t>
            </w:r>
          </w:p>
        </w:tc>
        <w:tc>
          <w:tcPr>
            <w:tcW w:w="5596" w:type="dxa"/>
            <w:tcBorders/>
          </w:tcPr>
          <w:p>
            <w:pPr>
              <w:pStyle w:val="BodyText"/>
              <w:spacing w:lineRule="auto" w:line="240" w:before="120" w:after="120"/>
              <w:jc w:val="start"/>
              <w:rPr>
                <w:lang w:val="en-GB"/>
              </w:rPr>
            </w:pPr>
            <w:r>
              <w:rPr>
                <w:lang w:val="en-GB"/>
              </w:rPr>
              <w:t>Reports</w:t>
            </w:r>
          </w:p>
        </w:tc>
      </w:tr>
      <w:tr>
        <w:trPr/>
        <w:tc>
          <w:tcPr>
            <w:tcW w:w="3936" w:type="dxa"/>
            <w:tcBorders/>
          </w:tcPr>
          <w:p>
            <w:pPr>
              <w:pStyle w:val="BodyText"/>
              <w:spacing w:lineRule="auto" w:line="240" w:before="120" w:after="120"/>
              <w:jc w:val="start"/>
              <w:rPr>
                <w:lang w:val="en-GB"/>
              </w:rPr>
            </w:pPr>
            <w:r>
              <w:rPr>
                <w:lang w:val="en-GB"/>
              </w:rPr>
              <w:t>Exhibit 14</w:t>
            </w:r>
          </w:p>
        </w:tc>
        <w:tc>
          <w:tcPr>
            <w:tcW w:w="5596" w:type="dxa"/>
            <w:tcBorders/>
          </w:tcPr>
          <w:p>
            <w:pPr>
              <w:pStyle w:val="BodyText"/>
              <w:spacing w:lineRule="auto" w:line="240" w:before="120" w:after="120"/>
              <w:jc w:val="start"/>
              <w:rPr>
                <w:lang w:val="en-GB"/>
              </w:rPr>
            </w:pPr>
            <w:r>
              <w:rPr>
                <w:lang w:val="en-GB"/>
              </w:rPr>
              <w:t>Customer Satisfaction Surveys</w:t>
            </w:r>
          </w:p>
        </w:tc>
      </w:tr>
      <w:tr>
        <w:trPr/>
        <w:tc>
          <w:tcPr>
            <w:tcW w:w="3936" w:type="dxa"/>
            <w:tcBorders/>
          </w:tcPr>
          <w:p>
            <w:pPr>
              <w:pStyle w:val="BodyText"/>
              <w:spacing w:lineRule="auto" w:line="240" w:before="120" w:after="120"/>
              <w:jc w:val="start"/>
              <w:rPr>
                <w:lang w:val="en-GB"/>
              </w:rPr>
            </w:pPr>
            <w:r>
              <w:rPr>
                <w:lang w:val="en-GB"/>
              </w:rPr>
              <w:tab/>
              <w:t>Attachment 14-A</w:t>
            </w:r>
          </w:p>
        </w:tc>
        <w:tc>
          <w:tcPr>
            <w:tcW w:w="5596" w:type="dxa"/>
            <w:tcBorders/>
          </w:tcPr>
          <w:p>
            <w:pPr>
              <w:pStyle w:val="BodyText"/>
              <w:spacing w:lineRule="auto" w:line="240" w:before="120" w:after="120"/>
              <w:jc w:val="start"/>
              <w:rPr>
                <w:lang w:val="en-GB"/>
              </w:rPr>
            </w:pPr>
            <w:r>
              <w:rPr>
                <w:lang w:val="en-GB"/>
              </w:rPr>
              <w:t xml:space="preserve">Electronic Voice of the Customer </w:t>
            </w:r>
          </w:p>
        </w:tc>
      </w:tr>
      <w:tr>
        <w:trPr/>
        <w:tc>
          <w:tcPr>
            <w:tcW w:w="3936" w:type="dxa"/>
            <w:tcBorders/>
          </w:tcPr>
          <w:p>
            <w:pPr>
              <w:pStyle w:val="BodyText"/>
              <w:spacing w:lineRule="auto" w:line="240" w:before="120" w:after="120"/>
              <w:jc w:val="start"/>
              <w:rPr>
                <w:lang w:val="en-GB"/>
              </w:rPr>
            </w:pPr>
            <w:r>
              <w:rPr>
                <w:lang w:val="en-GB"/>
              </w:rPr>
              <w:t>Exhibit 15</w:t>
            </w:r>
          </w:p>
        </w:tc>
        <w:tc>
          <w:tcPr>
            <w:tcW w:w="5596" w:type="dxa"/>
            <w:tcBorders/>
          </w:tcPr>
          <w:p>
            <w:pPr>
              <w:pStyle w:val="BodyText"/>
              <w:spacing w:lineRule="auto" w:line="240" w:before="120" w:after="120"/>
              <w:jc w:val="start"/>
              <w:rPr>
                <w:lang w:val="en-GB"/>
              </w:rPr>
            </w:pPr>
            <w:r>
              <w:rPr>
                <w:lang w:val="en-GB"/>
              </w:rPr>
              <w:t>Business Continuity Plan</w:t>
            </w:r>
          </w:p>
        </w:tc>
      </w:tr>
      <w:tr>
        <w:trPr/>
        <w:tc>
          <w:tcPr>
            <w:tcW w:w="3936" w:type="dxa"/>
            <w:tcBorders/>
          </w:tcPr>
          <w:p>
            <w:pPr>
              <w:pStyle w:val="BodyText"/>
              <w:spacing w:lineRule="auto" w:line="240" w:before="120" w:after="120"/>
              <w:jc w:val="start"/>
              <w:rPr>
                <w:lang w:val="en-GB"/>
              </w:rPr>
            </w:pPr>
            <w:r>
              <w:rPr>
                <w:lang w:val="en-GB"/>
              </w:rPr>
              <w:t>Exhibit 16</w:t>
            </w:r>
          </w:p>
        </w:tc>
        <w:tc>
          <w:tcPr>
            <w:tcW w:w="5596" w:type="dxa"/>
            <w:tcBorders/>
          </w:tcPr>
          <w:p>
            <w:pPr>
              <w:pStyle w:val="BodyText"/>
              <w:spacing w:lineRule="auto" w:line="240" w:before="120" w:after="120"/>
              <w:jc w:val="start"/>
              <w:rPr>
                <w:lang w:val="en-GB"/>
              </w:rPr>
            </w:pPr>
            <w:r>
              <w:rPr>
                <w:lang w:val="en-GB"/>
              </w:rPr>
              <w:t>IT Disaster Recovery Plan</w:t>
            </w:r>
          </w:p>
        </w:tc>
      </w:tr>
      <w:tr>
        <w:trPr/>
        <w:tc>
          <w:tcPr>
            <w:tcW w:w="3936" w:type="dxa"/>
            <w:tcBorders/>
          </w:tcPr>
          <w:p>
            <w:pPr>
              <w:pStyle w:val="BodyText"/>
              <w:spacing w:lineRule="auto" w:line="240" w:before="120" w:after="120"/>
              <w:jc w:val="start"/>
              <w:rPr>
                <w:lang w:val="en-GB"/>
              </w:rPr>
            </w:pPr>
            <w:r>
              <w:rPr>
                <w:lang w:val="en-GB"/>
              </w:rPr>
              <w:t>Exhibit 17</w:t>
            </w:r>
          </w:p>
        </w:tc>
        <w:tc>
          <w:tcPr>
            <w:tcW w:w="5596" w:type="dxa"/>
            <w:tcBorders/>
          </w:tcPr>
          <w:p>
            <w:pPr>
              <w:pStyle w:val="BodyText"/>
              <w:spacing w:lineRule="auto" w:line="240" w:before="120" w:after="120"/>
              <w:jc w:val="start"/>
              <w:rPr>
                <w:lang w:val="en-GB"/>
              </w:rPr>
            </w:pPr>
            <w:r>
              <w:rPr>
                <w:lang w:val="en-GB"/>
              </w:rPr>
              <w:t>Safety and Security Procedures</w:t>
            </w:r>
          </w:p>
        </w:tc>
      </w:tr>
      <w:tr>
        <w:trPr/>
        <w:tc>
          <w:tcPr>
            <w:tcW w:w="3936" w:type="dxa"/>
            <w:tcBorders/>
          </w:tcPr>
          <w:p>
            <w:pPr>
              <w:pStyle w:val="BodyText"/>
              <w:spacing w:lineRule="auto" w:line="240" w:before="120" w:after="120"/>
              <w:jc w:val="start"/>
              <w:rPr>
                <w:lang w:val="en-GB"/>
              </w:rPr>
            </w:pPr>
            <w:r>
              <w:rPr>
                <w:lang w:val="en-GB"/>
              </w:rPr>
              <w:tab/>
              <w:t>Attachment 17-A</w:t>
            </w:r>
          </w:p>
        </w:tc>
        <w:tc>
          <w:tcPr>
            <w:tcW w:w="5596" w:type="dxa"/>
            <w:tcBorders/>
          </w:tcPr>
          <w:p>
            <w:pPr>
              <w:pStyle w:val="BodyText"/>
              <w:spacing w:lineRule="auto" w:line="240" w:before="120" w:after="120"/>
              <w:jc w:val="start"/>
              <w:rPr>
                <w:lang w:val="en-GB"/>
              </w:rPr>
            </w:pPr>
            <w:r>
              <w:rPr>
                <w:lang w:val="en-GB"/>
              </w:rPr>
              <w:t>Data Security</w:t>
            </w:r>
          </w:p>
        </w:tc>
      </w:tr>
      <w:tr>
        <w:trPr/>
        <w:tc>
          <w:tcPr>
            <w:tcW w:w="3936" w:type="dxa"/>
            <w:tcBorders/>
          </w:tcPr>
          <w:p>
            <w:pPr>
              <w:pStyle w:val="BodyText"/>
              <w:spacing w:lineRule="auto" w:line="240" w:before="120" w:after="120"/>
              <w:jc w:val="start"/>
              <w:rPr>
                <w:lang w:val="en-GB"/>
              </w:rPr>
            </w:pPr>
            <w:r>
              <w:rPr>
                <w:lang w:val="en-GB"/>
              </w:rPr>
              <w:tab/>
              <w:t>Attachment 17-B</w:t>
            </w:r>
          </w:p>
        </w:tc>
        <w:tc>
          <w:tcPr>
            <w:tcW w:w="5596" w:type="dxa"/>
            <w:tcBorders/>
          </w:tcPr>
          <w:p>
            <w:pPr>
              <w:pStyle w:val="BodyText"/>
              <w:spacing w:lineRule="auto" w:line="240" w:before="120" w:after="120"/>
              <w:jc w:val="start"/>
              <w:rPr>
                <w:lang w:val="en-GB"/>
              </w:rPr>
            </w:pPr>
            <w:r>
              <w:rPr>
                <w:lang w:val="en-GB"/>
              </w:rPr>
              <w:t>Physical Security</w:t>
            </w:r>
          </w:p>
        </w:tc>
      </w:tr>
      <w:tr>
        <w:trPr/>
        <w:tc>
          <w:tcPr>
            <w:tcW w:w="3936" w:type="dxa"/>
            <w:tcBorders/>
          </w:tcPr>
          <w:p>
            <w:pPr>
              <w:pStyle w:val="BodyText"/>
              <w:spacing w:lineRule="auto" w:line="240" w:before="120" w:after="120"/>
              <w:jc w:val="start"/>
              <w:rPr>
                <w:lang w:val="en-GB"/>
              </w:rPr>
            </w:pPr>
            <w:r>
              <w:rPr>
                <w:lang w:val="en-GB"/>
              </w:rPr>
              <w:t>Exhibit 18</w:t>
            </w:r>
          </w:p>
        </w:tc>
        <w:tc>
          <w:tcPr>
            <w:tcW w:w="5596" w:type="dxa"/>
            <w:tcBorders/>
          </w:tcPr>
          <w:p>
            <w:pPr>
              <w:pStyle w:val="BodyText"/>
              <w:spacing w:lineRule="auto" w:line="240" w:before="120" w:after="120"/>
              <w:jc w:val="start"/>
              <w:rPr>
                <w:lang w:val="en-GB"/>
              </w:rPr>
            </w:pPr>
            <w:r>
              <w:rPr>
                <w:lang w:val="en-GB"/>
              </w:rPr>
              <w:t>Termination Assistance</w:t>
            </w:r>
          </w:p>
        </w:tc>
      </w:tr>
      <w:tr>
        <w:trPr/>
        <w:tc>
          <w:tcPr>
            <w:tcW w:w="3936" w:type="dxa"/>
            <w:tcBorders/>
          </w:tcPr>
          <w:p>
            <w:pPr>
              <w:pStyle w:val="BodyText"/>
              <w:spacing w:lineRule="auto" w:line="240" w:before="120" w:after="120"/>
              <w:jc w:val="start"/>
              <w:rPr>
                <w:lang w:val="en-GB"/>
              </w:rPr>
            </w:pPr>
            <w:r>
              <w:rPr>
                <w:lang w:val="en-GB"/>
              </w:rPr>
              <w:t xml:space="preserve">Exhibit 19 </w:t>
            </w:r>
          </w:p>
        </w:tc>
        <w:tc>
          <w:tcPr>
            <w:tcW w:w="5596" w:type="dxa"/>
            <w:tcBorders/>
          </w:tcPr>
          <w:p>
            <w:pPr>
              <w:pStyle w:val="BodyText"/>
              <w:spacing w:lineRule="auto" w:line="240" w:before="120" w:after="120"/>
              <w:jc w:val="start"/>
              <w:rPr>
                <w:lang w:val="en-GB"/>
              </w:rPr>
            </w:pPr>
            <w:r>
              <w:rPr>
                <w:lang w:val="en-GB"/>
              </w:rPr>
              <w:t>Critical Services</w:t>
            </w:r>
          </w:p>
        </w:tc>
      </w:tr>
      <w:tr>
        <w:trPr/>
        <w:tc>
          <w:tcPr>
            <w:tcW w:w="3936" w:type="dxa"/>
            <w:tcBorders/>
          </w:tcPr>
          <w:p>
            <w:pPr>
              <w:pStyle w:val="BodyText"/>
              <w:spacing w:lineRule="auto" w:line="240" w:before="120" w:after="120"/>
              <w:jc w:val="start"/>
              <w:rPr>
                <w:lang w:val="en-GB"/>
              </w:rPr>
            </w:pPr>
            <w:r>
              <w:rPr>
                <w:lang w:val="en-GB"/>
              </w:rPr>
              <w:t>Exhibit 20</w:t>
            </w:r>
          </w:p>
        </w:tc>
        <w:tc>
          <w:tcPr>
            <w:tcW w:w="5596" w:type="dxa"/>
            <w:tcBorders/>
          </w:tcPr>
          <w:p>
            <w:pPr>
              <w:pStyle w:val="BodyText"/>
              <w:spacing w:lineRule="auto" w:line="240" w:before="120" w:after="120"/>
              <w:jc w:val="start"/>
              <w:rPr>
                <w:lang w:val="en-GB"/>
              </w:rPr>
            </w:pPr>
            <w:r>
              <w:rPr>
                <w:lang w:val="en-GB"/>
              </w:rPr>
              <w:t>Change of Control Procedures</w:t>
            </w:r>
          </w:p>
        </w:tc>
      </w:tr>
      <w:tr>
        <w:trPr/>
        <w:tc>
          <w:tcPr>
            <w:tcW w:w="3936" w:type="dxa"/>
            <w:tcBorders/>
          </w:tcPr>
          <w:p>
            <w:pPr>
              <w:pStyle w:val="BodyText"/>
              <w:spacing w:lineRule="auto" w:line="240" w:before="120" w:after="120"/>
              <w:jc w:val="start"/>
              <w:rPr>
                <w:lang w:val="en-GB"/>
              </w:rPr>
            </w:pPr>
            <w:r>
              <w:rPr>
                <w:lang w:val="en-GB"/>
              </w:rPr>
              <w:tab/>
              <w:t>Attachment 20-A</w:t>
            </w:r>
          </w:p>
        </w:tc>
        <w:tc>
          <w:tcPr>
            <w:tcW w:w="5596" w:type="dxa"/>
            <w:tcBorders/>
          </w:tcPr>
          <w:p>
            <w:pPr>
              <w:pStyle w:val="BodyText"/>
              <w:spacing w:lineRule="auto" w:line="240" w:before="120" w:after="120"/>
              <w:jc w:val="start"/>
              <w:rPr>
                <w:lang w:val="en-GB"/>
              </w:rPr>
            </w:pPr>
            <w:r>
              <w:rPr>
                <w:lang w:val="en-GB"/>
              </w:rPr>
              <w:t xml:space="preserve">Change Control Notice </w:t>
            </w:r>
          </w:p>
        </w:tc>
      </w:tr>
      <w:tr>
        <w:trPr/>
        <w:tc>
          <w:tcPr>
            <w:tcW w:w="3936" w:type="dxa"/>
            <w:tcBorders/>
          </w:tcPr>
          <w:p>
            <w:pPr>
              <w:pStyle w:val="BodyText"/>
              <w:spacing w:lineRule="auto" w:line="240" w:before="120" w:after="120"/>
              <w:jc w:val="start"/>
              <w:rPr>
                <w:lang w:val="en-GB"/>
              </w:rPr>
            </w:pPr>
            <w:r>
              <w:rPr>
                <w:lang w:val="en-GB"/>
              </w:rPr>
              <w:t>Exhibit 21</w:t>
            </w:r>
          </w:p>
        </w:tc>
        <w:tc>
          <w:tcPr>
            <w:tcW w:w="5596" w:type="dxa"/>
            <w:tcBorders/>
          </w:tcPr>
          <w:p>
            <w:pPr>
              <w:pStyle w:val="BodyText"/>
              <w:spacing w:lineRule="auto" w:line="240" w:before="120" w:after="120"/>
              <w:jc w:val="start"/>
              <w:rPr>
                <w:lang w:val="en-GB"/>
              </w:rPr>
            </w:pPr>
            <w:r>
              <w:rPr>
                <w:lang w:val="en-GB"/>
              </w:rPr>
              <w:t>Statement of Work Transition</w:t>
            </w:r>
          </w:p>
        </w:tc>
      </w:tr>
      <w:tr>
        <w:trPr/>
        <w:tc>
          <w:tcPr>
            <w:tcW w:w="3936" w:type="dxa"/>
            <w:tcBorders/>
          </w:tcPr>
          <w:p>
            <w:pPr>
              <w:pStyle w:val="BodyText"/>
              <w:spacing w:lineRule="auto" w:line="240" w:before="120" w:after="120"/>
              <w:jc w:val="start"/>
              <w:rPr>
                <w:lang w:val="en-GB"/>
              </w:rPr>
            </w:pPr>
            <w:r>
              <w:rPr>
                <w:lang w:val="en-GB"/>
              </w:rPr>
              <w:t>Exhibit 22</w:t>
            </w:r>
          </w:p>
        </w:tc>
        <w:tc>
          <w:tcPr>
            <w:tcW w:w="5596" w:type="dxa"/>
            <w:tcBorders/>
          </w:tcPr>
          <w:p>
            <w:pPr>
              <w:pStyle w:val="BodyText"/>
              <w:spacing w:lineRule="auto" w:line="240" w:before="120" w:after="120"/>
              <w:jc w:val="start"/>
              <w:rPr>
                <w:lang w:val="en-GB"/>
              </w:rPr>
            </w:pPr>
            <w:r>
              <w:rPr>
                <w:lang w:val="en-GB"/>
              </w:rPr>
              <w:t>GlobalPharma Materials</w:t>
            </w:r>
          </w:p>
        </w:tc>
      </w:tr>
      <w:tr>
        <w:trPr/>
        <w:tc>
          <w:tcPr>
            <w:tcW w:w="3936" w:type="dxa"/>
            <w:tcBorders/>
          </w:tcPr>
          <w:p>
            <w:pPr>
              <w:pStyle w:val="BodyText"/>
              <w:spacing w:lineRule="auto" w:line="240" w:before="120" w:after="120"/>
              <w:jc w:val="start"/>
              <w:rPr>
                <w:lang w:val="en-GB"/>
              </w:rPr>
            </w:pPr>
            <w:r>
              <w:rPr>
                <w:lang w:val="en-GB"/>
              </w:rPr>
              <w:t>Exhibit 23</w:t>
            </w:r>
          </w:p>
        </w:tc>
        <w:tc>
          <w:tcPr>
            <w:tcW w:w="5596" w:type="dxa"/>
            <w:tcBorders/>
          </w:tcPr>
          <w:p>
            <w:pPr>
              <w:pStyle w:val="BodyText"/>
              <w:spacing w:lineRule="auto" w:line="240" w:before="120" w:after="120"/>
              <w:jc w:val="start"/>
              <w:rPr>
                <w:lang w:val="en-GB"/>
              </w:rPr>
            </w:pPr>
            <w:r>
              <w:rPr>
                <w:lang w:val="en-GB"/>
              </w:rPr>
              <w:t>Service Provider Materials</w:t>
            </w:r>
          </w:p>
        </w:tc>
      </w:tr>
      <w:tr>
        <w:trPr/>
        <w:tc>
          <w:tcPr>
            <w:tcW w:w="3936" w:type="dxa"/>
            <w:tcBorders/>
          </w:tcPr>
          <w:p>
            <w:pPr>
              <w:pStyle w:val="BodyText"/>
              <w:spacing w:lineRule="auto" w:line="240" w:before="120" w:after="120"/>
              <w:jc w:val="start"/>
              <w:rPr>
                <w:lang w:val="en-GB"/>
              </w:rPr>
            </w:pPr>
            <w:r>
              <w:rPr>
                <w:lang w:val="en-GB"/>
              </w:rPr>
              <w:t>Exhibit 24</w:t>
            </w:r>
          </w:p>
        </w:tc>
        <w:tc>
          <w:tcPr>
            <w:tcW w:w="5596" w:type="dxa"/>
            <w:tcBorders/>
          </w:tcPr>
          <w:p>
            <w:pPr>
              <w:pStyle w:val="BodyText"/>
              <w:spacing w:lineRule="auto" w:line="240" w:before="120" w:after="120"/>
              <w:jc w:val="start"/>
              <w:rPr>
                <w:lang w:val="en-GB"/>
              </w:rPr>
            </w:pPr>
            <w:r>
              <w:rPr>
                <w:lang w:val="en-GB"/>
              </w:rPr>
              <w:t>Third Party Materials</w:t>
            </w:r>
          </w:p>
        </w:tc>
      </w:tr>
      <w:tr>
        <w:trPr/>
        <w:tc>
          <w:tcPr>
            <w:tcW w:w="3936" w:type="dxa"/>
            <w:tcBorders/>
          </w:tcPr>
          <w:p>
            <w:pPr>
              <w:pStyle w:val="BodyText"/>
              <w:spacing w:lineRule="auto" w:line="240" w:before="120" w:after="120"/>
              <w:jc w:val="start"/>
              <w:rPr>
                <w:lang w:val="en-GB"/>
              </w:rPr>
            </w:pPr>
            <w:r>
              <w:rPr>
                <w:lang w:val="en-GB"/>
              </w:rPr>
              <w:t>Exhibit 25</w:t>
            </w:r>
          </w:p>
        </w:tc>
        <w:tc>
          <w:tcPr>
            <w:tcW w:w="5596" w:type="dxa"/>
            <w:tcBorders/>
          </w:tcPr>
          <w:p>
            <w:pPr>
              <w:pStyle w:val="BodyText"/>
              <w:spacing w:lineRule="auto" w:line="240" w:before="120" w:after="120"/>
              <w:jc w:val="start"/>
              <w:rPr>
                <w:lang w:val="en-GB"/>
              </w:rPr>
            </w:pPr>
            <w:r>
              <w:rPr>
                <w:lang w:val="en-GB"/>
              </w:rPr>
              <w:t>Invoice Sample</w:t>
            </w:r>
          </w:p>
        </w:tc>
      </w:tr>
      <w:tr>
        <w:trPr/>
        <w:tc>
          <w:tcPr>
            <w:tcW w:w="3936" w:type="dxa"/>
            <w:tcBorders/>
          </w:tcPr>
          <w:p>
            <w:pPr>
              <w:pStyle w:val="BodyText"/>
              <w:spacing w:lineRule="auto" w:line="240" w:before="120" w:after="120"/>
              <w:jc w:val="start"/>
              <w:rPr>
                <w:lang w:val="en-GB"/>
              </w:rPr>
            </w:pPr>
            <w:r>
              <w:rPr>
                <w:lang w:val="en-GB"/>
              </w:rPr>
              <w:t>Exhibit 26</w:t>
            </w:r>
          </w:p>
        </w:tc>
        <w:tc>
          <w:tcPr>
            <w:tcW w:w="5596" w:type="dxa"/>
            <w:tcBorders/>
          </w:tcPr>
          <w:p>
            <w:pPr>
              <w:pStyle w:val="BodyText"/>
              <w:spacing w:lineRule="auto" w:line="240" w:before="120" w:after="120"/>
              <w:jc w:val="start"/>
              <w:rPr>
                <w:lang w:val="en-GB"/>
              </w:rPr>
            </w:pPr>
            <w:r>
              <w:rPr>
                <w:lang w:val="en-GB"/>
              </w:rPr>
              <w:t>Letter of Service Provider on Due Diligence</w:t>
            </w:r>
          </w:p>
        </w:tc>
      </w:tr>
      <w:tr>
        <w:trPr/>
        <w:tc>
          <w:tcPr>
            <w:tcW w:w="3936" w:type="dxa"/>
            <w:tcBorders/>
          </w:tcPr>
          <w:p>
            <w:pPr>
              <w:pStyle w:val="BodyText"/>
              <w:spacing w:lineRule="auto" w:line="240" w:before="120" w:after="120"/>
              <w:jc w:val="start"/>
              <w:rPr>
                <w:lang w:val="en-GB"/>
              </w:rPr>
            </w:pPr>
            <w:r>
              <w:rPr>
                <w:lang w:val="en-GB"/>
              </w:rPr>
              <w:t>Exhibit 27</w:t>
            </w:r>
          </w:p>
        </w:tc>
        <w:tc>
          <w:tcPr>
            <w:tcW w:w="5596" w:type="dxa"/>
            <w:tcBorders/>
          </w:tcPr>
          <w:p>
            <w:pPr>
              <w:pStyle w:val="BodyText"/>
              <w:spacing w:lineRule="auto" w:line="240" w:before="120" w:after="120"/>
              <w:jc w:val="start"/>
              <w:rPr>
                <w:lang w:val="en-GB"/>
              </w:rPr>
            </w:pPr>
            <w:r>
              <w:rPr>
                <w:lang w:val="en-GB"/>
              </w:rPr>
              <w:t>Letter of GlobalPharma on Due Diligence</w:t>
            </w:r>
          </w:p>
        </w:tc>
      </w:tr>
      <w:tr>
        <w:trPr/>
        <w:tc>
          <w:tcPr>
            <w:tcW w:w="3936" w:type="dxa"/>
            <w:tcBorders/>
          </w:tcPr>
          <w:p>
            <w:pPr>
              <w:pStyle w:val="BodyText"/>
              <w:spacing w:lineRule="auto" w:line="240" w:before="120" w:after="120"/>
              <w:jc w:val="start"/>
              <w:rPr>
                <w:lang w:val="en-GB"/>
              </w:rPr>
            </w:pPr>
            <w:r>
              <w:rPr>
                <w:lang w:val="en-GB"/>
              </w:rPr>
              <w:t>Exhibit 28</w:t>
            </w:r>
          </w:p>
        </w:tc>
        <w:tc>
          <w:tcPr>
            <w:tcW w:w="5596" w:type="dxa"/>
            <w:tcBorders/>
          </w:tcPr>
          <w:p>
            <w:pPr>
              <w:pStyle w:val="BodyText"/>
              <w:spacing w:lineRule="auto" w:line="240" w:before="120" w:after="120"/>
              <w:jc w:val="start"/>
              <w:rPr>
                <w:lang w:val="en-GB"/>
              </w:rPr>
            </w:pPr>
            <w:r>
              <w:rPr>
                <w:lang w:val="en-GB"/>
              </w:rPr>
              <w:t>Insurance</w:t>
            </w:r>
          </w:p>
        </w:tc>
      </w:tr>
      <w:tr>
        <w:trPr/>
        <w:tc>
          <w:tcPr>
            <w:tcW w:w="3936" w:type="dxa"/>
            <w:tcBorders/>
          </w:tcPr>
          <w:p>
            <w:pPr>
              <w:pStyle w:val="BodyText"/>
              <w:spacing w:lineRule="auto" w:line="240" w:before="120" w:after="120"/>
              <w:jc w:val="start"/>
              <w:rPr>
                <w:lang w:val="en-GB"/>
              </w:rPr>
            </w:pPr>
            <w:r>
              <w:rPr>
                <w:lang w:val="en-GB"/>
              </w:rPr>
              <w:t>Exhibit 29</w:t>
            </w:r>
          </w:p>
        </w:tc>
        <w:tc>
          <w:tcPr>
            <w:tcW w:w="5596" w:type="dxa"/>
            <w:tcBorders/>
          </w:tcPr>
          <w:p>
            <w:pPr>
              <w:pStyle w:val="BodyText"/>
              <w:spacing w:lineRule="auto" w:line="240" w:before="120" w:after="120"/>
              <w:jc w:val="start"/>
              <w:rPr/>
            </w:pPr>
            <w:r>
              <w:rPr>
                <w:lang w:val="en-GB"/>
              </w:rPr>
              <w:t>Parent Company Guarantee</w:t>
            </w:r>
          </w:p>
        </w:tc>
      </w:tr>
      <w:tr>
        <w:trPr/>
        <w:tc>
          <w:tcPr>
            <w:tcW w:w="3936" w:type="dxa"/>
            <w:tcBorders/>
          </w:tcPr>
          <w:p>
            <w:pPr>
              <w:pStyle w:val="BodyText"/>
              <w:spacing w:lineRule="auto" w:line="240" w:before="120" w:after="120"/>
              <w:jc w:val="start"/>
              <w:rPr>
                <w:lang w:val="en-GB"/>
              </w:rPr>
            </w:pPr>
            <w:r>
              <w:rPr>
                <w:lang w:val="en-GB"/>
              </w:rPr>
              <w:t>Exhibit 30</w:t>
            </w:r>
          </w:p>
        </w:tc>
        <w:tc>
          <w:tcPr>
            <w:tcW w:w="5596" w:type="dxa"/>
            <w:tcBorders/>
          </w:tcPr>
          <w:p>
            <w:pPr>
              <w:pStyle w:val="BodyText"/>
              <w:spacing w:lineRule="auto" w:line="240" w:before="120" w:after="120"/>
              <w:jc w:val="start"/>
              <w:rPr>
                <w:lang w:val="en-GB"/>
              </w:rPr>
            </w:pPr>
            <w:r>
              <w:rPr>
                <w:lang w:val="en-GB"/>
              </w:rPr>
              <w:t>Service Provider’s Key Personnel</w:t>
            </w:r>
          </w:p>
        </w:tc>
      </w:tr>
      <w:tr>
        <w:trPr/>
        <w:tc>
          <w:tcPr>
            <w:tcW w:w="3936" w:type="dxa"/>
            <w:tcBorders/>
          </w:tcPr>
          <w:p>
            <w:pPr>
              <w:pStyle w:val="BodyText"/>
              <w:spacing w:lineRule="auto" w:line="240" w:before="120" w:after="120"/>
              <w:jc w:val="start"/>
              <w:rPr>
                <w:lang w:val="en-GB"/>
              </w:rPr>
            </w:pPr>
            <w:r>
              <w:rPr>
                <w:lang w:val="en-GB"/>
              </w:rPr>
              <w:t>Exhibit 31</w:t>
            </w:r>
          </w:p>
        </w:tc>
        <w:tc>
          <w:tcPr>
            <w:tcW w:w="5596" w:type="dxa"/>
            <w:tcBorders/>
          </w:tcPr>
          <w:p>
            <w:pPr>
              <w:pStyle w:val="BodyText"/>
              <w:spacing w:lineRule="auto" w:line="240" w:before="120" w:after="120"/>
              <w:jc w:val="start"/>
              <w:rPr>
                <w:lang w:val="en-GB"/>
              </w:rPr>
            </w:pPr>
            <w:r>
              <w:rPr>
                <w:lang w:val="en-GB"/>
              </w:rPr>
              <w:t>Subcontractors approved by GlobalPharma as of the Effective Date</w:t>
            </w:r>
          </w:p>
        </w:tc>
      </w:tr>
      <w:tr>
        <w:trPr/>
        <w:tc>
          <w:tcPr>
            <w:tcW w:w="3936" w:type="dxa"/>
            <w:tcBorders/>
          </w:tcPr>
          <w:p>
            <w:pPr>
              <w:pStyle w:val="BodyText"/>
              <w:spacing w:lineRule="auto" w:line="240" w:before="120" w:after="120"/>
              <w:jc w:val="start"/>
              <w:rPr>
                <w:lang w:val="en-GB"/>
              </w:rPr>
            </w:pPr>
            <w:r>
              <w:rPr>
                <w:lang w:val="en-GB"/>
              </w:rPr>
              <w:t>Exhibit 32</w:t>
            </w:r>
          </w:p>
        </w:tc>
        <w:tc>
          <w:tcPr>
            <w:tcW w:w="5596" w:type="dxa"/>
            <w:tcBorders/>
          </w:tcPr>
          <w:p>
            <w:pPr>
              <w:pStyle w:val="BodyText"/>
              <w:spacing w:lineRule="auto" w:line="240" w:before="120" w:after="120"/>
              <w:jc w:val="start"/>
              <w:rPr>
                <w:lang w:val="en-GB"/>
              </w:rPr>
            </w:pPr>
            <w:r>
              <w:rPr>
                <w:lang w:val="en-GB"/>
              </w:rPr>
              <w:t>Benchmarkers</w:t>
            </w:r>
          </w:p>
        </w:tc>
      </w:tr>
      <w:tr>
        <w:trPr/>
        <w:tc>
          <w:tcPr>
            <w:tcW w:w="3936" w:type="dxa"/>
            <w:tcBorders/>
          </w:tcPr>
          <w:p>
            <w:pPr>
              <w:pStyle w:val="BodyText"/>
              <w:spacing w:lineRule="auto" w:line="240" w:before="120" w:after="120"/>
              <w:jc w:val="start"/>
              <w:rPr>
                <w:lang w:val="en-GB"/>
              </w:rPr>
            </w:pPr>
            <w:r>
              <w:rPr>
                <w:lang w:val="en-GB"/>
              </w:rPr>
              <w:t>Exhibit 33</w:t>
            </w:r>
          </w:p>
        </w:tc>
        <w:tc>
          <w:tcPr>
            <w:tcW w:w="5596" w:type="dxa"/>
            <w:tcBorders/>
          </w:tcPr>
          <w:p>
            <w:pPr>
              <w:pStyle w:val="BodyText"/>
              <w:spacing w:lineRule="auto" w:line="240" w:before="120" w:after="120"/>
              <w:jc w:val="start"/>
              <w:rPr>
                <w:lang w:val="en-GB"/>
              </w:rPr>
            </w:pPr>
            <w:r>
              <w:rPr>
                <w:lang w:val="en-GB"/>
              </w:rPr>
              <w:t>Escrow Agreement</w:t>
            </w:r>
          </w:p>
        </w:tc>
      </w:tr>
    </w:tbl>
    <w:p>
      <w:pPr>
        <w:pStyle w:val="Normal"/>
        <w:rPr>
          <w:lang w:val="en-GB"/>
        </w:rPr>
      </w:pPr>
      <w:r>
        <w:br w:type="page"/>
      </w:r>
      <w:bookmarkStart w:id="3" w:name="_Ref151527052"/>
      <w:r>
        <w:rPr>
          <w:lang w:val="en-GB"/>
        </w:rPr>
        <w:t>The Parties and the Overview of the Agreements</w:t>
      </w:r>
      <w:bookmarkEnd w:id="3"/>
    </w:p>
    <w:p>
      <w:pPr>
        <w:pStyle w:val="Heading2"/>
        <w:numPr>
          <w:ilvl w:val="1"/>
          <w:numId w:val="8"/>
        </w:numPr>
        <w:tabs>
          <w:tab w:val="clear" w:pos="567"/>
          <w:tab w:val="clear" w:pos="1134"/>
          <w:tab w:val="left" w:pos="709" w:leader="none"/>
          <w:tab w:val="right" w:pos="7938" w:leader="none"/>
        </w:tabs>
        <w:ind w:hanging="709" w:start="709" w:end="0"/>
        <w:rPr>
          <w:lang w:val="en-GB"/>
        </w:rPr>
      </w:pPr>
      <w:bookmarkStart w:id="4" w:name="__RefHeading___Toc157506464"/>
      <w:bookmarkEnd w:id="4"/>
      <w:r>
        <w:rPr>
          <w:lang w:val="en-GB"/>
        </w:rPr>
        <w:t>GlobalPharma</w:t>
      </w:r>
    </w:p>
    <w:p>
      <w:pPr>
        <w:pStyle w:val="Normal"/>
        <w:rPr>
          <w:lang w:val="en-GB"/>
        </w:rPr>
      </w:pPr>
      <w:r>
        <w:rPr>
          <w:lang w:val="en-GB"/>
        </w:rPr>
        <w:t>GlobalPharma Ltd. is a company limited by shares, incorporated under Swiss law and registered in the commercial register of the canton of Zurich (CH-270.3.004.604-7) with a share capital of CHF 350'002'000.-- and with address Bahnhofstrasse 10, 4056 Zurich.</w:t>
      </w:r>
    </w:p>
    <w:p>
      <w:pPr>
        <w:pStyle w:val="Heading2"/>
        <w:numPr>
          <w:ilvl w:val="1"/>
          <w:numId w:val="8"/>
        </w:numPr>
        <w:tabs>
          <w:tab w:val="clear" w:pos="567"/>
          <w:tab w:val="clear" w:pos="1134"/>
          <w:tab w:val="left" w:pos="709" w:leader="none"/>
          <w:tab w:val="right" w:pos="7938" w:leader="none"/>
        </w:tabs>
        <w:ind w:hanging="709" w:start="709" w:end="0"/>
        <w:rPr>
          <w:lang w:val="en-GB"/>
        </w:rPr>
      </w:pPr>
      <w:bookmarkStart w:id="5" w:name="__RefHeading___Toc157506465"/>
      <w:bookmarkEnd w:id="5"/>
      <w:r>
        <w:rPr>
          <w:lang w:val="en-GB"/>
        </w:rPr>
        <w:t>The Service Provider</w:t>
      </w:r>
    </w:p>
    <w:p>
      <w:pPr>
        <w:pStyle w:val="Heading3"/>
        <w:numPr>
          <w:ilvl w:val="2"/>
          <w:numId w:val="8"/>
        </w:numPr>
        <w:tabs>
          <w:tab w:val="clear" w:pos="567"/>
          <w:tab w:val="left" w:pos="851" w:leader="none"/>
          <w:tab w:val="left" w:pos="1134" w:leader="none"/>
          <w:tab w:val="right" w:pos="7938" w:leader="none"/>
        </w:tabs>
        <w:ind w:hanging="851" w:start="851" w:end="0"/>
        <w:rPr>
          <w:lang w:val="en-GB"/>
        </w:rPr>
      </w:pPr>
      <w:bookmarkStart w:id="6" w:name="__RefHeading___Toc157506466"/>
      <w:bookmarkEnd w:id="6"/>
      <w:r>
        <w:rPr>
          <w:lang w:val="en-GB"/>
        </w:rPr>
        <w:t>The Service Provider</w:t>
      </w:r>
    </w:p>
    <w:p>
      <w:pPr>
        <w:pStyle w:val="Normal"/>
        <w:rPr>
          <w:lang w:val="en-GB"/>
        </w:rPr>
      </w:pPr>
      <w:r>
        <w:rPr>
          <w:lang w:val="en-GB"/>
        </w:rPr>
        <w:t>The Service Provider ServicePro International SaRL is a Luxembourg société à responsabilité limitée existing and organised under the laws of Luxembourg with registered office at 25 Avenue de la Liberté, L-1930 Luxembourg, registered with the Luxembourg Trade and Companies Register under No. B104549. The Service Provider is administrated through its Hungarian branch with its office at Duna Plaza Offices, 4th Floor, H-1138 Budapest Vaciut 178, Hungary. The Service Provider is the holding company of all the operating subsidiaries and is recipient of all revenue under all client contracts.</w:t>
      </w:r>
      <w:r>
        <w:rPr>
          <w:vertAlign w:val="superscript"/>
          <w:lang w:val="en-GB"/>
        </w:rPr>
      </w:r>
      <w:r>
        <w:rPr>
          <w:lang w:val="en-GB"/>
        </w:rPr>
      </w:r>
    </w:p>
    <w:p>
      <w:pPr>
        <w:pStyle w:val="Heading3"/>
        <w:numPr>
          <w:ilvl w:val="2"/>
          <w:numId w:val="8"/>
        </w:numPr>
        <w:tabs>
          <w:tab w:val="clear" w:pos="567"/>
          <w:tab w:val="left" w:pos="851" w:leader="none"/>
          <w:tab w:val="left" w:pos="1134" w:leader="none"/>
          <w:tab w:val="right" w:pos="7938" w:leader="none"/>
        </w:tabs>
        <w:ind w:hanging="851" w:start="851" w:end="0"/>
        <w:rPr>
          <w:lang w:val="en-GB"/>
        </w:rPr>
      </w:pPr>
      <w:bookmarkStart w:id="7" w:name="__RefHeading___Toc157506467"/>
      <w:r>
        <w:rPr>
          <w:lang w:val="en-GB"/>
        </w:rPr>
        <w:t xml:space="preserve">Undertaking by ServicePro Global Holding Sicar Sàrl </w:t>
      </w:r>
      <w:bookmarkEnd w:id="7"/>
      <w:r>
        <w:rPr>
          <w:lang w:val="en-GB"/>
        </w:rPr>
      </w:r>
    </w:p>
    <w:p>
      <w:pPr>
        <w:pStyle w:val="Normal"/>
        <w:rPr>
          <w:lang w:val="en-GB"/>
        </w:rPr>
      </w:pPr>
      <w:r>
        <w:rPr>
          <w:lang w:val="en-GB"/>
        </w:rPr>
        <w:t>By signing the Parent Company Guarantee (Exhibit 29) ServicePro Global Holding Sicar Sàrl herewith guarantees to GlobalPharma the performance and fulfilment of any payment obligation of the Service Provider and/or any of the Affiliates specified in The Agreements.</w:t>
      </w:r>
    </w:p>
    <w:p>
      <w:pPr>
        <w:pStyle w:val="Heading3"/>
        <w:numPr>
          <w:ilvl w:val="2"/>
          <w:numId w:val="8"/>
        </w:numPr>
        <w:tabs>
          <w:tab w:val="clear" w:pos="567"/>
          <w:tab w:val="left" w:pos="709" w:leader="none"/>
          <w:tab w:val="left" w:pos="1134" w:leader="none"/>
          <w:tab w:val="right" w:pos="7938" w:leader="none"/>
        </w:tabs>
        <w:ind w:hanging="709" w:start="709" w:end="0"/>
        <w:rPr>
          <w:lang w:val="en-GB"/>
        </w:rPr>
      </w:pPr>
      <w:bookmarkStart w:id="8" w:name="__RefHeading___Toc157506468"/>
      <w:bookmarkEnd w:id="8"/>
      <w:r>
        <w:rPr>
          <w:lang w:val="en-GB"/>
        </w:rPr>
        <w:t>Service Provider's Obligations in MSA and LSA</w:t>
      </w:r>
    </w:p>
    <w:p>
      <w:pPr>
        <w:pStyle w:val="Normal"/>
        <w:rPr/>
      </w:pPr>
      <w:r>
        <w:rPr>
          <w:lang w:val="en-GB"/>
        </w:rPr>
        <w:t>The Service Provider hereby commits to perform any obligations of the Service Provider and/or any affiliated company included in The Agreements as the Service Provider's obligations, according to the terms and conditions of The Agreements.</w:t>
      </w:r>
    </w:p>
    <w:p>
      <w:pPr>
        <w:pStyle w:val="Normal"/>
        <w:rPr>
          <w:lang w:val="en-GB"/>
        </w:rPr>
      </w:pPr>
      <w:r>
        <w:rPr>
          <w:lang w:val="en-GB"/>
        </w:rPr>
        <w:t>This commitment shall be governed and construed in accordance with the substantive laws of Switzerland without its conflict of laws provisions. For clarification the U.N. Convention on the International Sale of Goods shall not apply.</w:t>
      </w:r>
    </w:p>
    <w:p>
      <w:pPr>
        <w:pStyle w:val="Normal"/>
        <w:rPr/>
      </w:pPr>
      <w:r>
        <w:rPr>
          <w:lang w:val="en-GB"/>
        </w:rPr>
        <w:t>Any dispute controversy or claim arising out of or in relation to this MSA, including the validity, invalidity, breach or termination thereof, shall be resolved by arbitration in accordance with the Rules of Arbitration of the International Chamber of Commerce, Paris, in force on the date when the Notice of Arbitration is submitted in accordance with these Rules. If the Parties do not agree upon one sole arbitrator the number of arbitrators shall be three. The seat of the arbitration shall be Zurich. The arbitral proceedings shall be conducted in English.</w:t>
      </w:r>
    </w:p>
    <w:p>
      <w:pPr>
        <w:pStyle w:val="Heading2"/>
        <w:numPr>
          <w:ilvl w:val="1"/>
          <w:numId w:val="8"/>
        </w:numPr>
        <w:tabs>
          <w:tab w:val="clear" w:pos="567"/>
          <w:tab w:val="clear" w:pos="1134"/>
          <w:tab w:val="left" w:pos="709" w:leader="none"/>
          <w:tab w:val="right" w:pos="7938" w:leader="none"/>
        </w:tabs>
        <w:ind w:hanging="709" w:start="709" w:end="0"/>
        <w:rPr>
          <w:b w:val="false"/>
          <w:bCs w:val="false"/>
          <w:lang w:val="en-GB"/>
        </w:rPr>
      </w:pPr>
      <w:bookmarkStart w:id="9" w:name="__RefHeading___Toc157506469"/>
      <w:bookmarkEnd w:id="9"/>
      <w:r>
        <w:rPr>
          <w:lang w:val="en-GB"/>
        </w:rPr>
        <w:t>The Agreements</w:t>
      </w:r>
    </w:p>
    <w:p>
      <w:pPr>
        <w:pStyle w:val="Normal"/>
        <w:rPr>
          <w:b/>
          <w:bCs/>
          <w:lang w:val="en-GB"/>
        </w:rPr>
      </w:pPr>
      <w:r>
        <w:rPr>
          <w:lang w:val="en-GB"/>
        </w:rPr>
        <w:t>The Agreements listed in this Clause 1, together with the attachments specifically incorporated by reference therein, such as the Exhibits, Attachments and Annexes, form an integral part of this MSA and are part of an overall transaction between GlobalPharma and the Service Provider, as the case may be. These Agreements are defined herein to be "The Agreements" and each of The Agreements shall only come into effect once all of The Agreements have been duly signed.</w:t>
      </w:r>
    </w:p>
    <w:p>
      <w:pPr>
        <w:pStyle w:val="Heading2"/>
        <w:numPr>
          <w:ilvl w:val="1"/>
          <w:numId w:val="8"/>
        </w:numPr>
        <w:tabs>
          <w:tab w:val="clear" w:pos="567"/>
          <w:tab w:val="clear" w:pos="1134"/>
          <w:tab w:val="left" w:pos="709" w:leader="none"/>
          <w:tab w:val="right" w:pos="7938" w:leader="none"/>
        </w:tabs>
        <w:ind w:hanging="709" w:start="709" w:end="0"/>
        <w:rPr>
          <w:lang w:val="en-GB"/>
        </w:rPr>
      </w:pPr>
      <w:bookmarkStart w:id="10" w:name="__RefHeading___Toc157506470"/>
      <w:bookmarkEnd w:id="10"/>
      <w:r>
        <w:rPr>
          <w:lang w:val="en-GB"/>
        </w:rPr>
        <w:t>Definitions</w:t>
      </w:r>
    </w:p>
    <w:p>
      <w:pPr>
        <w:pStyle w:val="Normal"/>
        <w:rPr>
          <w:lang w:val="en-GB"/>
        </w:rPr>
      </w:pPr>
      <w:r>
        <w:rPr>
          <w:lang w:val="en-GB"/>
        </w:rPr>
        <w:t xml:space="preserve">The terms which are capitalised in The Agreements shall have the definitions as set forth in the Definitions, as attached to this MSA as </w:t>
      </w:r>
      <w:r>
        <w:rPr>
          <w:b/>
          <w:bCs/>
          <w:lang w:val="en-GB"/>
        </w:rPr>
        <w:t>Exhibit 1</w:t>
      </w:r>
      <w:r>
        <w:rPr>
          <w:lang w:val="en-GB"/>
        </w:rPr>
        <w:t xml:space="preserve"> (Definitions) together with its Attachment (Acronyms) or as defined in the Exhibits and Attachments to this MSA.</w:t>
      </w:r>
    </w:p>
    <w:p>
      <w:pPr>
        <w:pStyle w:val="Heading2"/>
        <w:numPr>
          <w:ilvl w:val="1"/>
          <w:numId w:val="8"/>
        </w:numPr>
        <w:tabs>
          <w:tab w:val="clear" w:pos="567"/>
          <w:tab w:val="clear" w:pos="1134"/>
          <w:tab w:val="left" w:pos="709" w:leader="none"/>
          <w:tab w:val="right" w:pos="7938" w:leader="none"/>
        </w:tabs>
        <w:ind w:hanging="709" w:start="709" w:end="0"/>
        <w:rPr>
          <w:lang w:val="en-GB"/>
        </w:rPr>
      </w:pPr>
      <w:bookmarkStart w:id="11" w:name="__RefHeading___Toc157506471"/>
      <w:bookmarkEnd w:id="11"/>
      <w:r>
        <w:rPr>
          <w:lang w:val="en-GB"/>
        </w:rPr>
        <w:t>Master Service Agreement (MSA)</w:t>
      </w:r>
    </w:p>
    <w:p>
      <w:pPr>
        <w:pStyle w:val="Normal"/>
        <w:rPr>
          <w:lang w:val="en-GB"/>
        </w:rPr>
      </w:pPr>
      <w:r>
        <w:rPr>
          <w:lang w:val="en-GB"/>
        </w:rPr>
        <w:t>GlobalPharma and Service Provider are hereby signing this MSA for outsourcing Services (MSA or, when used herein, "this Agreement" or "The Agreements"), which is the overall agreement referencing each agreement between GlobalPharma and/or GlobalPharma Affiliates and the Service Provider. This MSA shall be effective upon its signing on January 17, 2007 (the "Effective Date") and shall remain in effect until its termination which shall be upon the termination or expiration of the last of The Agreements according to the terms and conditions therein.</w:t>
      </w:r>
    </w:p>
    <w:p>
      <w:pPr>
        <w:pStyle w:val="Normal"/>
        <w:rPr/>
      </w:pPr>
      <w:r>
        <w:rPr>
          <w:lang w:val="en-GB"/>
        </w:rPr>
        <w:t>Service Provider is aware of the operational, technical and financial risk transfer associated with this type of transaction, as defined in The Agreements, as of the Commencement Date and during the Term.</w:t>
      </w:r>
    </w:p>
    <w:p>
      <w:pPr>
        <w:pStyle w:val="Normal"/>
        <w:rPr>
          <w:lang w:val="en-GB"/>
        </w:rPr>
      </w:pPr>
      <w:r>
        <w:rPr>
          <w:lang w:val="en-GB"/>
        </w:rPr>
        <w:t>This MSA establishes a contractual framework for Service Provider's provision of the Services under the LSAs. In order to provide a uniform mechanism for implementing the principles of this MSA, the provisions of this MSA shall be implemented by GlobalPharma, Service Provider, GlobalPharma local entities and, if any, Service Provider local entities through LSAs.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2" w:name="__RefHeading___Toc157506472"/>
      <w:bookmarkEnd w:id="12"/>
      <w:r>
        <w:rPr>
          <w:lang w:val="en-GB"/>
        </w:rPr>
        <w:t>Service Level Agreement (SLA)</w:t>
      </w:r>
    </w:p>
    <w:p>
      <w:pPr>
        <w:pStyle w:val="Normal"/>
        <w:rPr>
          <w:lang w:val="en-GB"/>
        </w:rPr>
      </w:pPr>
      <w:r>
        <w:rPr>
          <w:lang w:val="en-GB"/>
        </w:rPr>
        <w:t>GlobalPharma and Service Provider have agreed on service levels and the mechanism to baseline and measure them as described in Exhibit 3 (Service Levels) and which is considered to be the Service Level Agreement (SLA).</w:t>
      </w:r>
      <w:r>
        <w:rPr>
          <w:b/>
          <w:bCs/>
          <w:lang w:val="en-GB"/>
        </w:rPr>
      </w:r>
      <w:r>
        <w:rPr>
          <w:lang w:val="en-GB"/>
        </w:rPr>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3" w:name="__RefHeading___Toc157506473"/>
      <w:bookmarkEnd w:id="13"/>
      <w:r>
        <w:rPr>
          <w:lang w:val="en-GB"/>
        </w:rPr>
        <w:t>Local Service Agreements (LSA)</w:t>
      </w:r>
    </w:p>
    <w:p>
      <w:pPr>
        <w:pStyle w:val="Normal"/>
        <w:rPr>
          <w:lang w:val="en-GB"/>
        </w:rPr>
      </w:pPr>
      <w:r>
        <w:rPr>
          <w:lang w:val="en-GB"/>
        </w:rPr>
        <w:t>The Parties agree that the Agreement is structured as a Master Service Agreement (MSA) for terms and conditions and that a Local Service Agreement (LSA) will be used for the delivery of the Services including any country specific clauses. All terms and conditions of The Agreements, specifically also of the MSA, as a single, global contract with one ultimate parent entity is accounting for local country requirements (LSA) with all GlobalPharma's entities to receive the same benefits equally with no limitation of service by country.</w:t>
      </w:r>
    </w:p>
    <w:p>
      <w:pPr>
        <w:pStyle w:val="Heading2"/>
        <w:numPr>
          <w:ilvl w:val="1"/>
          <w:numId w:val="8"/>
        </w:numPr>
        <w:ind w:hanging="1560" w:start="1560" w:end="0"/>
        <w:rPr>
          <w:lang w:val="en-GB"/>
        </w:rPr>
      </w:pPr>
      <w:bookmarkStart w:id="14" w:name="__RefHeading___Toc157506474"/>
      <w:r>
        <w:rPr>
          <w:lang w:val="en-GB"/>
        </w:rPr>
        <w:t>Rules of Precedence</w:t>
      </w:r>
      <w:bookmarkEnd w:id="14"/>
      <w:r>
        <w:rPr>
          <w:lang w:val="en-GB"/>
        </w:rPr>
        <w:t xml:space="preserve"> </w:t>
      </w:r>
    </w:p>
    <w:p>
      <w:pPr>
        <w:pStyle w:val="Normal"/>
        <w:rPr>
          <w:lang w:val="en-GB"/>
        </w:rPr>
      </w:pPr>
      <w:r>
        <w:rPr>
          <w:lang w:val="en-GB"/>
        </w:rPr>
        <w:t xml:space="preserve">In case of any inconsistency between the terms of the MSA with any provision of the Exhibits, Attachments, LSA, the terms of the MSA will override any other terms, unless it has been specifically agreed to the contrary. </w:t>
      </w:r>
    </w:p>
    <w:p>
      <w:pPr>
        <w:pStyle w:val="Heading1"/>
        <w:numPr>
          <w:ilvl w:val="0"/>
          <w:numId w:val="8"/>
        </w:numPr>
        <w:ind w:hanging="567" w:start="567" w:end="0"/>
        <w:rPr>
          <w:lang w:val="en-GB"/>
        </w:rPr>
      </w:pPr>
      <w:bookmarkStart w:id="15" w:name="__RefHeading___Toc157506475"/>
      <w:bookmarkEnd w:id="15"/>
      <w:r>
        <w:rPr>
          <w:lang w:val="en-GB"/>
        </w:rPr>
        <w:t>Term of Contract</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6" w:name="__RefHeading___Toc157506476"/>
      <w:bookmarkEnd w:id="16"/>
      <w:r>
        <w:rPr>
          <w:lang w:val="en-GB"/>
        </w:rPr>
        <w:t>Effective Date and Commencement Date</w:t>
      </w:r>
    </w:p>
    <w:p>
      <w:pPr>
        <w:pStyle w:val="Normal"/>
        <w:rPr/>
      </w:pPr>
      <w:r>
        <w:rPr>
          <w:lang w:val="en-GB"/>
        </w:rPr>
        <w:t xml:space="preserve">The Agreements will become effective on the Effective Date, as defined in </w:t>
      </w:r>
      <w:r>
        <w:rPr>
          <w:b/>
          <w:bCs/>
          <w:lang w:val="en-GB"/>
        </w:rPr>
        <w:t>Exhibit 1</w:t>
      </w:r>
      <w:r>
        <w:rPr>
          <w:lang w:val="en-GB"/>
        </w:rPr>
        <w:t xml:space="preserve"> (Definitions). The obligation of the Service Provider to provide the Services will commence on the Commencement Date, as defined in </w:t>
      </w:r>
      <w:r>
        <w:rPr>
          <w:b/>
          <w:bCs/>
          <w:lang w:val="en-GB"/>
        </w:rPr>
        <w:t>Exhibit 1</w:t>
      </w:r>
      <w:r>
        <w:rPr>
          <w:lang w:val="en-GB"/>
        </w:rPr>
        <w:t xml:space="preserve"> (Definitions), unless otherwise specified herein.</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7" w:name="__RefHeading___Toc157506477"/>
      <w:bookmarkEnd w:id="17"/>
      <w:r>
        <w:rPr>
          <w:lang w:val="en-GB"/>
        </w:rPr>
        <w:t>Initial Term</w:t>
      </w:r>
    </w:p>
    <w:p>
      <w:pPr>
        <w:pStyle w:val="Normal"/>
        <w:rPr>
          <w:lang w:val="en-GB"/>
        </w:rPr>
      </w:pPr>
      <w:r>
        <w:rPr>
          <w:lang w:val="en-GB"/>
        </w:rPr>
        <w:t>The Agreements shall remain in force until the seventh (7) anniversary of the Commencement Date ("Term") unless terminated earlier or extended as provided herein. The seventh (7) anniversary of the Commencement Date is referred to as Expiration Date herein.</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8" w:name="__RefHeading___Toc157506478"/>
      <w:bookmarkEnd w:id="18"/>
      <w:r>
        <w:rPr>
          <w:lang w:val="en-GB"/>
        </w:rPr>
        <w:t>Renewal Notice and Process</w:t>
      </w:r>
    </w:p>
    <w:p>
      <w:pPr>
        <w:pStyle w:val="Normal"/>
        <w:rPr/>
      </w:pPr>
      <w:r>
        <w:rPr>
          <w:lang w:val="en-GB"/>
        </w:rPr>
        <w:t>Eighteen (18) months prior to the Expiration Date, the Service Provider will propose new terms to GlobalPharma for renewing The Agreements, that will be negotiated by the Parties in good faith and should be based on either (i) market conditions or (ii) the conditions of then-existing agreements between the Service Provider and any other GlobalPharma division/business unit, which ever is more favorable. If the Parties are unable to agree upon the terms and conditions for the renewal of The Agreements ninety (90) days prior to the Expiration Date, GlobalPharma may elect to extend the Term for a period of time designated by GlobalPharma of up to eighteen (18) months from the Expiration Date at the then-current terms and conditions ("18 Months Extension"). GlobalPharma will have the right to extend The Agreements for up to two (2) additional successive periods of up to one (1) year ("One Year Extensions") based on the pricing to be provided for year 8 and 9, which shall be set after adjusting for inflation. Under no circumstances will renewals occur on an automatic basis.</w:t>
      </w:r>
    </w:p>
    <w:p>
      <w:pPr>
        <w:pStyle w:val="Normal"/>
        <w:rPr/>
      </w:pPr>
      <w:r>
        <w:rPr>
          <w:lang w:val="en-GB"/>
        </w:rPr>
        <w:t>If the Parties do not agree upon the renewal and GlobalPharma does not opt for the 18 Months Extension ninety (90) days prior to the Expiration Date, The Agreements are terminated at the Expiration Date.</w:t>
      </w:r>
    </w:p>
    <w:p>
      <w:pPr>
        <w:pStyle w:val="Normal"/>
        <w:rPr/>
      </w:pPr>
      <w:r>
        <w:rPr>
          <w:lang w:val="en-GB"/>
        </w:rPr>
        <w:t>If GlobalPharma elects the 18 Months Extension the Service Provider may (again), twelve (12) months prior to the end of the 18 Months Extension, propose terms to GlobalPharma for renewing The Agreements. If the Parties are in this case unable to agree upon the terms and conditions for the renewal of The Agreements six (6) months prior to the end of the 18 Months Extension, The Agreements are terminated at the end of the 18 Months Extension, unless GlobalPharma opts for the One Year Extensions.</w:t>
      </w:r>
    </w:p>
    <w:p>
      <w:pPr>
        <w:pStyle w:val="Normal"/>
        <w:rPr/>
      </w:pPr>
      <w:r>
        <w:rPr>
          <w:lang w:val="en-GB"/>
        </w:rPr>
        <w:t>In each case of termination of The Agreements the provisions regarding the Termination Assistance in Article 16 and Exhibit 18 will apply.</w:t>
      </w:r>
    </w:p>
    <w:p>
      <w:pPr>
        <w:pStyle w:val="Heading1"/>
        <w:numPr>
          <w:ilvl w:val="0"/>
          <w:numId w:val="8"/>
        </w:numPr>
        <w:ind w:hanging="567" w:start="567" w:end="0"/>
        <w:rPr>
          <w:lang w:val="en-GB"/>
        </w:rPr>
      </w:pPr>
      <w:bookmarkStart w:id="19" w:name="__RefHeading___Toc157506479"/>
      <w:r>
        <w:rPr>
          <w:lang w:val="en-GB"/>
        </w:rPr>
        <w:t>Performance of Services</w:t>
      </w:r>
      <w:bookmarkEnd w:id="19"/>
      <w:r>
        <w:rPr>
          <w:lang w:val="en-GB"/>
        </w:rPr>
        <w:tab/>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0" w:name="__RefHeading___Toc157506480"/>
      <w:bookmarkEnd w:id="20"/>
      <w:r>
        <w:rPr>
          <w:lang w:val="en-GB"/>
        </w:rPr>
        <w:t>Scope of Services</w:t>
      </w:r>
    </w:p>
    <w:p>
      <w:pPr>
        <w:pStyle w:val="Normal"/>
        <w:rPr>
          <w:lang w:val="en-GB"/>
        </w:rPr>
      </w:pPr>
      <w:r>
        <w:rPr>
          <w:lang w:val="en-GB"/>
        </w:rPr>
        <w:t xml:space="preserve">Service Provider agrees that "Services" means the services, functions, processes, and responsibilities as detailed below: </w:t>
      </w:r>
    </w:p>
    <w:p>
      <w:pPr>
        <w:pStyle w:val="Normal"/>
        <w:rPr/>
      </w:pPr>
      <w:r>
        <w:rPr>
          <w:lang w:val="en-GB"/>
        </w:rPr>
        <w:t>•</w:t>
      </w:r>
      <w:r>
        <w:rPr>
          <w:lang w:val="en-GB"/>
        </w:rPr>
        <w:tab/>
        <w:t>The services, functions, processes, and responsibilities described in The Agreements, including Exhibits (e.g. the Statement of Work);</w:t>
      </w:r>
    </w:p>
    <w:p>
      <w:pPr>
        <w:pStyle w:val="Normal"/>
        <w:rPr/>
      </w:pPr>
      <w:r>
        <w:rPr>
          <w:lang w:val="en-GB"/>
        </w:rPr>
        <w:t>•</w:t>
        <w:tab/>
        <w:t>The services, functions, processes, and responsibilities routinely performed by the GlobalPharma personnel and contractors who are transitioned to the Service Provider, displaced, or whose functions were displaced as a result of The Agreements, even if not specifically described in The Agreements;</w:t>
      </w:r>
      <w:r>
        <w:rPr>
          <w:lang w:val="en-GB"/>
        </w:rPr>
      </w:r>
    </w:p>
    <w:p>
      <w:pPr>
        <w:pStyle w:val="Normal"/>
        <w:rPr/>
      </w:pPr>
      <w:r>
        <w:rPr>
          <w:lang w:val="en-GB"/>
        </w:rPr>
        <w:t>•</w:t>
        <w:tab/>
        <w:t>The services, functions, processes, and responsibilities reflected in those categories of GlobalPharma's Base Case (which are part of The Agreements) assumed by the Service Provider, even if not specifically described in The Agreements;</w:t>
      </w:r>
      <w:r>
        <w:rPr>
          <w:lang w:val="en-GB"/>
        </w:rPr>
      </w:r>
    </w:p>
    <w:p>
      <w:pPr>
        <w:pStyle w:val="Normal"/>
        <w:rPr/>
      </w:pPr>
      <w:r>
        <w:rPr>
          <w:lang w:val="en-GB"/>
        </w:rPr>
        <w:t>•</w:t>
      </w:r>
      <w:r>
        <w:rPr>
          <w:lang w:val="en-GB"/>
        </w:rPr>
        <w:tab/>
        <w:t>The services, functions, processes, and responsibilities that are of a nature and type that would ordinarily be performed by the organization or part of the organization performing services similar to the Services within a company in the Pharmaceutical industry, even if not specifically described in The Agreements; and</w:t>
      </w:r>
    </w:p>
    <w:p>
      <w:pPr>
        <w:pStyle w:val="Normal"/>
        <w:rPr>
          <w:lang w:val="en-GB"/>
        </w:rPr>
      </w:pPr>
      <w:r>
        <w:rPr>
          <w:lang w:val="en-GB"/>
        </w:rPr>
        <w:t>Any services, functions, processes, and responsibilities not specifically described in The Agreements but that are required for the proper performance and provision of the services, functions, and responsibilities described above and which have been assessed by the Service Provider through due diligence (</w:t>
      </w:r>
      <w:r>
        <w:rPr>
          <w:b/>
          <w:lang w:val="en-GB"/>
        </w:rPr>
        <w:t>Exhibit 26</w:t>
      </w:r>
      <w:r>
        <w:rPr>
          <w:lang w:val="en-GB"/>
        </w:rPr>
        <w:t>) prior to the Effective Date.</w:t>
      </w:r>
    </w:p>
    <w:p>
      <w:pPr>
        <w:pStyle w:val="Normal"/>
        <w:rPr>
          <w:lang w:val="en-GB"/>
        </w:rPr>
      </w:pPr>
      <w:r>
        <w:rPr>
          <w:lang w:val="en-GB"/>
        </w:rPr>
        <w:t xml:space="preserve">Both Parties agree that during the Terms the Services with the above mentioned scope may evolve and may be supplemented, enhanced, modified or replaced subject to Change Control process as described in </w:t>
      </w:r>
      <w:r>
        <w:rPr>
          <w:b/>
          <w:lang w:val="en-GB"/>
        </w:rPr>
        <w:t xml:space="preserve">Exhibit 20 </w:t>
      </w:r>
      <w:r>
        <w:rPr>
          <w:lang w:val="en-GB"/>
        </w:rPr>
        <w:t>(Change Control Procedures).</w:t>
      </w:r>
    </w:p>
    <w:p>
      <w:pPr>
        <w:pStyle w:val="Normal"/>
        <w:rPr/>
      </w:pPr>
      <w:r>
        <w:rPr>
          <w:lang w:val="en-GB"/>
        </w:rPr>
        <w:t>1.</w:t>
        <w:tab/>
        <w:t xml:space="preserve">The Service Provider will provide all of the Services described in the The Agreements in all geographies as set forth in </w:t>
      </w:r>
      <w:r>
        <w:rPr>
          <w:b/>
          <w:bCs/>
          <w:lang w:val="en-GB"/>
        </w:rPr>
        <w:t>Exhibit 7</w:t>
      </w:r>
      <w:r>
        <w:rPr>
          <w:lang w:val="en-GB"/>
        </w:rPr>
        <w:t xml:space="preserve"> (Sites called: In-scope Pharma Sites – Phase 1). In addition, Service Provider will provide the services to all countries listed in the section called: Phase 2 Pharma Sites – Rest of World (ROW) of </w:t>
      </w:r>
      <w:r>
        <w:rPr>
          <w:b/>
          <w:lang w:val="en-GB"/>
        </w:rPr>
        <w:t>Exhibit 7</w:t>
      </w:r>
      <w:r>
        <w:rPr>
          <w:lang w:val="en-GB"/>
        </w:rPr>
        <w:t>.</w:t>
      </w:r>
    </w:p>
    <w:p>
      <w:pPr>
        <w:pStyle w:val="Normal"/>
        <w:rPr>
          <w:lang w:val="en-GB"/>
        </w:rPr>
      </w:pPr>
      <w:r>
        <w:rPr>
          <w:lang w:val="en-GB"/>
        </w:rPr>
        <w:t>3.</w:t>
        <w:tab/>
        <w:t>The Service Provider will provide all support reasonably related to the Services that is required for GlobalPharma to meet all of its requirements imposed by global, transnational, federal, state or local laws and regulations; and will meet GlobalPharma's audit compliance requirements which have been disclosed to the Service Provider. Any subsequent changes in these requirements will be processed in line with the Change Control procedures as described Exhibit 20 (Change Control Procedures).</w:t>
      </w:r>
      <w:r>
        <w:rPr>
          <w:b/>
          <w:bCs/>
          <w:lang w:val="en-GB"/>
        </w:rPr>
      </w:r>
      <w:r>
        <w:rPr>
          <w:lang w:val="en-GB"/>
        </w:rPr>
      </w:r>
    </w:p>
    <w:p>
      <w:pPr>
        <w:pStyle w:val="Normal"/>
        <w:rPr/>
      </w:pPr>
      <w:r>
        <w:rPr>
          <w:lang w:val="en-GB"/>
        </w:rPr>
        <w:t>4.</w:t>
        <w:tab/>
        <w:t>The Service Provider will provide to GlobalPharma with respect to acquisitions and divestitures:</w:t>
      </w:r>
    </w:p>
    <w:p>
      <w:pPr>
        <w:pStyle w:val="Normal"/>
        <w:rPr/>
      </w:pPr>
      <w:r>
        <w:rPr>
          <w:lang w:val="en-GB"/>
        </w:rPr>
        <w:t>4.1</w:t>
        <w:tab/>
        <w:t>As requested by GlobalPharma with respect to an acquisition, the Service Provider will provide acquisition support (including assessments, transition planning and migration support) and subsequently, if requested by GlobalPharma, provide the Services as they apply to the acquired entity on such terms as may be mutually agreed to by both parties..</w:t>
      </w:r>
    </w:p>
    <w:p>
      <w:pPr>
        <w:pStyle w:val="Normal"/>
        <w:rPr/>
      </w:pPr>
      <w:r>
        <w:rPr>
          <w:lang w:val="en-GB"/>
        </w:rPr>
        <w:t>4.2</w:t>
        <w:tab/>
        <w:t>As requested by GlobalPharma, the Service Provider will provide personnel to staff vacancies and to provide management for the In-scope technology, processes, and functions needed to support an acquisition, including at the locations of the acquired entity. Such additional services shall be adjusted through the change control mechanism.</w:t>
      </w:r>
    </w:p>
    <w:p>
      <w:pPr>
        <w:pStyle w:val="Normal"/>
        <w:rPr/>
      </w:pPr>
      <w:r>
        <w:rPr>
          <w:lang w:val="en-GB"/>
        </w:rPr>
        <w:t>4.3</w:t>
        <w:tab/>
        <w:t>From time to time, GlobalPharma may divest some or all interests in certain business units or affiliates. In such cases, the Service Provider will continue to provide the Services to such divested entity for up to twelve (12) months or any longer period as agreed in writing by the parties at GlobalPharma's request under the then-current terms and conditions. In addition, the Service Provider will provide transition support services to GlobalPharma and the acquiring entity similar to those described above for acquisitions. GlobalPharma's fees will be equitably adjusted to account for such divestitures.</w:t>
      </w:r>
    </w:p>
    <w:p>
      <w:pPr>
        <w:pStyle w:val="Normal"/>
        <w:rPr/>
      </w:pPr>
      <w:r>
        <w:rPr>
          <w:lang w:val="en-GB"/>
        </w:rPr>
        <w:t>5.</w:t>
        <w:tab/>
        <w:t>If requested by GlobalPharma, the Service Provider will act as a purchasing agent for GlobalPharma to procure Equipment, Software and services not within the scope of the Services. The Service Provider will make available to GlobalPharma the benefit of any Equipment, Software and service volume purchasing discounts and convey to GlobalPharma any other benefits offered to the Service Provider by Third Party service providers.</w:t>
      </w:r>
    </w:p>
    <w:p>
      <w:pPr>
        <w:pStyle w:val="Normal"/>
        <w:rPr>
          <w:lang w:val="en-GB"/>
        </w:rPr>
      </w:pPr>
      <w:r>
        <w:rPr>
          <w:lang w:val="en-GB"/>
        </w:rPr>
        <w:t>6.</w:t>
        <w:tab/>
        <w:t xml:space="preserve">The general discounts and benefits the Service Provider is expecting to obtain from third parties have been factored to the pricing according to the pricing and financial provisions of this Agreement. If further discounts are available on costs identified as pass through costs at the time of actual procurement of these items those are passed on by 100 percent to GlobalPharma. </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1" w:name="__RefHeading___Toc157506481"/>
      <w:bookmarkEnd w:id="21"/>
      <w:r>
        <w:rPr>
          <w:lang w:val="en-GB"/>
        </w:rPr>
        <w:t>Additional and New Services</w:t>
      </w:r>
    </w:p>
    <w:p>
      <w:pPr>
        <w:pStyle w:val="Normal"/>
        <w:rPr/>
      </w:pPr>
      <w:r>
        <w:rPr>
          <w:lang w:val="en-GB"/>
        </w:rPr>
        <w:t>1.</w:t>
        <w:tab/>
        <w:t>GlobalPharma may request the Service Provider to perform additional services during the term of The Agreements. To the extent that such additional services constitute additional volumes of billable Resource Units contained in The Agreements, then such additional services will be treated as part of the Services, and the charges for such additional services will be calculated according to the pricing defined in The Agreements. The Service Provider will provide a tiered rate structure to allow GlobalPharma to realize savings from reduced unit costs of additional resources.</w:t>
      </w:r>
    </w:p>
    <w:p>
      <w:pPr>
        <w:pStyle w:val="Normal"/>
        <w:rPr/>
      </w:pPr>
      <w:r>
        <w:rPr>
          <w:lang w:val="en-GB"/>
        </w:rPr>
        <w:t>2.</w:t>
        <w:tab/>
        <w:t>If additional services are materially different from the Services and the existing pricing mechanisms cannot be applied, the additional services will be considered "New Services". The price for such services shall be mutually agreed between the parties.</w:t>
      </w:r>
      <w:r>
        <w:rPr>
          <w:rFonts w:cs="Arial" w:ascii="Arial" w:hAnsi="Arial"/>
          <w:lang w:val="en-US"/>
        </w:rPr>
        <w:t xml:space="preserve"> </w:t>
      </w:r>
      <w:r>
        <w:rPr>
          <w:lang w:val="en-GB"/>
        </w:rPr>
        <w:t>The price for such New Services shall take into account resources and expenses of the Service Provider for then-existing Services that would no longer be required if the New Service were performed by the Service Provider.</w:t>
      </w:r>
    </w:p>
    <w:p>
      <w:pPr>
        <w:pStyle w:val="Normal"/>
        <w:rPr>
          <w:lang w:val="en-GB"/>
        </w:rPr>
      </w:pPr>
      <w:r>
        <w:rPr>
          <w:lang w:val="en-GB"/>
        </w:rPr>
        <w:t>3.</w:t>
        <w:tab/>
        <w:t>The provision of New Services by the Service Provider must be authorized in advance and in writing by GlobalPharma's Contract Executive. GlobalPharma shall not be obligated to pay for any New Service not properly authorized.</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2" w:name="__RefHeading___Toc157506482"/>
      <w:bookmarkEnd w:id="22"/>
      <w:r>
        <w:rPr>
          <w:lang w:val="en-GB"/>
        </w:rPr>
        <w:t>Service Delivery</w:t>
      </w:r>
    </w:p>
    <w:p>
      <w:pPr>
        <w:pStyle w:val="Normal"/>
        <w:rPr/>
      </w:pPr>
      <w:r>
        <w:rPr>
          <w:lang w:val="en-GB"/>
        </w:rPr>
        <w:t>1.</w:t>
        <w:tab/>
        <w:t>GlobalPharma operates in a business environment characterized by constant change that directly affects the delivery of Services. The Services will be performed by the Service Provider as necessary to meet GlobalPharma's business needs which have been agreed between the parties, using generally acknowledged improvements in the methods, processes, and technology used in the delivery of the Services. If such improvements do not constitute a New Service, the Service Provider will, with GlobalPharma's prior approval, use such advancements and improvements using the Change Control Process as defined in Exhibit 20.</w:t>
      </w:r>
      <w:r>
        <w:rPr>
          <w:rFonts w:cs="Arial" w:ascii="Arial" w:hAnsi="Arial"/>
          <w:lang w:val="en-US"/>
        </w:rPr>
      </w:r>
      <w:r>
        <w:rPr>
          <w:lang w:val="en-GB"/>
        </w:rPr>
      </w:r>
      <w:r>
        <w:rPr>
          <w:b/>
          <w:lang w:val="en-GB"/>
        </w:rPr>
      </w:r>
      <w:r>
        <w:rPr>
          <w:lang w:val="en-GB"/>
        </w:rPr>
      </w:r>
    </w:p>
    <w:p>
      <w:pPr>
        <w:pStyle w:val="Normal"/>
        <w:rPr/>
      </w:pPr>
      <w:r>
        <w:rPr>
          <w:lang w:val="en-GB"/>
        </w:rPr>
        <w:t>2.</w:t>
        <w:tab/>
        <w:t>The Service Provider will support all of the technologies which are identified in The Agreements and employed by GlobalPharma as of the Effective Date, and will be proactive in identifying opportunities to implement new technologies that will improve service and support at a reduced cost.</w:t>
      </w:r>
    </w:p>
    <w:p>
      <w:pPr>
        <w:pStyle w:val="Normal"/>
        <w:rPr>
          <w:lang w:val="en-GB"/>
        </w:rPr>
      </w:pPr>
      <w:r>
        <w:rPr>
          <w:lang w:val="en-GB"/>
        </w:rPr>
        <w:t>3.</w:t>
        <w:tab/>
        <w:t>The Service Provider shall be responsible for obtaining and keeping current all necessary licenses, approvals, consents, permits and authorizations/assignments required by applicable law and/or by its third party Service Providers/contractors for it to perform the Services. The Service Provider shall be responsible for all fees and taxes associated with obtaining such licenses, approvals, consents, permits and authorizations.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3" w:name="__RefHeading___Toc157506483"/>
      <w:bookmarkEnd w:id="23"/>
      <w:r>
        <w:rPr>
          <w:lang w:val="en-GB"/>
        </w:rPr>
        <w:t>Service Levels</w:t>
      </w:r>
    </w:p>
    <w:p>
      <w:pPr>
        <w:pStyle w:val="Normal"/>
        <w:rPr/>
      </w:pPr>
      <w:r>
        <w:rPr>
          <w:lang w:val="en-GB"/>
        </w:rPr>
        <w:t>1.</w:t>
        <w:tab/>
        <w:t xml:space="preserve">The Service Provider will comply with the requirements contained in </w:t>
      </w:r>
      <w:r>
        <w:rPr>
          <w:b/>
          <w:bCs/>
          <w:lang w:val="en-GB"/>
        </w:rPr>
        <w:t>Exhibit 3</w:t>
      </w:r>
      <w:r>
        <w:rPr>
          <w:lang w:val="en-GB"/>
        </w:rPr>
        <w:t xml:space="preserve"> (Service Levels).</w:t>
      </w:r>
    </w:p>
    <w:p>
      <w:pPr>
        <w:pStyle w:val="Normal"/>
        <w:rPr/>
      </w:pPr>
      <w:r>
        <w:rPr>
          <w:lang w:val="en-GB"/>
        </w:rPr>
        <w:t>2.</w:t>
        <w:tab/>
        <w:t xml:space="preserve">Service Levels and the mechanisms to baseline and measure them are described in </w:t>
      </w:r>
      <w:r>
        <w:rPr>
          <w:b/>
          <w:bCs/>
          <w:lang w:val="en-GB"/>
        </w:rPr>
        <w:t>Exhibit 3</w:t>
      </w:r>
      <w:r>
        <w:rPr>
          <w:lang w:val="en-GB"/>
        </w:rPr>
        <w:t xml:space="preserve"> (Service Levels).</w:t>
      </w:r>
    </w:p>
    <w:p>
      <w:pPr>
        <w:pStyle w:val="Normal"/>
        <w:rPr/>
      </w:pPr>
      <w:r>
        <w:rPr>
          <w:lang w:val="en-GB"/>
        </w:rPr>
        <w:t>3.</w:t>
        <w:tab/>
        <w:t>The Service Provider will perform and provide to GlobalPharma a root cause analysis for any incident that would contribute to the Service Provider's missing a Service Level.</w:t>
      </w:r>
    </w:p>
    <w:p>
      <w:pPr>
        <w:pStyle w:val="Normal"/>
        <w:rPr/>
      </w:pPr>
      <w:r>
        <w:rPr>
          <w:lang w:val="en-GB"/>
        </w:rPr>
        <w:t>4.</w:t>
        <w:tab/>
        <w:t>All Services without expressly defined Service Levels must be performed at service levels that equal or exceed the level of service being provided by GlobalPharma within the 12 month period immediately prior to the Effective Date.</w:t>
      </w:r>
    </w:p>
    <w:p>
      <w:pPr>
        <w:pStyle w:val="Normal"/>
        <w:rPr/>
      </w:pPr>
      <w:r>
        <w:rPr>
          <w:lang w:val="en-GB"/>
        </w:rPr>
        <w:t>5.</w:t>
        <w:tab/>
        <w:t>The Service Provider's level of performance will at all times exceed or be consistent with generally recognised industry standards and/or ServicePro internal standards and accordingly will comply with the specific Service Levels identified in The Agreements and/or modified from time to time by the appropriate contractual process.</w:t>
      </w:r>
    </w:p>
    <w:p>
      <w:pPr>
        <w:pStyle w:val="Normal"/>
        <w:rPr/>
      </w:pPr>
      <w:r>
        <w:rPr>
          <w:lang w:val="en-GB"/>
        </w:rPr>
        <w:t>6.</w:t>
        <w:tab/>
        <w:t>The Service Provider will implement and operate all measurement and monitoring tools and procedures required to measure and report its performance relative to the applicable Service Levels. The Service Level measurement, monitoring and reporting process be at a level of detail to verify compliance with the Service Levels and will all be subject to audit by GlobalPharma.</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4" w:name="__RefHeading___Toc157506484"/>
      <w:bookmarkEnd w:id="24"/>
      <w:r>
        <w:rPr>
          <w:lang w:val="en-GB"/>
        </w:rPr>
        <w:t>Transition Plan</w:t>
      </w:r>
    </w:p>
    <w:p>
      <w:pPr>
        <w:pStyle w:val="Normal"/>
        <w:rPr>
          <w:lang w:val="en-GB"/>
        </w:rPr>
      </w:pPr>
      <w:r>
        <w:rPr>
          <w:lang w:val="en-GB"/>
        </w:rPr>
        <w:t>1.</w:t>
        <w:tab/>
        <w:t xml:space="preserve">With regard to the transition of the responsibilities in line with this Agreement the Service Provider will undertake the steps as described in </w:t>
      </w:r>
      <w:r>
        <w:rPr>
          <w:b/>
          <w:bCs/>
          <w:lang w:val="en-GB"/>
        </w:rPr>
        <w:t>Exhibit 21</w:t>
      </w:r>
      <w:r>
        <w:rPr>
          <w:lang w:val="en-GB"/>
        </w:rPr>
        <w:t xml:space="preserve"> (Statement of Work Transition). </w:t>
      </w:r>
      <w:r>
        <w:rPr>
          <w:b/>
          <w:bCs/>
          <w:lang w:val="en-GB"/>
        </w:rPr>
        <w:t xml:space="preserve">Exhibit 21 </w:t>
      </w:r>
      <w:r>
        <w:rPr>
          <w:lang w:val="en-GB"/>
        </w:rPr>
        <w:t>(Statement of Work Transition) contains descriptions of:</w:t>
      </w:r>
    </w:p>
    <w:p>
      <w:pPr>
        <w:pStyle w:val="Normal"/>
        <w:rPr/>
      </w:pPr>
      <w:r>
        <w:rPr>
          <w:lang w:val="en-GB"/>
        </w:rPr>
        <w:t>1.1</w:t>
        <w:tab/>
        <w:t>All of the transition tasks to be performed by the Service Provider.</w:t>
      </w:r>
    </w:p>
    <w:p>
      <w:pPr>
        <w:pStyle w:val="Normal"/>
        <w:rPr/>
      </w:pPr>
      <w:r>
        <w:rPr>
          <w:lang w:val="en-GB"/>
        </w:rPr>
        <w:t>1.2</w:t>
        <w:tab/>
        <w:t>Any allocation of responsibilities between the Parties.</w:t>
      </w:r>
    </w:p>
    <w:p>
      <w:pPr>
        <w:pStyle w:val="Normal"/>
        <w:rPr/>
      </w:pPr>
      <w:r>
        <w:rPr>
          <w:lang w:val="en-GB"/>
        </w:rPr>
        <w:t>1.3</w:t>
        <w:tab/>
        <w:t>The specific resources to be provided by GlobalPharma.</w:t>
      </w:r>
    </w:p>
    <w:p>
      <w:pPr>
        <w:pStyle w:val="Normal"/>
        <w:rPr/>
      </w:pPr>
      <w:r>
        <w:rPr>
          <w:lang w:val="en-GB"/>
        </w:rPr>
        <w:t>1.4</w:t>
        <w:tab/>
        <w:t>The completion date for each transition task.</w:t>
      </w:r>
    </w:p>
    <w:p>
      <w:pPr>
        <w:pStyle w:val="Normal"/>
        <w:rPr/>
      </w:pPr>
      <w:r>
        <w:rPr>
          <w:lang w:val="en-GB"/>
        </w:rPr>
        <w:t>1.5</w:t>
        <w:tab/>
        <w:t>The acceptance criteria have to be jointly agreed (and, if appropriate, testing) to be applied by GlobalPharma in evaluating transition deliverables.</w:t>
      </w:r>
    </w:p>
    <w:p>
      <w:pPr>
        <w:pStyle w:val="Normal"/>
        <w:rPr/>
      </w:pPr>
      <w:r>
        <w:rPr>
          <w:lang w:val="en-GB"/>
        </w:rPr>
        <w:t>1.6</w:t>
        <w:tab/>
        <w:t>A description of any one-time or other charges to GlobalPharma which are associated with the Transition Plan, including deliverable criteria and timing for payment(s).</w:t>
      </w:r>
    </w:p>
    <w:p>
      <w:pPr>
        <w:pStyle w:val="Normal"/>
        <w:rPr>
          <w:lang w:val="en-GB"/>
        </w:rPr>
      </w:pPr>
      <w:r>
        <w:rPr>
          <w:lang w:val="en-GB"/>
        </w:rPr>
        <w:t>1.7</w:t>
        <w:tab/>
        <w:t>The name(s) and resumes of the key individuals (including transition managers, program leaders to be assigned by the Service Provider to execute the Transition Plan. GlobalPharma has the right to interview and approve these key individuals.</w:t>
      </w:r>
    </w:p>
    <w:p>
      <w:pPr>
        <w:pStyle w:val="Normal"/>
        <w:rPr/>
      </w:pPr>
      <w:r>
        <w:rPr>
          <w:lang w:val="en-GB"/>
        </w:rPr>
        <w:t>1.8</w:t>
        <w:tab/>
        <w:t>All other pertinent details of the transition process.</w:t>
      </w:r>
    </w:p>
    <w:p>
      <w:pPr>
        <w:pStyle w:val="Normal"/>
        <w:rPr/>
      </w:pPr>
      <w:r>
        <w:rPr>
          <w:lang w:val="en-GB"/>
        </w:rPr>
        <w:t>2.</w:t>
        <w:tab/>
        <w:t>GlobalPharma will tie the payment of any agreed-upon transition fees to the successful completion of specific milestones by the Service Provider.</w:t>
      </w:r>
    </w:p>
    <w:p>
      <w:pPr>
        <w:pStyle w:val="Normal"/>
        <w:rPr>
          <w:lang w:val="en-GB"/>
        </w:rPr>
      </w:pPr>
      <w:r>
        <w:rPr>
          <w:lang w:val="en-GB"/>
        </w:rPr>
        <w:t>3.</w:t>
        <w:tab/>
        <w:t xml:space="preserve">GlobalPharma shall have the right to terminate The Agreements if the Service Provider fails to complete the Transition Plan by the planned completion date provided that the failure of timely completion is not attributable to GlobalPharma, subject to a cure period as defined below in point 4. The planned completion date may be amended by mutual agreement. Any such amendment would than become the new planned completion date. Both parties will endeavour to determine the proportionate share of responsibility for the said failure for apportionment of the termination charges. </w:t>
      </w:r>
    </w:p>
    <w:p>
      <w:pPr>
        <w:pStyle w:val="Normal"/>
        <w:rPr/>
      </w:pPr>
      <w:r>
        <w:rPr>
          <w:lang w:val="en-US"/>
        </w:rPr>
        <w:t xml:space="preserve">4. </w:t>
        <w:tab/>
        <w:t xml:space="preserve">The cure period is defined in two (2) parts: </w:t>
      </w:r>
    </w:p>
    <w:p>
      <w:pPr>
        <w:pStyle w:val="Normal"/>
        <w:rPr/>
      </w:pPr>
      <w:r>
        <w:rPr>
          <w:lang w:val="en-US"/>
        </w:rPr>
        <w:t>1st Cure: The Service Provider must provide a revised plan that mitigates the risks for the delay of the transition within 5 working days from the notice by GlobalPharma. GlobalPharma then has 5 working days to review and come to agreement with the Service Provider on the plan. If this plan is agreed, the breach has been cured.</w:t>
      </w:r>
      <w:r>
        <w:rPr>
          <w:vertAlign w:val="superscript"/>
          <w:lang w:val="en-US"/>
        </w:rPr>
      </w:r>
      <w:r>
        <w:rPr>
          <w:lang w:val="en-US"/>
        </w:rPr>
      </w:r>
    </w:p>
    <w:p>
      <w:pPr>
        <w:pStyle w:val="Normal"/>
        <w:rPr/>
      </w:pPr>
      <w:r>
        <w:rPr>
          <w:lang w:val="en-US"/>
        </w:rPr>
        <w:t>2nd Cure: Should the Service Provider and GlobalPharma not come to agreement on the Plan after the 1st Cure, then the Service Provider shall have another 5 working days to present a new plan. GlobalPharma than has 5 working days to review and come to agreement with the Service Provider on the plan. If this plan is agreed, the breech has been cured. If the plan is not agreed:</w:t>
      </w:r>
      <w:r>
        <w:rPr>
          <w:vertAlign w:val="superscript"/>
          <w:lang w:val="en-US"/>
        </w:rPr>
      </w:r>
      <w:r>
        <w:rPr>
          <w:lang w:val="en-US"/>
        </w:rPr>
      </w:r>
      <w:r>
        <w:rPr>
          <w:vertAlign w:val="superscript"/>
          <w:lang w:val="en-US"/>
        </w:rPr>
      </w:r>
      <w:r>
        <w:rPr>
          <w:lang w:val="en-US"/>
        </w:rPr>
      </w:r>
    </w:p>
    <w:p>
      <w:pPr>
        <w:pStyle w:val="Normal"/>
        <w:rPr/>
      </w:pPr>
      <w:r>
        <w:rPr>
          <w:lang w:val="en-GB"/>
        </w:rPr>
        <w:t>5.</w:t>
        <w:tab/>
        <w:t xml:space="preserve">If the responsibility is proportionately shared, as mentioned above in Point 3, then the charges as defined in </w:t>
      </w:r>
      <w:r>
        <w:rPr>
          <w:b/>
          <w:lang w:val="en-GB"/>
        </w:rPr>
        <w:t>Attachment 4-A</w:t>
      </w:r>
      <w:r>
        <w:rPr>
          <w:lang w:val="en-GB"/>
        </w:rPr>
        <w:t xml:space="preserve"> (Service Provider Pricing Forms) for Termination for Convenience will proportionately be applied.</w:t>
      </w:r>
    </w:p>
    <w:p>
      <w:pPr>
        <w:pStyle w:val="Normal"/>
        <w:rPr>
          <w:lang w:val="en-US"/>
        </w:rPr>
      </w:pPr>
      <w:r>
        <w:rPr>
          <w:lang w:val="en-GB"/>
        </w:rPr>
        <w:t>6.</w:t>
        <w:tab/>
        <w:t>If the responsibility is 100% the fault of Service Provider, then the provisions for Termination for Cause will apply.</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5" w:name="__RefHeading___Toc157506485"/>
      <w:bookmarkEnd w:id="25"/>
      <w:r>
        <w:rPr>
          <w:lang w:val="en-GB"/>
        </w:rPr>
        <w:t>GlobalPharma Personnel</w:t>
      </w:r>
    </w:p>
    <w:p>
      <w:pPr>
        <w:pStyle w:val="Normal"/>
        <w:rPr>
          <w:lang w:val="en-GB"/>
        </w:rPr>
      </w:pPr>
      <w:r>
        <w:rPr>
          <w:lang w:val="en-GB"/>
        </w:rPr>
        <w:t>The mutual responsibilities of both Parties with regard to GlobalPharma staff are described in Exhibit 5 (Human Resource Provisions).</w:t>
      </w:r>
      <w:r>
        <w:rPr>
          <w:b/>
          <w:bCs/>
          <w:lang w:val="en-GB"/>
        </w:rPr>
      </w:r>
      <w:r>
        <w:rPr>
          <w:lang w:val="en-GB"/>
        </w:rPr>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6" w:name="__RefHeading___Toc157506486"/>
      <w:bookmarkEnd w:id="26"/>
      <w:r>
        <w:rPr>
          <w:lang w:val="en-GB"/>
        </w:rPr>
        <w:t>Regulatory Compliance</w:t>
      </w:r>
    </w:p>
    <w:p>
      <w:pPr>
        <w:pStyle w:val="Normal"/>
        <w:rPr>
          <w:lang w:val="en-GB"/>
        </w:rPr>
      </w:pPr>
      <w:r>
        <w:rPr>
          <w:lang w:val="en-GB"/>
        </w:rPr>
        <w:t>1.</w:t>
        <w:tab/>
        <w:t>The Service Provider ensures compliance with all regulatory issues that may arise with the provision of the Services within the sites Described in Exhibit 7 (Sites). Amongst others the Service Provider ensures compliance with the requirements of Sarbanes Oxley, GLB, HIPPA and UK and EU norms on data protection and US credit laws such as Fair Debt Collection Practices Act (FDCPA) and Equal Credit Opportunity Act (ECOA). Laws and regulations specific to GlobalPharma will need to be communicated and discussed prior to implementation.</w:t>
      </w:r>
      <w:r>
        <w:rPr>
          <w:b/>
          <w:bCs/>
          <w:lang w:val="en-GB"/>
        </w:rPr>
      </w:r>
      <w:r>
        <w:rPr>
          <w:lang w:val="en-GB"/>
        </w:rPr>
      </w:r>
    </w:p>
    <w:p>
      <w:pPr>
        <w:pStyle w:val="Normal"/>
        <w:rPr/>
      </w:pPr>
      <w:r>
        <w:rPr>
          <w:lang w:val="en-GB"/>
        </w:rPr>
        <w:t>2.</w:t>
        <w:tab/>
        <w:t>The Service Provider will provide best efforts, for all support reasonably related to the scope of Services that is required for GlobalPharma to meet all of its requirements imposed by global, transnational, federal, state, or local laws and regulations, and will meet GlobalPharma's internal and external audit and compliance requirements, which may be more stringent than regulatory requirements, provided any new requirements have been communicated to Service Provider and may be subject to Change Control.</w:t>
      </w:r>
    </w:p>
    <w:p>
      <w:pPr>
        <w:pStyle w:val="Normal"/>
        <w:rPr/>
      </w:pPr>
      <w:r>
        <w:rPr>
          <w:lang w:val="en-GB"/>
        </w:rPr>
        <w:t>3.</w:t>
        <w:tab/>
        <w:t>The Service Provider will obtain and maintain, at its costs, all governmental licenses, approvals, authorizations, and permits regulating the Service Provider as a services provider as required from time to time.</w:t>
      </w:r>
    </w:p>
    <w:p>
      <w:pPr>
        <w:pStyle w:val="Normal"/>
        <w:rPr/>
      </w:pPr>
      <w:r>
        <w:rPr>
          <w:lang w:val="en-GB"/>
        </w:rPr>
        <w:t>4.</w:t>
        <w:tab/>
        <w:t>The Service Provider will promptly notify GlobalPharma of any changes in law or regulation relating as for the Services provided under The Agreement.</w:t>
      </w:r>
    </w:p>
    <w:p>
      <w:pPr>
        <w:pStyle w:val="Normal"/>
        <w:rPr>
          <w:lang w:val="en-GB"/>
        </w:rPr>
      </w:pPr>
      <w:r>
        <w:rPr>
          <w:lang w:val="en-GB"/>
        </w:rPr>
        <w:t>5.</w:t>
        <w:tab/>
        <w:t xml:space="preserve">The Service Provider will ensure the Services conform to any changes in applicable law or regulation subject to GlobalPharma's obligation to notify and update the Service Provider of applicable Law in GlobalPharma's jurisdiction(s). Any charges to the Services associated with changes in applicable law or regulation will be documented in a Change Control Request and will require the prior written approval of GlobalPharma. </w:t>
      </w:r>
      <w:r>
        <w:rPr>
          <w:rFonts w:cs="Arial" w:ascii="Arial" w:hAnsi="Arial"/>
          <w:lang w:val="en-NZ"/>
        </w:rPr>
      </w:r>
      <w:r>
        <w:rPr>
          <w:lang w:val="en-GB"/>
        </w:rPr>
      </w:r>
    </w:p>
    <w:p>
      <w:pPr>
        <w:pStyle w:val="Normal"/>
        <w:rPr>
          <w:lang w:val="en-GB"/>
        </w:rPr>
      </w:pPr>
      <w:r>
        <w:rPr>
          <w:lang w:val="en-GB"/>
        </w:rPr>
        <w:t>6.</w:t>
        <w:tab/>
        <w:t xml:space="preserve">If any change in law or regulation results in substantial fee increase or adversely affects the Service Provider's performance of the Services, then GlobalPharma can terminate the affected portion of the Services with payment of the applicable redeployment charges and applicable unamortized costs due to the Service Provider for such termination and the relevant fees will be equitably adjusted. If such change results in Service Provider not being able to provide services or GlobalPharma not being able to receive such services than GlobalPharma can terminate the affected portion of the services with payment of only the applicable unamortized costs. </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7" w:name="__RefHeading___Toc157506487"/>
      <w:bookmarkEnd w:id="27"/>
      <w:r>
        <w:rPr>
          <w:lang w:val="en-GB"/>
        </w:rPr>
        <w:t>Authorized Users of the Services</w:t>
      </w:r>
    </w:p>
    <w:p>
      <w:pPr>
        <w:pStyle w:val="Normal"/>
        <w:rPr/>
      </w:pPr>
      <w:r>
        <w:rPr>
          <w:lang w:val="en-GB"/>
        </w:rPr>
        <w:t>1.</w:t>
        <w:tab/>
        <w:t>The Service Provider shall provide the Services to GlobalPharma and to any Authorized Users designated by GlobalPharma, to include any GlobalPharma Affiliates designated by GlobalPharma, and to any Third Party Vendors and customers of GlobalPharma whose business relationship with GlobalPharma involves the use of the Services.</w:t>
      </w:r>
    </w:p>
    <w:p>
      <w:pPr>
        <w:pStyle w:val="Normal"/>
        <w:rPr>
          <w:lang w:val="en-GB"/>
        </w:rPr>
      </w:pPr>
      <w:r>
        <w:rPr>
          <w:lang w:val="en-GB"/>
        </w:rPr>
        <w:t>2.</w:t>
        <w:tab/>
        <w:t>In the event that an entity receiving Services as an Authorized User no longer meets the definition of "Authorized User" (e.g. due to a GlobalPharma divestiture of an Affiliate), the Service Provider shall, if requested by GlobalPharma, continue to provide the Services to such entity after the date such entity becomes a former Authorized User for up to twelve (12) months (or longer period as agreed to in writing) as requested by GlobalPharma. Services provided to former Authorized Users shall be provided in accordance with the then-current terms and conditions.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8" w:name="__RefHeading___Toc157506488"/>
      <w:bookmarkEnd w:id="28"/>
      <w:r>
        <w:rPr>
          <w:lang w:val="en-GB"/>
        </w:rPr>
        <w:t>Sites</w:t>
      </w:r>
    </w:p>
    <w:p>
      <w:pPr>
        <w:pStyle w:val="Normal"/>
        <w:rPr>
          <w:lang w:val="en-GB"/>
        </w:rPr>
      </w:pPr>
      <w:r>
        <w:rPr>
          <w:lang w:val="en-GB"/>
        </w:rPr>
        <w:t>The Service Provider shall provide the Services to Authorized Users at any and all Sites at which such entities operate as of the Effective Date and any additional Sites as GlobalPharma requests through-out the Term. Services at new Sites shall be charged according to the rates set forth in The Agreements, unless GlobalPharma agrees that a material cost differential justifies specific alternative rates or charges. A list of existing Sites and the Services provided at the Sites can be found in Exhibit 7 (Sites).</w:t>
      </w:r>
      <w:r>
        <w:rPr>
          <w:b/>
          <w:bCs/>
          <w:lang w:val="en-GB"/>
        </w:rPr>
      </w:r>
      <w:r>
        <w:rPr>
          <w:lang w:val="en-GB"/>
        </w:rPr>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29" w:name="__RefHeading___Toc157506489"/>
      <w:bookmarkEnd w:id="29"/>
      <w:r>
        <w:rPr>
          <w:lang w:val="en-GB"/>
        </w:rPr>
        <w:t>Current Initiatives</w:t>
      </w:r>
    </w:p>
    <w:p>
      <w:pPr>
        <w:pStyle w:val="Normal"/>
        <w:rPr>
          <w:lang w:val="en-GB"/>
        </w:rPr>
      </w:pPr>
      <w:r>
        <w:rPr>
          <w:lang w:val="en-GB"/>
        </w:rPr>
        <w:t>GlobalPharma will inform the Service Provider with reference to the status of the on going in-scope initiatives described in Exhibit 9 (Current and Planned Projects). The Resource Zurichine as described in Attachment 4-D (Resource Zurichine) is net of these initiatives provided such initiatives have been implemented by the Transition and which would have the effect of eliminating the need for such FTEs. Supplier however agrees generally, that if any initiatives are solely driven by GlobalPharma, then the full productivity benefit of such initiatives will accrue to GlobalPharma.</w:t>
      </w:r>
      <w:r>
        <w:rPr>
          <w:b/>
          <w:bCs/>
          <w:lang w:val="en-GB"/>
        </w:rPr>
      </w:r>
      <w:r>
        <w:rPr>
          <w:lang w:val="en-GB"/>
        </w:rPr>
      </w:r>
      <w:r>
        <w:rPr>
          <w:b/>
          <w:lang w:val="en-GB"/>
        </w:rPr>
      </w:r>
      <w:r>
        <w:rPr>
          <w:lang w:val="en-GB"/>
        </w:rPr>
      </w:r>
    </w:p>
    <w:p>
      <w:pPr>
        <w:pStyle w:val="Heading1"/>
        <w:numPr>
          <w:ilvl w:val="0"/>
          <w:numId w:val="8"/>
        </w:numPr>
        <w:ind w:hanging="567" w:start="567" w:end="0"/>
        <w:rPr>
          <w:lang w:val="en-GB"/>
        </w:rPr>
      </w:pPr>
      <w:bookmarkStart w:id="30" w:name="__RefHeading___Toc157506490"/>
      <w:bookmarkEnd w:id="30"/>
      <w:r>
        <w:rPr>
          <w:lang w:val="en-GB"/>
        </w:rPr>
        <w:t>Facilities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31" w:name="__RefHeading___Toc157506491"/>
      <w:bookmarkEnd w:id="31"/>
      <w:r>
        <w:rPr>
          <w:lang w:val="en-GB"/>
        </w:rPr>
        <w:t>General</w:t>
      </w:r>
    </w:p>
    <w:p>
      <w:pPr>
        <w:pStyle w:val="Normal"/>
        <w:rPr/>
      </w:pPr>
      <w:r>
        <w:rPr>
          <w:lang w:val="en-GB"/>
        </w:rPr>
        <w:t>1.</w:t>
        <w:tab/>
        <w:t>The Service Provider will provide all the Services from its own service centers and using its Affiliates except as in the cases pertaining to document management such as scanning, printing, dunning letters, storage of physical paper etc. which will be provided from third parties' Facilities The Service Provider will be responsible for obtaining any and all necessary approvals, and for complying with any and all applicable laws, statutes, and regulations including any export and import control laws with regard to such Facilities.</w:t>
      </w:r>
    </w:p>
    <w:p>
      <w:pPr>
        <w:pStyle w:val="Normal"/>
        <w:rPr/>
      </w:pPr>
      <w:r>
        <w:rPr>
          <w:lang w:val="en-GB"/>
        </w:rPr>
        <w:t>2.</w:t>
        <w:tab/>
        <w:t>The capabilities of providing such Services for any additional functions/sites GlobalPharma might later choose to bring within the scope of the Services are described in Exhibit 2.1 - 2.8 (Statements of Work).</w:t>
      </w:r>
      <w:r>
        <w:rPr>
          <w:b/>
          <w:bCs/>
          <w:lang w:val="en-GB"/>
        </w:rPr>
      </w:r>
      <w:r>
        <w:rPr>
          <w:bCs/>
          <w:lang w:val="en-GB"/>
        </w:rPr>
      </w:r>
      <w:r>
        <w:rPr>
          <w:lang w:val="en-GB"/>
        </w:rPr>
      </w:r>
    </w:p>
    <w:p>
      <w:pPr>
        <w:pStyle w:val="Normal"/>
        <w:rPr>
          <w:lang w:val="en-GB"/>
        </w:rPr>
      </w:pPr>
      <w:r>
        <w:rPr>
          <w:lang w:val="en-GB"/>
        </w:rPr>
        <w:t>3.</w:t>
        <w:tab/>
        <w:t xml:space="preserve">The Service Provider will maintain and enforce, at the Facilities where the Services are provided, safety and physical security procedures that are in conformity with (i) GlobalPharma's policies and procedures applicable to its locations; and (ii) any higher standard otherwise agreed by GlobalPharma and the Service Provider. </w:t>
      </w:r>
    </w:p>
    <w:p>
      <w:pPr>
        <w:pStyle w:val="Normal"/>
        <w:rPr/>
      </w:pPr>
      <w:r>
        <w:rPr>
          <w:lang w:val="en-GB"/>
        </w:rPr>
        <w:t>The Service Provider will comply with the safety and security policies and procedures in effect at GlobalPharma's Facilities which are brought to the attention of the Service Provider.</w:t>
      </w:r>
    </w:p>
    <w:p>
      <w:pPr>
        <w:pStyle w:val="Normal"/>
        <w:rPr>
          <w:lang w:val="en-GB"/>
        </w:rPr>
      </w:pPr>
      <w:r>
        <w:rPr>
          <w:lang w:val="en-GB"/>
        </w:rPr>
        <w:t>4.</w:t>
        <w:tab/>
        <w:t xml:space="preserve">The Service Provider will comply with the requirements related to Facilities in </w:t>
      </w:r>
      <w:r>
        <w:rPr>
          <w:b/>
          <w:bCs/>
          <w:lang w:val="en-GB"/>
        </w:rPr>
        <w:t>Exhibit 2.1 - 2.8</w:t>
      </w:r>
      <w:r>
        <w:rPr>
          <w:bCs/>
          <w:lang w:val="en-GB"/>
        </w:rPr>
        <w:t xml:space="preserve"> (Statements of Work)</w:t>
      </w:r>
      <w:r>
        <w:rPr>
          <w:lang w:val="en-GB"/>
        </w:rPr>
        <w:t xml:space="preserve"> and all other requirements related to Facilities as specified in The Agreements.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32" w:name="__RefHeading___Toc157506492"/>
      <w:bookmarkEnd w:id="32"/>
      <w:r>
        <w:rPr>
          <w:lang w:val="en-GB"/>
        </w:rPr>
        <w:t>Service Provider's Use of GlobalPharma's Facilities</w:t>
      </w:r>
    </w:p>
    <w:p>
      <w:pPr>
        <w:pStyle w:val="Normal"/>
        <w:rPr/>
      </w:pPr>
      <w:r>
        <w:rPr>
          <w:lang w:val="en-GB"/>
        </w:rPr>
        <w:t>1.</w:t>
        <w:tab/>
        <w:t>The terms for the use of any of GlobalPharma's facilities during transition in line with the Transition Plan and (exceptionally) after the Transition describing (i) the extent of such Facilities required and the duration of such requirement, and (ii) any upgrades or modifications to such Facilities that the Service Provider requires in order to provide the Services are contained in Exhibit 21 (Statement of Work Transition).</w:t>
      </w:r>
      <w:r>
        <w:rPr>
          <w:b/>
          <w:bCs/>
          <w:lang w:val="en-GB"/>
        </w:rPr>
      </w:r>
      <w:r>
        <w:rPr>
          <w:bCs/>
          <w:lang w:val="en-GB"/>
        </w:rPr>
      </w:r>
      <w:r>
        <w:rPr>
          <w:lang w:val="en-GB"/>
        </w:rPr>
      </w:r>
    </w:p>
    <w:p>
      <w:pPr>
        <w:pStyle w:val="Normal"/>
        <w:rPr/>
      </w:pPr>
      <w:r>
        <w:rPr>
          <w:lang w:val="en-GB"/>
        </w:rPr>
        <w:t>2.</w:t>
        <w:tab/>
        <w:t>With GlobalPharma's prior written approval, the Service Provider may make improvements to GlobalPharma Facilities at its own expense. Improvements to GlobalPharma Facilities, whether owned or leased, will become the property of GlobalPharma or its lessors.</w:t>
      </w:r>
    </w:p>
    <w:p>
      <w:pPr>
        <w:pStyle w:val="Normal"/>
        <w:rPr/>
      </w:pPr>
      <w:r>
        <w:rPr>
          <w:lang w:val="en-GB"/>
        </w:rPr>
        <w:t>3.</w:t>
        <w:tab/>
        <w:t>With respect to the GlobalPharma Facilities utilized by the Service Provider to provide Services, GlobalPharma will manage and maintain at historical levels the building and property electrical systems; water, sewer, lights, heating, ventilation and air conditioning ("HVAC") systems; physical security services; and general custodial/landscape services. GlobalPharma will retain the costs of applicable Facilities leases and related leasehold improvements with respect to the GlobalPharma Facilities. The GlobalPharma Facilities will be made available to the Service Provider on an "as is, where is" basis.</w:t>
      </w:r>
    </w:p>
    <w:p>
      <w:pPr>
        <w:pStyle w:val="Normal"/>
        <w:rPr>
          <w:lang w:val="en-GB"/>
        </w:rPr>
      </w:pPr>
      <w:r>
        <w:rPr>
          <w:lang w:val="en-GB"/>
        </w:rPr>
        <w:t>4.</w:t>
        <w:tab/>
        <w:t>The Service Provider will use the GlobalPharma Facilities for the sole purpose of providing the Services and will use the GlobalPharma Facilities in an efficient manner. The Service Provider will be responsible for damages to and fines for the GlobalPharma Facilities caused by the Service Provider, its agents, subcontractors, employees or invitees. The Service Provider will permit GlobalPharma and its agents and representatives to enter into those portions of the GlobalPharma Facilities occupied by Service Provider staff at any time. When the GlobalPharma Facilities are no longer required for performance of the Services, the Service Provider will return the Facilities to GlobalPharma in substantially the same condition as when the Service Provider began use of the Facilities, subject to reasonable wear and tear.</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33" w:name="__RefHeading___Toc157506493"/>
      <w:bookmarkEnd w:id="33"/>
      <w:r>
        <w:rPr>
          <w:lang w:val="en-GB"/>
        </w:rPr>
        <w:t>Migrations from GlobalPharma Facilities</w:t>
      </w:r>
    </w:p>
    <w:p>
      <w:pPr>
        <w:pStyle w:val="Normal"/>
        <w:rPr>
          <w:lang w:val="en-GB"/>
        </w:rPr>
      </w:pPr>
      <w:r>
        <w:rPr>
          <w:lang w:val="en-GB"/>
        </w:rPr>
        <w:t xml:space="preserve">The migration process is described in </w:t>
      </w:r>
      <w:r>
        <w:rPr>
          <w:b/>
          <w:bCs/>
          <w:lang w:val="en-GB"/>
        </w:rPr>
        <w:t>Exhibit 21</w:t>
      </w:r>
      <w:r>
        <w:rPr>
          <w:lang w:val="en-GB"/>
        </w:rPr>
        <w:t xml:space="preserve"> (Statement of Work Transition).</w:t>
      </w:r>
    </w:p>
    <w:p>
      <w:pPr>
        <w:pStyle w:val="Heading1"/>
        <w:numPr>
          <w:ilvl w:val="0"/>
          <w:numId w:val="8"/>
        </w:numPr>
        <w:ind w:hanging="567" w:start="567" w:end="0"/>
        <w:rPr>
          <w:lang w:val="en-GB"/>
        </w:rPr>
      </w:pPr>
      <w:bookmarkStart w:id="34" w:name="__RefHeading___Toc157506494"/>
      <w:bookmarkEnd w:id="34"/>
      <w:r>
        <w:rPr>
          <w:lang w:val="en-GB"/>
        </w:rPr>
        <w:t>Equipment, Software and Third Party Services Contract</w:t>
      </w:r>
    </w:p>
    <w:p>
      <w:pPr>
        <w:pStyle w:val="Normal"/>
        <w:rPr>
          <w:lang w:val="en-GB"/>
        </w:rPr>
      </w:pPr>
      <w:r>
        <w:rPr>
          <w:lang w:val="en-GB"/>
        </w:rPr>
        <w:t xml:space="preserve">The allocation of responsibilities with respect to Equipment, Software and Third Party Contracts is described in </w:t>
      </w:r>
      <w:r>
        <w:rPr>
          <w:b/>
          <w:bCs/>
          <w:lang w:val="en-GB"/>
        </w:rPr>
        <w:t>Attachment 4-B</w:t>
      </w:r>
      <w:r>
        <w:rPr>
          <w:lang w:val="en-GB"/>
        </w:rPr>
        <w:t xml:space="preserve"> (Financial Responsibility Matrix)</w:t>
      </w:r>
    </w:p>
    <w:p>
      <w:pPr>
        <w:pStyle w:val="Heading1"/>
        <w:numPr>
          <w:ilvl w:val="0"/>
          <w:numId w:val="8"/>
        </w:numPr>
        <w:ind w:hanging="567" w:start="567" w:end="0"/>
        <w:rPr>
          <w:lang w:val="en-GB"/>
        </w:rPr>
      </w:pPr>
      <w:bookmarkStart w:id="35" w:name="__RefHeading___Toc157506495"/>
      <w:bookmarkEnd w:id="35"/>
      <w:r>
        <w:rPr>
          <w:lang w:val="en-GB"/>
        </w:rPr>
        <w:t>Special Asset Terms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36" w:name="__RefHeading___Toc157506496"/>
      <w:bookmarkEnd w:id="36"/>
      <w:r>
        <w:rPr>
          <w:lang w:val="en-GB"/>
        </w:rPr>
        <w:t>Commitment to Provide Resources</w:t>
      </w:r>
    </w:p>
    <w:p>
      <w:pPr>
        <w:pStyle w:val="Normal"/>
        <w:rPr>
          <w:lang w:val="en-GB"/>
        </w:rPr>
      </w:pPr>
      <w:r>
        <w:rPr>
          <w:lang w:val="en-GB"/>
        </w:rPr>
        <w:t>Except where The Agreements specifically provide otherwise, the Service Provider shall be responsible for providing any and all Facilities, assets, and resources (including personnel, Facilities, Equipment, data and voice network/telecommunications, and Software) necessary for delivering the Services and meeting its obligations under The Agreements.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37" w:name="__RefHeading___Toc157506497"/>
      <w:bookmarkEnd w:id="37"/>
      <w:r>
        <w:rPr>
          <w:lang w:val="en-GB"/>
        </w:rPr>
        <w:t>Compliance with Terms</w:t>
      </w:r>
    </w:p>
    <w:p>
      <w:pPr>
        <w:pStyle w:val="Normal"/>
        <w:rPr>
          <w:lang w:val="en-GB"/>
        </w:rPr>
      </w:pPr>
      <w:r>
        <w:rPr>
          <w:lang w:val="en-GB"/>
        </w:rPr>
        <w:t>To the extent that GlobalPharma provides the Service Provider with access to or use of leased Equipment, licensed Software or Third Party Contracts for which GlobalPharma retains legal responsibility, the Service Provider will comply with all the obligations of such leases, licenses and Third Party Contracts of which it has been informed before Commencement Date or will be informed of during the Term. The Service Provider will cease use of such items upon expiration or termination of The Agreements.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38" w:name="__RefHeading___Toc157506498"/>
      <w:bookmarkEnd w:id="38"/>
      <w:r>
        <w:rPr>
          <w:lang w:val="en-GB"/>
        </w:rPr>
        <w:t>Refresh and Standardization</w:t>
      </w:r>
    </w:p>
    <w:p>
      <w:pPr>
        <w:pStyle w:val="Normal"/>
        <w:rPr/>
      </w:pPr>
      <w:r>
        <w:rPr>
          <w:lang w:val="en-GB"/>
        </w:rPr>
        <w:t>6.3.1</w:t>
        <w:tab/>
        <w:t>The Service Provider is responsible for refresh of technology under its control as necessary to meet Service Levels under The Agreements and as specified in Exhibit 8 (Technical Architecture and Product Standards). GlobalPharma is not obligated to update and/or refresh any technology in so far as any update and/or refresh remains supported by the relevant technology provider.</w:t>
      </w:r>
      <w:r>
        <w:rPr>
          <w:b/>
          <w:bCs/>
          <w:lang w:val="en-GB"/>
        </w:rPr>
      </w:r>
      <w:r>
        <w:rPr>
          <w:lang w:val="en-GB"/>
        </w:rPr>
      </w:r>
    </w:p>
    <w:p>
      <w:pPr>
        <w:pStyle w:val="Normal"/>
        <w:rPr/>
      </w:pPr>
      <w:r>
        <w:rPr>
          <w:lang w:val="en-GB"/>
        </w:rPr>
        <w:t>6.3.2</w:t>
        <w:tab/>
        <w:t>GlobalPharma has the flexibility to waive refresh of assets under its control subject to an assessment of any impact on the Service Provider's support costs.</w:t>
      </w:r>
    </w:p>
    <w:p>
      <w:pPr>
        <w:pStyle w:val="Normal"/>
        <w:rPr/>
      </w:pPr>
      <w:r>
        <w:rPr>
          <w:lang w:val="en-GB"/>
        </w:rPr>
        <w:t>6.3.3</w:t>
        <w:tab/>
        <w:t>GlobalPharma's approval is required for changes that may involve risk to the business or affect GlobalPharma's charges under The Agreements or its costs otherwise.</w:t>
      </w:r>
    </w:p>
    <w:p>
      <w:pPr>
        <w:pStyle w:val="Normal"/>
        <w:rPr>
          <w:lang w:val="en-GB"/>
        </w:rPr>
      </w:pPr>
      <w:r>
        <w:rPr>
          <w:lang w:val="en-GB"/>
        </w:rPr>
        <w:t>6.3.4</w:t>
        <w:tab/>
        <w:t>If the Service Provider's granted solution involves the use of Service Provider Facilities, the Service Provider will provide separated physical space for the GlobalPharma Services and no Service Provider's Services will be shared with other Service Provider's customers. The Service Provider has described in detail the Service Provider's standards and process for regulating change to the environment and accommodating GlobalPharma's specific needs as specified in GEN Technical Solution Document for details on the IT-Solution (Exhibit 2.1 - 2.8 Statements of Work).</w:t>
      </w:r>
      <w:r>
        <w:rPr>
          <w:b/>
          <w:bCs/>
          <w:lang w:val="en-GB"/>
        </w:rPr>
      </w:r>
      <w:r>
        <w:rPr>
          <w:lang w:val="en-GB"/>
        </w:rPr>
      </w:r>
      <w:r>
        <w:rPr>
          <w:b/>
          <w:lang w:val="en-GB"/>
        </w:rPr>
      </w:r>
      <w:r>
        <w:rPr>
          <w:lang w:val="en-GB"/>
        </w:rPr>
      </w:r>
    </w:p>
    <w:p>
      <w:pPr>
        <w:pStyle w:val="Heading1"/>
        <w:numPr>
          <w:ilvl w:val="0"/>
          <w:numId w:val="8"/>
        </w:numPr>
        <w:ind w:hanging="567" w:start="567" w:end="0"/>
        <w:rPr>
          <w:lang w:val="en-GB"/>
        </w:rPr>
      </w:pPr>
      <w:bookmarkStart w:id="39" w:name="__RefHeading___Toc157506499"/>
      <w:bookmarkEnd w:id="39"/>
      <w:r>
        <w:rPr>
          <w:lang w:val="en-GB"/>
        </w:rPr>
        <w:t xml:space="preserve">Proprietary Rights </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40" w:name="__RefHeading___Toc157506500"/>
      <w:r>
        <w:rPr>
          <w:lang w:val="en-GB"/>
        </w:rPr>
        <w:t xml:space="preserve">GlobalPharma IP Rights and Know-how </w:t>
      </w:r>
      <w:bookmarkEnd w:id="40"/>
      <w:r>
        <w:rPr>
          <w:lang w:val="en-GB"/>
        </w:rPr>
      </w:r>
    </w:p>
    <w:p>
      <w:pPr>
        <w:pStyle w:val="A1"/>
        <w:ind w:hanging="0" w:start="0" w:end="0"/>
        <w:rPr/>
      </w:pPr>
      <w:r>
        <w:rPr>
          <w:lang w:val="en-GB"/>
        </w:rPr>
        <w:t>1.</w:t>
        <w:tab/>
        <w:t xml:space="preserve">GlobalPharma is the sole and exclusive owner of all IP rights and know-how ("Materials") owned by GlobalPharma as of the Effective Date, all Materials acquired by GlobalPharma from Third Parties after the Effective Date and all Materials developed by GlobalPharma after the Effective Date. The Materials may be patents, copyright protected software, programs, programs listings as listed in the exhaustive Exhibit 22 (GlobalPharma Materials), and documentations, flowcharts, reports and drawings, whether copyright protected or not, which are not listed in Exhibit 22 (GlobalPharma Materials). </w:t>
      </w:r>
      <w:r>
        <w:rPr>
          <w:b/>
          <w:lang w:val="en-GB"/>
        </w:rPr>
      </w:r>
      <w:r>
        <w:rPr>
          <w:lang w:val="en-GB"/>
        </w:rPr>
      </w:r>
      <w:r>
        <w:rPr>
          <w:b/>
          <w:lang w:val="en-GB"/>
        </w:rPr>
      </w:r>
      <w:r>
        <w:rPr>
          <w:lang w:val="en-GB"/>
        </w:rPr>
      </w:r>
    </w:p>
    <w:p>
      <w:pPr>
        <w:pStyle w:val="A1"/>
        <w:ind w:hanging="0" w:start="0" w:end="0"/>
        <w:rPr/>
      </w:pPr>
      <w:r>
        <w:rPr>
          <w:lang w:val="en-GB"/>
        </w:rPr>
        <w:t>2.</w:t>
        <w:tab/>
        <w:t xml:space="preserve">This Clause 7 (Proprietary Rights) is not applicable to all IP rights and know-how of GlobalPharma, which, whether listed or not, are not used or involved in receiving Service Provider's Services. </w:t>
      </w:r>
    </w:p>
    <w:p>
      <w:pPr>
        <w:pStyle w:val="A1"/>
        <w:ind w:hanging="0" w:start="0" w:end="0"/>
        <w:rPr>
          <w:lang w:val="en-GB"/>
        </w:rPr>
      </w:pPr>
      <w:r>
        <w:rPr>
          <w:lang w:val="en-GB"/>
        </w:rPr>
        <w:t>3.</w:t>
        <w:tab/>
        <w:t>GlobalPharma grants Service Provider a non-exclusive, non-transferable, world-wide, paid-up license to use, execute, reproduce, display, perform and distribute such Materials internally to provide the Services on the sites within the scope of this Agreement during the Term and the right to sublicense third parties to do any of the foregoing. Service Provider shall make any third party to whom such Materials are licensed, aware of the restrictions of use with respect to any such Materials and that the GlobalPharma is the owner of such Materials. Such third parties shall not, internally or in conjunction with any other person: (i) reverse engineer, reverse compile or reverse assemble any software comprised in the such Materials; or (ii) use such Materials for its own benefit or for the benefit of others for any purpose other than to perform its obligations owed to Service Provider.</w:t>
      </w:r>
      <w:r>
        <w:rPr>
          <w:lang w:val="en-US"/>
        </w:rPr>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41" w:name="__RefHeading___Toc157506501"/>
      <w:r>
        <w:rPr>
          <w:lang w:val="en-GB"/>
        </w:rPr>
        <w:t>Service Provider's IP Rights and Know-how</w:t>
      </w:r>
      <w:bookmarkEnd w:id="41"/>
      <w:r>
        <w:rPr>
          <w:lang w:val="en-GB"/>
        </w:rPr>
        <w:t xml:space="preserve"> </w:t>
      </w:r>
    </w:p>
    <w:p>
      <w:pPr>
        <w:pStyle w:val="Normal"/>
        <w:rPr/>
      </w:pPr>
      <w:r>
        <w:rPr>
          <w:lang w:val="en-GB"/>
        </w:rPr>
        <w:t>1.</w:t>
        <w:tab/>
        <w:t xml:space="preserve">Service Provider will be the sole and exclusive owner of all IP rights and know-how ("Materials") owned by the Service Provider as of the Effective Date, all Materials acquired by the Service Provider from Third Parties after the Effective Date and all Materials developed by the Service Provider after the Effective Date. The Materials may be patents, copyright protected software, programs, programs listings as listed in the exhaustive </w:t>
      </w:r>
      <w:r>
        <w:rPr>
          <w:b/>
          <w:lang w:val="en-GB"/>
        </w:rPr>
        <w:t>Exhibit 23</w:t>
      </w:r>
      <w:r>
        <w:rPr>
          <w:lang w:val="en-GB"/>
        </w:rPr>
        <w:t xml:space="preserve"> (Service Provider Materials), and documentations, flowcharts, reports and drawings, whether copyright protected or not, which are not listed in </w:t>
      </w:r>
      <w:r>
        <w:rPr>
          <w:b/>
          <w:lang w:val="en-GB"/>
        </w:rPr>
        <w:t xml:space="preserve">Exhibit 23 </w:t>
      </w:r>
      <w:r>
        <w:rPr>
          <w:lang w:val="en-GB"/>
        </w:rPr>
        <w:t xml:space="preserve">(Service Provider Materials). </w:t>
      </w:r>
    </w:p>
    <w:p>
      <w:pPr>
        <w:pStyle w:val="A1"/>
        <w:ind w:hanging="0" w:start="0" w:end="0"/>
        <w:rPr/>
      </w:pPr>
      <w:r>
        <w:rPr>
          <w:lang w:val="en-GB"/>
        </w:rPr>
        <w:t>2.</w:t>
        <w:tab/>
        <w:t xml:space="preserve">This clause 7 (Proprietary Rights) is not applicable to all IP rights and know-how of Service Provider, which, whether listed or not, are not used or involved in providing Service Provider's Services. </w:t>
      </w:r>
    </w:p>
    <w:p>
      <w:pPr>
        <w:pStyle w:val="Normal"/>
        <w:rPr/>
      </w:pPr>
      <w:r>
        <w:rPr>
          <w:lang w:val="en-GB"/>
        </w:rPr>
        <w:t>3.</w:t>
        <w:tab/>
        <w:t>Service Provider grants GlobalPharma a non-exclusive, non-transferable, world-wide, paid-up license to use, execute, reproduce, display, perform and distribute such Materials internally to receive the Services on the sites within the scope of this Agreement during the Term and the right to sublicense third parties to do any of the foregoing. GlobalPharma shall make any third party to whom such Materials are licensed, aware of the restrictions of use with respect to any such Materials and that the Service Provider is the owner of such Materials. Such third parties shall not, internally or in conjunction with any other person: (i) reverse engineer, reverse compile or reverse assemble any software comprised in the such Materials; or (ii) use such Materials for its own benefit or for the benefit of others for any purpose other than to perform its obligations owed to GlobalPharma.</w:t>
      </w:r>
      <w:r>
        <w:rPr>
          <w:lang w:val="en-US"/>
        </w:rPr>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42" w:name="__RefHeading___Toc157506502"/>
      <w:bookmarkEnd w:id="42"/>
      <w:r>
        <w:rPr>
          <w:lang w:val="en-GB"/>
        </w:rPr>
        <w:t>Future Intellectual Property Rights and Know-how</w:t>
      </w:r>
    </w:p>
    <w:p>
      <w:pPr>
        <w:pStyle w:val="Heading3"/>
        <w:numPr>
          <w:ilvl w:val="2"/>
          <w:numId w:val="8"/>
        </w:numPr>
        <w:tabs>
          <w:tab w:val="clear" w:pos="567"/>
          <w:tab w:val="left" w:pos="851" w:leader="none"/>
          <w:tab w:val="left" w:pos="1134" w:leader="none"/>
          <w:tab w:val="right" w:pos="7938" w:leader="none"/>
        </w:tabs>
        <w:ind w:hanging="851" w:start="851" w:end="0"/>
        <w:rPr>
          <w:lang w:val="en-GB"/>
        </w:rPr>
      </w:pPr>
      <w:bookmarkStart w:id="43" w:name="__RefHeading___Toc157506503"/>
      <w:bookmarkEnd w:id="43"/>
      <w:r>
        <w:rPr>
          <w:lang w:val="en-GB"/>
        </w:rPr>
        <w:t>Materials Developed under this Agreement</w:t>
      </w:r>
    </w:p>
    <w:p>
      <w:pPr>
        <w:pStyle w:val="Normal"/>
        <w:rPr/>
      </w:pPr>
      <w:r>
        <w:rPr>
          <w:lang w:val="en-GB"/>
        </w:rPr>
        <w:t>1.</w:t>
        <w:tab/>
        <w:t xml:space="preserve">In performing the Services under The Agreements, Service Provider, further to the Parties' IP rights and know-how (Clause 7.1 and 7.2 of the MSA), may deliver to GlobalPharma programs, program listings, documentation, reports and drawings ("Materials") developed by Service Provider or its subcontractors under The Agreements. All Materials shall be described in the Exhibits Statements of Work 2.1 to 2.8 under IP Rights Listing), as amended by the Parties from time to time. As the ownership and license terms to Materials will differ depending upon the nature, purpose and agreed upon price of the Project, ownership and license terms shall be apportioned according to whether the Materials are Type I Materials, Type II Materials, Type III Materials, or Type IV Materials, which are defined as specified in this Clause. The Type of the Materials shall be specified in the IP Rights Listing. </w:t>
      </w:r>
      <w:r>
        <w:rPr>
          <w:b/>
          <w:lang w:val="en-GB"/>
        </w:rPr>
      </w:r>
      <w:r>
        <w:rPr>
          <w:lang w:val="en-GB"/>
        </w:rPr>
      </w:r>
    </w:p>
    <w:p>
      <w:pPr>
        <w:pStyle w:val="Normal"/>
        <w:rPr/>
      </w:pPr>
      <w:r>
        <w:rPr>
          <w:lang w:val="en-GB"/>
        </w:rPr>
        <w:t>"Derivative Work" means a work based on one or more pre-existing works, including, without limitation, a condensation, transformation, expansion or adaptation, which, if prepared without authorisation of the owner of the copyright of such pre-existing work, would constitute a copyright infringement.</w:t>
      </w:r>
    </w:p>
    <w:p>
      <w:pPr>
        <w:pStyle w:val="Normal"/>
        <w:rPr/>
      </w:pPr>
      <w:r>
        <w:rPr>
          <w:lang w:val="en-GB"/>
        </w:rPr>
        <w:t>2.</w:t>
        <w:tab/>
        <w:t xml:space="preserve">Type I Materials shall mean Materials in which Service Provider grants to GlobalPharma ownership of copyright to the final version of the materials created hereunder and identified in a IP Rights Listing as Type I Materials, and in which Service Provider retains a non-exclusive, non-transferable, world-wide, paid-up license to use, execute, reproduce, display, perform, and distribute such Type I Materials internally to provide the Services under this Agreement to GlobalPharma on the Sites within the scope of this Agreement during the Term and the right to sublicense third parties to do any of the foregoing. Exhibit 22 reflects the actual Type I Materials; further examples of Materials which the Parties may agree in a IP Rights Listing to be Type I Materials are </w:t>
      </w:r>
      <w:r>
        <w:rPr>
          <w:b/>
          <w:lang w:val="en-GB"/>
        </w:rPr>
      </w:r>
      <w:r>
        <w:rPr>
          <w:lang w:val="en-GB"/>
        </w:rPr>
      </w:r>
    </w:p>
    <w:p>
      <w:pPr>
        <w:pStyle w:val="A1"/>
        <w:rPr/>
      </w:pPr>
      <w:r>
        <w:rPr>
          <w:lang w:val="en-GB"/>
        </w:rPr>
        <w:t>(i)</w:t>
        <w:tab/>
        <w:t xml:space="preserve">Derivative Works of pre-existing materials in which GlobalPharma owns all copyrights; or </w:t>
      </w:r>
    </w:p>
    <w:p>
      <w:pPr>
        <w:pStyle w:val="A1"/>
        <w:rPr/>
      </w:pPr>
      <w:r>
        <w:rPr>
          <w:lang w:val="en-GB"/>
        </w:rPr>
        <w:t>(ii)</w:t>
        <w:tab/>
        <w:t xml:space="preserve">Materials in which GlobalPharma pays in full for the costs of developing such Materials, including the design, development, test and implementation of the Materials, such as application software developed solely for GlobalPharma. </w:t>
      </w:r>
    </w:p>
    <w:p>
      <w:pPr>
        <w:pStyle w:val="Normal"/>
        <w:rPr>
          <w:lang w:val="en-GB"/>
        </w:rPr>
      </w:pPr>
      <w:r>
        <w:rPr>
          <w:lang w:val="en-GB"/>
        </w:rPr>
        <w:t>Type I Materials shall become GlobalPharma IP Rights and Know-how under The Agreements, and shall be returned to GlobalPharma pursuant to Clause 7.2.3 upon termination or expiration of The Agreements as specified in Clause 16.8 of the MSA (Termination Assistance).</w:t>
      </w:r>
    </w:p>
    <w:p>
      <w:pPr>
        <w:pStyle w:val="Normal"/>
        <w:rPr/>
      </w:pPr>
      <w:r>
        <w:rPr>
          <w:lang w:val="en-GB"/>
        </w:rPr>
        <w:t>3.</w:t>
        <w:tab/>
        <w:t xml:space="preserve">Type II Materials shall mean Materials in which Service Provider retains all title, including ownership of copyright to the materials identified in a IP Rights Listing as Type II Materials, and in which Service Provider grants GlobalPharma a non-exclusive, non-transferable, world-wide, paid-up license to use, execute, reproduce, display, perform and distribute such Type II Materials internally to receive the Services on the sites within the scope of this Agreement during the Term and the right to sublicense third parties to do any of the foregoing. Examples of Materials which the Parties may agree in a IP Rights Listing to be Type II Materials are </w:t>
      </w:r>
    </w:p>
    <w:p>
      <w:pPr>
        <w:pStyle w:val="A1"/>
        <w:ind w:hanging="0" w:start="0" w:end="0"/>
        <w:rPr/>
      </w:pPr>
      <w:r>
        <w:rPr>
          <w:lang w:val="en-GB"/>
        </w:rPr>
        <w:t>(i)</w:t>
        <w:tab/>
        <w:t xml:space="preserve">Derivative Works of pre-existing materials in which Service Provider owns all copyright; or </w:t>
      </w:r>
    </w:p>
    <w:p>
      <w:pPr>
        <w:pStyle w:val="A1"/>
        <w:ind w:hanging="0" w:start="0" w:end="0"/>
        <w:rPr/>
      </w:pPr>
      <w:r>
        <w:rPr>
          <w:lang w:val="en-GB"/>
        </w:rPr>
        <w:t>(ii)</w:t>
        <w:tab/>
        <w:t xml:space="preserve">Materials in which GlobalPharma does not pay in full for the costs of developing such Materials, including the design, development, test and implementation of the Materials, such as system software, tools, or manuals. </w:t>
      </w:r>
    </w:p>
    <w:p>
      <w:pPr>
        <w:pStyle w:val="Normal"/>
        <w:rPr>
          <w:lang w:val="en-GB"/>
        </w:rPr>
      </w:pPr>
      <w:r>
        <w:rPr>
          <w:lang w:val="en-GB"/>
        </w:rPr>
        <w:t>Type II Materials shall become Service Provider IP Rights and Know-how under this Agreement, and may be licensed to GlobalPharma pursuant to Clause 7.2.3 and upon termination or expiration of The Agreements as specified in Clause 16.8 of the MSA (Termination Assistance).</w:t>
      </w:r>
    </w:p>
    <w:p>
      <w:pPr>
        <w:pStyle w:val="Normal"/>
        <w:rPr/>
      </w:pPr>
      <w:r>
        <w:rPr>
          <w:lang w:val="en-GB"/>
        </w:rPr>
        <w:t>4.</w:t>
        <w:tab/>
        <w:t>Type III Materials shall mean Materials in which Service Provider and GlobalPharma jointly own, without accounting, title including copyright to the materials identified in a IP Rights Listing as Type III Materials. These Type III Materials will be treated as Joint IP. An example of Materials which the Parties may agree in a IP Rights Listing to be Type III Materials are Materials which both GlobalPharma and Service Provider elect to retain ownership and the right to distribute externally and develop Derivative Works of such Materials, but not share revenue or the costs of accounting. Upon termination or expiration of this Agreement, Type III Materials shall be exchanged as specified in the IP Rights Listing.</w:t>
      </w:r>
    </w:p>
    <w:p>
      <w:pPr>
        <w:pStyle w:val="Normal"/>
        <w:rPr/>
      </w:pPr>
      <w:r>
        <w:rPr>
          <w:lang w:val="en-GB"/>
        </w:rPr>
        <w:t>5.</w:t>
        <w:tab/>
        <w:t>Type IV Materials shall mean Materials in which Service Provider and GlobalPharma have joint ownership of title and copyright, however, as each Party shall have independent right of enjoyment and exploitation of the same, license terms shall be defined in the IP Rights Listing because Service Provider and GlobalPharma elect to deviate from the ownership and license rights of Type I Materials, Type II Materials and Type III Materials. An example of Materials which the Parties may agree in a IP Rights Listing to be Type IV Materials are Materials which GlobalPharma and Service Provider elect to distribute externally and develop Derivative Works of such Materials, and share revenue or the costs of accounting. Upon termination or expiration of The Agreements, Type IV Materials shall be exchanged on a case by case basis as specified in the IP Rights Listing.</w:t>
      </w:r>
    </w:p>
    <w:p>
      <w:pPr>
        <w:pStyle w:val="Normal"/>
        <w:rPr>
          <w:lang w:val="en-GB"/>
        </w:rPr>
      </w:pPr>
      <w:r>
        <w:rPr>
          <w:lang w:val="en-GB"/>
        </w:rPr>
        <w:t>6.</w:t>
        <w:tab/>
        <w:t>To the extent any third party materials are delivered by Service Provider to GlobalPharma under The Agreements ("Third Party Materials"), the ownership and license terms of such Third Party Materials, together with its Derivative Works, shall be as stated in the third party license agreement.</w:t>
      </w:r>
    </w:p>
    <w:p>
      <w:pPr>
        <w:pStyle w:val="Heading3"/>
        <w:numPr>
          <w:ilvl w:val="2"/>
          <w:numId w:val="8"/>
        </w:numPr>
        <w:tabs>
          <w:tab w:val="clear" w:pos="567"/>
          <w:tab w:val="left" w:pos="851" w:leader="none"/>
          <w:tab w:val="left" w:pos="1134" w:leader="none"/>
          <w:tab w:val="right" w:pos="7938" w:leader="none"/>
        </w:tabs>
        <w:ind w:hanging="851" w:start="851" w:end="0"/>
        <w:rPr>
          <w:lang w:val="en-GB"/>
        </w:rPr>
      </w:pPr>
      <w:bookmarkStart w:id="44" w:name="__RefHeading___Toc157506504"/>
      <w:bookmarkEnd w:id="44"/>
      <w:r>
        <w:rPr>
          <w:lang w:val="en-GB"/>
        </w:rPr>
        <w:t>General</w:t>
      </w:r>
    </w:p>
    <w:p>
      <w:pPr>
        <w:pStyle w:val="Normal"/>
        <w:rPr>
          <w:lang w:val="en-GB"/>
        </w:rPr>
      </w:pPr>
      <w:r>
        <w:rPr>
          <w:lang w:val="en-GB"/>
        </w:rPr>
        <w:t>1.</w:t>
        <w:tab/>
        <w:t>Any ownership or license rights herein granted to either Party are limited by and subject to any patents and copyrights held by, and terms and conditions of any license agreements.</w:t>
      </w:r>
    </w:p>
    <w:p>
      <w:pPr>
        <w:pStyle w:val="Normal"/>
        <w:rPr/>
      </w:pPr>
      <w:r>
        <w:rPr>
          <w:lang w:val="en-GB"/>
        </w:rPr>
        <w:t>2.</w:t>
        <w:tab/>
        <w:t>Service Provider and GlobalPharma shall ensure that its employees and agents, freelancers and subcontractors involved in developing Materials under The Agreements have signed an employment agreement or a mandate which stipulates that all copyrights are transferred from its employees, agents, or subcontractor to the other Party in accordance with the licenses or ownership grants specified above for Type I, Type II, Type III, and Type IV Materials.</w:t>
      </w:r>
    </w:p>
    <w:p>
      <w:pPr>
        <w:pStyle w:val="Normal"/>
        <w:rPr>
          <w:lang w:val="en-GB"/>
        </w:rPr>
      </w:pPr>
      <w:r>
        <w:rPr>
          <w:lang w:val="en-GB"/>
        </w:rPr>
        <w:t>3.</w:t>
        <w:tab/>
        <w:t>The Parties shall execute any and all deeds and documents which the other Party may reasonably require to perfect the assignment of the Intellectual Property Rights granted in this Clause 7 and/or to vest or register such Intellectual Property Rights in the name of GlobalPharma and/or the Service Provider, according to the ownership type, which may be required by the applicable law.</w:t>
      </w:r>
    </w:p>
    <w:p>
      <w:pPr>
        <w:pStyle w:val="Normal"/>
        <w:rPr>
          <w:lang w:val="en-GB"/>
        </w:rPr>
      </w:pPr>
      <w:r>
        <w:rPr>
          <w:lang w:val="en-GB"/>
        </w:rPr>
        <w:t>4.</w:t>
        <w:tab/>
        <w:t>The Parties agree to reproduce copyright legends which appear on any portion of the Materials.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45" w:name="__RefHeading___Toc157506505"/>
      <w:bookmarkEnd w:id="45"/>
      <w:r>
        <w:rPr>
          <w:lang w:val="en-GB"/>
        </w:rPr>
        <w:t>Third Party Materials</w:t>
      </w:r>
    </w:p>
    <w:p>
      <w:pPr>
        <w:pStyle w:val="Normal"/>
        <w:rPr/>
      </w:pPr>
      <w:r>
        <w:rPr>
          <w:lang w:val="en-GB"/>
        </w:rPr>
        <w:t>1.</w:t>
        <w:tab/>
        <w:t>GlobalPharma will have the right to approve the introduction of any Third Party Materials prior to the Service Provider's use of such Materials to provide the Services.</w:t>
      </w:r>
    </w:p>
    <w:p>
      <w:pPr>
        <w:pStyle w:val="Normal"/>
        <w:rPr/>
      </w:pPr>
      <w:r>
        <w:rPr>
          <w:lang w:val="en-GB"/>
        </w:rPr>
        <w:t>2.</w:t>
        <w:tab/>
        <w:t>The plan of the Service Provider with regard to use of Third Party Materials (including software) for the GlobalPharma account is described in Exhibit 23 (under GEN Technical Solution Document.com).</w:t>
      </w:r>
      <w:r>
        <w:rPr>
          <w:b/>
          <w:bCs/>
          <w:lang w:val="en-GB"/>
        </w:rPr>
      </w:r>
      <w:r>
        <w:rPr>
          <w:lang w:val="en-GB"/>
        </w:rPr>
      </w:r>
    </w:p>
    <w:p>
      <w:pPr>
        <w:pStyle w:val="Normal"/>
        <w:rPr/>
      </w:pPr>
      <w:r>
        <w:rPr>
          <w:lang w:val="en-GB"/>
        </w:rPr>
        <w:t>3.</w:t>
        <w:tab/>
        <w:t>Prior to introducing any Third Party Materials in providing the Services, the Service Provider will do the following:</w:t>
      </w:r>
    </w:p>
    <w:p>
      <w:pPr>
        <w:pStyle w:val="Normal"/>
        <w:rPr/>
      </w:pPr>
      <w:r>
        <w:rPr>
          <w:lang w:val="en-GB"/>
        </w:rPr>
        <w:t>3.1</w:t>
        <w:tab/>
        <w:t>Use all reasonable efforts to obtain the right to grant GlobalPharma and its Affiliates and designees for the purpose of providing Services to GlobalPharma, without additional charge during the Term and upon the expiration or any whole or partial termination of The Agreements, a perpetual, irrevocable, fully paid-up, non-exclusive license to use, operate, copy, maintain, modify, enhance and create derivative works of such Materials and to sublicense Third Parties to do any of the foregoing for the purpose of providing services to GlobalPharma.</w:t>
      </w:r>
    </w:p>
    <w:p>
      <w:pPr>
        <w:pStyle w:val="Normal"/>
        <w:rPr/>
      </w:pPr>
      <w:r>
        <w:rPr>
          <w:lang w:val="en-GB"/>
        </w:rPr>
        <w:t>3.2</w:t>
        <w:tab/>
        <w:t>Verify that GlobalPharma and its Affiliates and its designees for the purpose of providing the Services to GlobalPharma have the right to purchase ongoing maintenance and support for such Materials on commercially reasonable terms.</w:t>
      </w:r>
    </w:p>
    <w:p>
      <w:pPr>
        <w:pStyle w:val="Normal"/>
        <w:rPr/>
      </w:pPr>
      <w:r>
        <w:rPr>
          <w:lang w:val="en-GB"/>
        </w:rPr>
        <w:t>3.3</w:t>
        <w:tab/>
        <w:t>To the extent that the Service Provider is unable to obtain such rights, the Service Provider shall not introduce such Materials for use in providing the Services without GlobalPharma's prior written approval.</w:t>
      </w:r>
    </w:p>
    <w:p>
      <w:pPr>
        <w:pStyle w:val="Normal"/>
        <w:rPr/>
      </w:pPr>
      <w:r>
        <w:rPr>
          <w:lang w:val="en-GB"/>
        </w:rPr>
        <w:t>4.</w:t>
        <w:tab/>
        <w:t>The Service Provider will install and maintain additional Third Party Materials that are Applications Software as GlobalPharma may designate from time to time during the Term at GlobalPharma's expense.</w:t>
      </w:r>
    </w:p>
    <w:p>
      <w:pPr>
        <w:pStyle w:val="Normal"/>
        <w:rPr>
          <w:lang w:val="en-GB"/>
        </w:rPr>
      </w:pPr>
      <w:r>
        <w:rPr>
          <w:lang w:val="en-GB"/>
        </w:rPr>
        <w:t>5.</w:t>
        <w:tab/>
        <w:t>The Service Provider will provide GlobalPharma all data related to GlobalPharma's use of Third Party Materials for which GlobalPharma owns the licenses, which is required by GlobalPharma to ensure its compliance with the terms of such licenses.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46" w:name="__RefHeading___Toc157506506"/>
      <w:bookmarkEnd w:id="46"/>
      <w:r>
        <w:rPr>
          <w:lang w:val="en-GB"/>
        </w:rPr>
        <w:t>Residual Knowledge</w:t>
      </w:r>
      <w:r>
        <mc:AlternateContent>
          <mc:Choice Requires="wps">
            <w:drawing>
              <wp:anchor behindDoc="0" distT="0" distB="0" distL="114935" distR="114935" simplePos="0" locked="0" layoutInCell="1" allowOverlap="1" relativeHeight="4">
                <wp:simplePos x="0" y="0"/>
                <wp:positionH relativeFrom="column">
                  <wp:posOffset>-683895</wp:posOffset>
                </wp:positionH>
                <wp:positionV relativeFrom="paragraph">
                  <wp:posOffset>370205</wp:posOffset>
                </wp:positionV>
                <wp:extent cx="455295" cy="457200"/>
                <wp:effectExtent l="0" t="0" r="0" b="0"/>
                <wp:wrapNone/>
                <wp:docPr id="1" name="Frame2"/>
                <a:graphic xmlns:a="http://schemas.openxmlformats.org/drawingml/2006/main">
                  <a:graphicData uri="http://schemas.microsoft.com/office/word/2010/wordprocessingShape">
                    <wps:wsp>
                      <wps:cNvSpPr txBox="1"/>
                      <wps:spPr>
                        <a:xfrm>
                          <a:off x="0" y="0"/>
                          <a:ext cx="455295" cy="457200"/>
                        </a:xfrm>
                        <a:prstGeom prst="rect"/>
                        <a:solidFill>
                          <a:srgbClr val="FFFFFF"/>
                        </a:solidFill>
                      </wps:spPr>
                      <wps:txbx>
                        <w:txbxContent>
                          <w:p>
                            <w:pPr>
                              <w:pStyle w:val="Normal"/>
                              <w:spacing w:lineRule="auto" w:line="240" w:before="0" w:after="0"/>
                              <w:rPr>
                                <w:b/>
                                <w:bCs/>
                                <w:sz w:val="28"/>
                                <w:szCs w:val="28"/>
                              </w:rPr>
                            </w:pPr>
                            <w:r>
                              <w:rPr>
                                <w:b/>
                                <w:bCs/>
                                <w:sz w:val="28"/>
                                <w:szCs w:val="28"/>
                              </w:rPr>
                              <w:t>[?]</w:t>
                            </w:r>
                          </w:p>
                        </w:txbxContent>
                      </wps:txbx>
                      <wps:bodyPr anchor="t" lIns="92075" tIns="46355" rIns="92075" bIns="46355">
                        <a:noAutofit/>
                      </wps:bodyPr>
                    </wps:wsp>
                  </a:graphicData>
                </a:graphic>
              </wp:anchor>
            </w:drawing>
          </mc:Choice>
          <mc:Fallback>
            <w:pict>
              <v:rect fillcolor="#FFFFFF" style="position:absolute;rotation:-0;width:35.85pt;height:36pt;mso-wrap-distance-left:9.05pt;mso-wrap-distance-right:9.05pt;mso-wrap-distance-top:0pt;mso-wrap-distance-bottom:0pt;margin-top:29.15pt;mso-position-vertical-relative:text;margin-left:-53.85pt;mso-position-horizontal-relative:text">
                <v:textbox inset="0.100694444444444in,0.0506944444444444in,0.100694444444444in,0.0506944444444444in">
                  <w:txbxContent>
                    <w:p>
                      <w:pPr>
                        <w:pStyle w:val="Normal"/>
                        <w:spacing w:lineRule="auto" w:line="240" w:before="0" w:after="0"/>
                        <w:rPr>
                          <w:b/>
                          <w:bCs/>
                          <w:sz w:val="28"/>
                          <w:szCs w:val="28"/>
                        </w:rPr>
                      </w:pPr>
                      <w:r>
                        <w:rPr>
                          <w:b/>
                          <w:bCs/>
                          <w:sz w:val="28"/>
                          <w:szCs w:val="28"/>
                        </w:rPr>
                        <w:t>[?]</w:t>
                      </w:r>
                    </w:p>
                  </w:txbxContent>
                </v:textbox>
                <w10:wrap type="none"/>
              </v:rect>
            </w:pict>
          </mc:Fallback>
        </mc:AlternateContent>
      </w:r>
      <w:r>
        <mc:AlternateContent>
          <mc:Choice Requires="wps">
            <w:drawing>
              <wp:anchor behindDoc="0" distT="0" distB="0" distL="114935" distR="114935" simplePos="0" locked="0" layoutInCell="1" allowOverlap="1" relativeHeight="5">
                <wp:simplePos x="0" y="0"/>
                <wp:positionH relativeFrom="column">
                  <wp:posOffset>-683895</wp:posOffset>
                </wp:positionH>
                <wp:positionV relativeFrom="paragraph">
                  <wp:posOffset>370205</wp:posOffset>
                </wp:positionV>
                <wp:extent cx="455295" cy="457200"/>
                <wp:effectExtent l="0" t="0" r="0" b="0"/>
                <wp:wrapNone/>
                <wp:docPr id="2" name="Frame1"/>
                <a:graphic xmlns:a="http://schemas.openxmlformats.org/drawingml/2006/main">
                  <a:graphicData uri="http://schemas.microsoft.com/office/word/2010/wordprocessingShape">
                    <wps:wsp>
                      <wps:cNvSpPr txBox="1"/>
                      <wps:spPr>
                        <a:xfrm>
                          <a:off x="0" y="0"/>
                          <a:ext cx="455295" cy="457200"/>
                        </a:xfrm>
                        <a:prstGeom prst="rect"/>
                        <a:solidFill>
                          <a:srgbClr val="FFFFFF"/>
                        </a:solidFill>
                      </wps:spPr>
                      <wps:txbx>
                        <w:txbxContent>
                          <w:p>
                            <w:pPr>
                              <w:pStyle w:val="Normal"/>
                              <w:spacing w:lineRule="auto" w:line="240" w:before="0" w:after="0"/>
                              <w:rPr>
                                <w:sz w:val="28"/>
                                <w:szCs w:val="28"/>
                              </w:rPr>
                            </w:pPr>
                            <w:r>
                              <w:rPr>
                                <w:sz w:val="28"/>
                                <w:szCs w:val="28"/>
                              </w:rPr>
                            </w:r>
                          </w:p>
                        </w:txbxContent>
                      </wps:txbx>
                      <wps:bodyPr anchor="t" lIns="92075" tIns="46355" rIns="92075" bIns="46355">
                        <a:noAutofit/>
                      </wps:bodyPr>
                    </wps:wsp>
                  </a:graphicData>
                </a:graphic>
              </wp:anchor>
            </w:drawing>
          </mc:Choice>
          <mc:Fallback>
            <w:pict>
              <v:rect fillcolor="#FFFFFF" style="position:absolute;rotation:-0;width:35.85pt;height:36pt;mso-wrap-distance-left:9.05pt;mso-wrap-distance-right:9.05pt;mso-wrap-distance-top:0pt;mso-wrap-distance-bottom:0pt;margin-top:29.15pt;mso-position-vertical-relative:text;margin-left:-53.85pt;mso-position-horizontal-relative:text">
                <v:textbox inset="0.100694444444444in,0.0506944444444444in,0.100694444444444in,0.0506944444444444in">
                  <w:txbxContent>
                    <w:p>
                      <w:pPr>
                        <w:pStyle w:val="Normal"/>
                        <w:spacing w:lineRule="auto" w:line="240" w:before="0" w:after="0"/>
                        <w:rPr>
                          <w:sz w:val="28"/>
                          <w:szCs w:val="28"/>
                        </w:rPr>
                      </w:pPr>
                      <w:r>
                        <w:rPr>
                          <w:sz w:val="28"/>
                          <w:szCs w:val="28"/>
                        </w:rPr>
                      </w:r>
                    </w:p>
                  </w:txbxContent>
                </v:textbox>
                <w10:wrap type="none"/>
              </v:rect>
            </w:pict>
          </mc:Fallback>
        </mc:AlternateContent>
      </w:r>
    </w:p>
    <w:p>
      <w:pPr>
        <w:pStyle w:val="Normal"/>
        <w:rPr>
          <w:lang w:val="en-GB"/>
        </w:rPr>
      </w:pPr>
      <w:r>
        <w:rPr>
          <w:lang w:val="en-GB"/>
        </w:rPr>
        <w:t>Nothing contained in The Agreements shall restrict either Party from the use of any general ideas, concepts, know-how or techniques which either Party, individually or jointly, develops or discloses under The Agreements; except to the extent such use infringes the intellectual property rights of the other Party or Third Parties or breaches its confidentiality or other obligations under The Agreements or other agreements with the other Party or Third Parties.</w:t>
      </w:r>
    </w:p>
    <w:p>
      <w:pPr>
        <w:pStyle w:val="Heading1"/>
        <w:numPr>
          <w:ilvl w:val="0"/>
          <w:numId w:val="8"/>
        </w:numPr>
        <w:ind w:hanging="567" w:start="567" w:end="0"/>
        <w:jc w:val="start"/>
        <w:rPr>
          <w:lang w:val="en-GB"/>
        </w:rPr>
      </w:pPr>
      <w:bookmarkStart w:id="47" w:name="__RefHeading___Toc157506507"/>
      <w:bookmarkEnd w:id="47"/>
      <w:r>
        <w:rPr>
          <w:lang w:val="en-GB"/>
        </w:rPr>
        <w:t xml:space="preserve">GlobalPharma - Service Provider </w:t>
        <w:br/>
        <w:t>Relationship</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48" w:name="__RefHeading___Toc157506508"/>
      <w:bookmarkEnd w:id="48"/>
      <w:r>
        <w:rPr>
          <w:lang w:val="en-GB"/>
        </w:rPr>
        <w:t>Governance Model</w:t>
      </w:r>
    </w:p>
    <w:p>
      <w:pPr>
        <w:pStyle w:val="Normal"/>
        <w:rPr>
          <w:lang w:val="en-GB"/>
        </w:rPr>
      </w:pPr>
      <w:r>
        <w:rPr>
          <w:lang w:val="en-GB"/>
        </w:rPr>
        <w:t xml:space="preserve">The Service Provider will comply with the requirements contained in </w:t>
      </w:r>
      <w:r>
        <w:rPr>
          <w:b/>
          <w:bCs/>
          <w:lang w:val="en-GB"/>
        </w:rPr>
        <w:t>Exhibit 6</w:t>
      </w:r>
      <w:r>
        <w:rPr>
          <w:lang w:val="en-GB"/>
        </w:rPr>
        <w:t xml:space="preserve"> (Governance Model).</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49" w:name="__RefHeading___Toc157506509"/>
      <w:r>
        <w:rPr>
          <w:lang w:val="en-GB"/>
        </w:rPr>
        <w:t>Service Provider Personnel</w:t>
      </w:r>
      <w:bookmarkEnd w:id="49"/>
      <w:r>
        <w:rPr>
          <w:lang w:val="en-GB"/>
        </w:rPr>
        <w:t xml:space="preserve"> </w:t>
      </w:r>
    </w:p>
    <w:p>
      <w:pPr>
        <w:pStyle w:val="Normal"/>
        <w:rPr/>
      </w:pPr>
      <w:r>
        <w:rPr>
          <w:lang w:val="en-GB"/>
        </w:rPr>
        <w:t>1.</w:t>
        <w:tab/>
        <w:t xml:space="preserve">The Service Provider will comply with the requirements relating to Service Provider personnel contained in Clause 8.2 (and all its subsections) and in </w:t>
      </w:r>
      <w:r>
        <w:rPr>
          <w:b/>
          <w:bCs/>
          <w:lang w:val="en-GB"/>
        </w:rPr>
        <w:t>Exhibit 5</w:t>
      </w:r>
      <w:r>
        <w:rPr>
          <w:lang w:val="en-GB"/>
        </w:rPr>
        <w:t xml:space="preserve"> (Human Resource Provisions).</w:t>
      </w:r>
    </w:p>
    <w:p>
      <w:pPr>
        <w:pStyle w:val="Normal"/>
        <w:rPr/>
      </w:pPr>
      <w:r>
        <w:rPr>
          <w:lang w:val="en-GB"/>
        </w:rPr>
        <w:t>2.</w:t>
        <w:tab/>
        <w:t>GlobalPharma may designate up to 15 of the Service Provider's project staff as Key Service Provider Personnel. Key Service Provider Personnel will dedicate the majority of their time to providing the Services to GlobalPharma.  GlobalPharma reserves the right to interview and approve proposed Key Service Provider Personnel prior to their assignment to GlobalPharma's account.</w:t>
      </w:r>
    </w:p>
    <w:p>
      <w:pPr>
        <w:pStyle w:val="Normal"/>
        <w:rPr/>
      </w:pPr>
      <w:r>
        <w:rPr>
          <w:lang w:val="en-GB"/>
        </w:rPr>
        <w:t>3.</w:t>
        <w:tab/>
        <w:t>The Service Provider will not assign any of its Key Service Provider Personnel (including service delivery leader, operation managers, Transition Managers, process champions, transition solution leaders, transition program leader) to the account of any competitor of GlobalPharma or any of its subsidiaries for a period of two (2) years after such personnel have ceased being a member of the Service Provider's account team for GlobalPharma.</w:t>
      </w:r>
    </w:p>
    <w:p>
      <w:pPr>
        <w:pStyle w:val="Normal"/>
        <w:rPr/>
      </w:pPr>
      <w:r>
        <w:rPr>
          <w:lang w:val="en-GB"/>
        </w:rPr>
        <w:t>4.</w:t>
        <w:tab/>
        <w:t xml:space="preserve">The list of Key Service Provider Personnel is contained in </w:t>
      </w:r>
      <w:r>
        <w:rPr>
          <w:b/>
          <w:bCs/>
          <w:lang w:val="en-GB"/>
        </w:rPr>
        <w:t>Exhibit</w:t>
      </w:r>
      <w:r>
        <w:rPr>
          <w:lang w:val="en-GB"/>
        </w:rPr>
        <w:t xml:space="preserve"> </w:t>
      </w:r>
      <w:r>
        <w:rPr>
          <w:b/>
          <w:bCs/>
          <w:lang w:val="en-GB"/>
        </w:rPr>
        <w:t>30</w:t>
      </w:r>
      <w:r>
        <w:rPr>
          <w:lang w:val="en-GB"/>
        </w:rPr>
        <w:t xml:space="preserve"> (Service Provider's Key Personnel).</w:t>
      </w:r>
    </w:p>
    <w:p>
      <w:pPr>
        <w:pStyle w:val="Normal"/>
        <w:rPr/>
      </w:pPr>
      <w:r>
        <w:rPr>
          <w:lang w:val="en-GB"/>
        </w:rPr>
        <w:t>5.</w:t>
        <w:tab/>
        <w:t>GlobalPharma will have the right at any time after mutual discussions with the Service Provider and at no cost to GlobalPharma, to require the Service Provider to remove any of its personnel from the GlobalPharma account.</w:t>
      </w:r>
    </w:p>
    <w:p>
      <w:pPr>
        <w:pStyle w:val="Normal"/>
        <w:rPr>
          <w:lang w:val="en-GB"/>
        </w:rPr>
      </w:pPr>
      <w:r>
        <w:rPr>
          <w:lang w:val="en-GB"/>
        </w:rPr>
        <w:t>6.</w:t>
        <w:tab/>
        <w:t>The Service Provider will not make offers to hire nor hire any GlobalPharma employees without the prior written approval of GlobalPharma.</w:t>
      </w:r>
    </w:p>
    <w:p>
      <w:pPr>
        <w:pStyle w:val="Normal"/>
        <w:rPr>
          <w:lang w:val="en-GB"/>
        </w:rPr>
      </w:pPr>
      <w:r>
        <w:rPr>
          <w:lang w:val="en-GB"/>
        </w:rPr>
        <w:t>7.</w:t>
        <w:tab/>
        <w:t>At the request of GlobalPharma, the Service Provider will fill, from its own staff, any vacancies that occur during the contract negotiation process. As of the Effective Date and throughout the Term, the Service Provider will be responsible for all recruiting and hiring of staff necessary to meet its Service Level and schedule commitments and to provide continuous improvement to the Service Levels.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50" w:name="__RefHeading___Toc157506510"/>
      <w:r>
        <w:rPr>
          <w:lang w:val="en-GB"/>
        </w:rPr>
        <w:t>Customer Satisfaction Survey</w:t>
      </w:r>
      <w:bookmarkEnd w:id="50"/>
      <w:r>
        <w:rPr>
          <w:lang w:val="en-GB"/>
        </w:rPr>
        <w:t xml:space="preserve"> </w:t>
      </w:r>
    </w:p>
    <w:p>
      <w:pPr>
        <w:pStyle w:val="Normal"/>
        <w:rPr>
          <w:lang w:val="en-GB"/>
        </w:rPr>
      </w:pPr>
      <w:r>
        <w:rPr>
          <w:lang w:val="en-GB"/>
        </w:rPr>
        <w:t>1.</w:t>
        <w:tab/>
        <w:t>Within ninety (90) days after the Effective Date, the Service Provider will finalize the EVOC process for conducting customer satisfaction surveys, subject to GlobalPharma's agreement. GlobalPharma reserves that right to employ a 3rd Party to conduct a customer satisfaction survey at its own costs.</w:t>
      </w:r>
      <w:r>
        <w:rPr>
          <w:vertAlign w:val="superscript"/>
          <w:lang w:val="en-GB"/>
        </w:rPr>
      </w:r>
      <w:r>
        <w:rPr>
          <w:lang w:val="en-GB"/>
        </w:rPr>
      </w:r>
    </w:p>
    <w:p>
      <w:pPr>
        <w:pStyle w:val="Normal"/>
        <w:rPr/>
      </w:pPr>
      <w:r>
        <w:rPr>
          <w:lang w:val="en-GB"/>
        </w:rPr>
        <w:t>2.</w:t>
        <w:tab/>
        <w:t>Additional customer satisfaction surveys will be performed in accordance with Exhibit 14 (Customer Satisfaction Survey); such surveys may be performed by the Service Provider or an independent Third Party, at GlobalPharma's option.</w:t>
      </w:r>
      <w:r>
        <w:rPr>
          <w:b/>
          <w:bCs/>
          <w:lang w:val="en-GB"/>
        </w:rPr>
      </w:r>
      <w:r>
        <w:rPr>
          <w:lang w:val="en-GB"/>
        </w:rPr>
      </w:r>
    </w:p>
    <w:p>
      <w:pPr>
        <w:pStyle w:val="Normal"/>
        <w:rPr/>
      </w:pPr>
      <w:r>
        <w:rPr>
          <w:lang w:val="en-GB"/>
        </w:rPr>
        <w:t>3.</w:t>
        <w:tab/>
        <w:t>Increasing measures of customer satisfaction will be used by the Service Provider as a key performance factor in determining the incentive compensation of the Service Provider's Key Personnel and such other account personnel as appropriate.</w:t>
      </w:r>
    </w:p>
    <w:p>
      <w:pPr>
        <w:pStyle w:val="Normal"/>
        <w:rPr/>
      </w:pPr>
      <w:r>
        <w:rPr>
          <w:lang w:val="en-GB"/>
        </w:rPr>
        <w:t>4.</w:t>
        <w:tab/>
        <w:t>GlobalPharma may also identify the customer satisfaction measure as a Critical Service Level or include it in a balanced scorecard of the Service Provider's performance.</w:t>
      </w:r>
    </w:p>
    <w:p>
      <w:pPr>
        <w:pStyle w:val="Normal"/>
        <w:rPr>
          <w:lang w:val="en-GB"/>
        </w:rPr>
      </w:pPr>
      <w:r>
        <w:rPr>
          <w:lang w:val="en-GB"/>
        </w:rPr>
        <w:t>5.</w:t>
        <w:tab/>
        <w:t xml:space="preserve">The Service Provider will be responsible for its own costs associated with conducting the customer satisfaction survey process. If GlobalPharma requires an independent third party to do such surveys, all costs relating to such survey will be borne by GlobalPharma in accordance with sub-clause 1 of this clause. </w:t>
      </w:r>
    </w:p>
    <w:p>
      <w:pPr>
        <w:pStyle w:val="Normal"/>
        <w:rPr>
          <w:lang w:val="en-GB"/>
        </w:rPr>
      </w:pPr>
      <w:r>
        <w:rPr>
          <w:lang w:val="en-GB"/>
        </w:rPr>
        <w:t>6.</w:t>
        <w:tab/>
        <w:t>From time to time and at the sole discretion of GlobalPharma, additional customer satisfaction surveys for particular divisions, units, affiliates may be requested.</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51" w:name="__RefHeading___Toc157506511"/>
      <w:r>
        <w:rPr>
          <w:lang w:val="en-GB"/>
        </w:rPr>
        <w:t>Planning and Budgeting Process</w:t>
      </w:r>
      <w:bookmarkEnd w:id="51"/>
      <w:r>
        <w:rPr>
          <w:lang w:val="en-GB"/>
        </w:rPr>
        <w:t xml:space="preserve"> </w:t>
      </w:r>
    </w:p>
    <w:p>
      <w:pPr>
        <w:pStyle w:val="Normal"/>
        <w:rPr>
          <w:lang w:val="en-GB"/>
        </w:rPr>
      </w:pPr>
      <w:r>
        <w:rPr>
          <w:lang w:val="en-GB"/>
        </w:rPr>
        <w:t>1.</w:t>
        <w:tab/>
        <w:t>Within ninety (90) days after the Effective Date and annually thereafter, the Service Provider will develop annual and quarterly financial objectives and budgets and performance goals. These will be subject to review and approval by GlobalPharma before incorporation into the Service Provider's working plans.</w:t>
      </w:r>
    </w:p>
    <w:p>
      <w:pPr>
        <w:pStyle w:val="Normal"/>
        <w:rPr>
          <w:lang w:val="en-GB"/>
        </w:rPr>
      </w:pPr>
      <w:r>
        <w:rPr>
          <w:lang w:val="en-GB"/>
        </w:rPr>
        <w:t>2.</w:t>
        <w:tab/>
        <w:t>Service Provider will support GlobalPharma with monthly / quarterly forecasting based upon a defined process to be established after execution date.</w:t>
      </w:r>
    </w:p>
    <w:p>
      <w:pPr>
        <w:pStyle w:val="Normal"/>
        <w:rPr>
          <w:lang w:val="en-GB"/>
        </w:rPr>
      </w:pPr>
      <w:r>
        <w:rPr>
          <w:lang w:val="en-GB"/>
        </w:rPr>
        <w:t>3.</w:t>
        <w:tab/>
        <w:t xml:space="preserve">The Service Provider will also comply with the financial requirements contained in </w:t>
      </w:r>
      <w:r>
        <w:rPr>
          <w:b/>
          <w:bCs/>
          <w:lang w:val="en-GB"/>
        </w:rPr>
        <w:t>Exhibit 4</w:t>
      </w:r>
      <w:r>
        <w:rPr>
          <w:lang w:val="en-GB"/>
        </w:rPr>
        <w:t xml:space="preserve"> (Pricing and Financial Provisions).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52" w:name="__RefHeading___Toc157506512"/>
      <w:r>
        <w:rPr>
          <w:lang w:val="en-GB"/>
        </w:rPr>
        <w:t>Policies and Procedure Manual</w:t>
      </w:r>
      <w:bookmarkEnd w:id="52"/>
      <w:r>
        <w:rPr>
          <w:lang w:val="en-GB"/>
        </w:rPr>
        <w:t xml:space="preserve"> </w:t>
      </w:r>
    </w:p>
    <w:p>
      <w:pPr>
        <w:pStyle w:val="Normal"/>
        <w:rPr/>
      </w:pPr>
      <w:r>
        <w:rPr>
          <w:lang w:val="en-GB"/>
        </w:rPr>
        <w:t>1.</w:t>
        <w:tab/>
        <w:t xml:space="preserve">The Service Provider will, in accordance with Attachment 6-B (Policies and Procedures Manual Content), develop and periodically update a Policies and Procedures Manual that describes how the Parties will work together and how the Services will be delivered.  </w:t>
      </w:r>
    </w:p>
    <w:p>
      <w:pPr>
        <w:pStyle w:val="Normal"/>
        <w:rPr/>
      </w:pPr>
      <w:r>
        <w:rPr>
          <w:lang w:val="en-GB"/>
        </w:rPr>
        <w:t>2.</w:t>
        <w:tab/>
        <w:t>The Policies and Procedures Manual will clearly outline the operational responsibilities of both parties as well as the time line/schedules critical to the delivery of the Services.</w:t>
      </w:r>
    </w:p>
    <w:p>
      <w:pPr>
        <w:pStyle w:val="Normal"/>
        <w:rPr>
          <w:lang w:val="en-GB"/>
        </w:rPr>
      </w:pPr>
      <w:r>
        <w:rPr>
          <w:lang w:val="en-GB"/>
        </w:rPr>
        <w:t>3.</w:t>
        <w:tab/>
        <w:t>The Service Provider will keep the Policy and procedure Manual up to date and provide revisions/updates on a quarterly basis.</w:t>
      </w:r>
    </w:p>
    <w:p>
      <w:pPr>
        <w:pStyle w:val="Normal"/>
        <w:rPr>
          <w:lang w:val="en-GB"/>
        </w:rPr>
      </w:pPr>
      <w:r>
        <w:rPr>
          <w:lang w:val="en-GB"/>
        </w:rPr>
        <w:t>4.</w:t>
        <w:tab/>
        <w:t xml:space="preserve">The Service Provider will comply with the requirements contained in </w:t>
      </w:r>
      <w:r>
        <w:rPr>
          <w:b/>
          <w:bCs/>
          <w:lang w:val="en-GB"/>
        </w:rPr>
        <w:t>Exhibit 6</w:t>
      </w:r>
      <w:r>
        <w:rPr>
          <w:lang w:val="en-GB"/>
        </w:rPr>
        <w:t xml:space="preserve"> (Governance Model) and </w:t>
      </w:r>
      <w:r>
        <w:rPr>
          <w:b/>
          <w:bCs/>
          <w:lang w:val="en-GB"/>
        </w:rPr>
        <w:t>Attachment 6-B</w:t>
      </w:r>
      <w:r>
        <w:rPr>
          <w:lang w:val="en-GB"/>
        </w:rPr>
        <w:t xml:space="preserve"> (Policies and Procedures Manual Content).</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53" w:name="__RefHeading___Toc157506513"/>
      <w:r>
        <w:rPr>
          <w:lang w:val="en-GB"/>
        </w:rPr>
        <w:t>Change Control</w:t>
      </w:r>
      <w:bookmarkEnd w:id="53"/>
      <w:r>
        <w:rPr>
          <w:lang w:val="en-GB"/>
        </w:rPr>
        <w:t xml:space="preserve"> </w:t>
      </w:r>
    </w:p>
    <w:p>
      <w:pPr>
        <w:pStyle w:val="Normal"/>
        <w:rPr/>
      </w:pPr>
      <w:r>
        <w:rPr>
          <w:lang w:val="en-GB"/>
        </w:rPr>
        <w:t>1.</w:t>
        <w:tab/>
        <w:t>GlobalPharma will have the right to approve in advance any change, action or decision of the Service Provider with respect to the provision of Services to GlobalPharma that may have a material or adverse effect on the Services and/or Service Levels, require GlobalPharma to change the way it conducts its operations, or increase charges or costs to GlobalPharma. GlobalPharma will have the right to set priorities in scheduling work.</w:t>
      </w:r>
    </w:p>
    <w:p>
      <w:pPr>
        <w:pStyle w:val="Normal"/>
        <w:rPr>
          <w:lang w:val="en-GB"/>
        </w:rPr>
      </w:pPr>
      <w:r>
        <w:rPr>
          <w:lang w:val="en-GB"/>
        </w:rPr>
        <w:t>2.</w:t>
        <w:tab/>
        <w:t>GlobalPharma will not be obligated to pay for any New Services or Change Request Authorization not properly authorized in writing by GlobalPharma.</w:t>
      </w:r>
    </w:p>
    <w:p>
      <w:pPr>
        <w:pStyle w:val="Normal"/>
        <w:rPr/>
      </w:pPr>
      <w:r>
        <w:rPr>
          <w:lang w:val="en-GB"/>
        </w:rPr>
        <w:t>3.</w:t>
        <w:tab/>
        <w:t>Ongoing In-scope initiatives will be subject to formal "authorization-to-proceed" reviews at milestones defined by GlobalPharma. GlobalPharma will not be obligated to pay for the continuation of any projects not properly authorized in writing.</w:t>
      </w:r>
    </w:p>
    <w:p>
      <w:pPr>
        <w:pStyle w:val="Normal"/>
        <w:rPr/>
      </w:pPr>
      <w:r>
        <w:rPr>
          <w:lang w:val="en-GB"/>
        </w:rPr>
        <w:t>4.</w:t>
        <w:tab/>
        <w:t xml:space="preserve">Change Control procedures as described in </w:t>
      </w:r>
      <w:r>
        <w:rPr>
          <w:b/>
          <w:bCs/>
          <w:lang w:val="en-GB"/>
        </w:rPr>
        <w:t>Exhibit 20</w:t>
      </w:r>
      <w:r>
        <w:rPr>
          <w:lang w:val="en-GB"/>
        </w:rPr>
        <w:t xml:space="preserve"> (Change Control Procedures) govern the process used to determine and implement any potential changes to The Agreements. </w:t>
      </w:r>
    </w:p>
    <w:p>
      <w:pPr>
        <w:pStyle w:val="Normal"/>
        <w:rPr>
          <w:lang w:val="en-GB"/>
        </w:rPr>
      </w:pPr>
      <w:r>
        <w:rPr>
          <w:lang w:val="en-GB"/>
        </w:rPr>
        <w:t>5.</w:t>
        <w:tab/>
        <w:t>The Service Provider will also develop and implement a Change Management process to govern all operational and technical changes associated with the Services, as described in Exhibit 2.1 (Statement of Work Cross Functional). GlobalPharma will approve the Change Management process prior to implementation. Any change to the technical or operational nature of the Services that may require a change to The Agreements will be made in accordance with the Change Control procedures.</w:t>
      </w:r>
      <w:r>
        <w:rPr>
          <w:b/>
          <w:bCs/>
          <w:lang w:val="en-GB"/>
        </w:rPr>
      </w:r>
      <w:r>
        <w:rPr>
          <w:lang w:val="en-GB"/>
        </w:rPr>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54" w:name="__RefHeading___Toc157506514"/>
      <w:bookmarkEnd w:id="54"/>
      <w:r>
        <w:rPr>
          <w:lang w:val="en-GB"/>
        </w:rPr>
        <w:t>Technology</w:t>
      </w:r>
    </w:p>
    <w:p>
      <w:pPr>
        <w:pStyle w:val="Normal"/>
        <w:rPr>
          <w:lang w:val="en-GB"/>
        </w:rPr>
      </w:pPr>
      <w:r>
        <w:rPr>
          <w:lang w:val="en-GB"/>
        </w:rPr>
        <w:t>1.</w:t>
        <w:tab/>
        <w:t xml:space="preserve">In providing the Services to GlobalPharma, the Service Provider will perform the following: </w:t>
      </w:r>
    </w:p>
    <w:p>
      <w:pPr>
        <w:pStyle w:val="Normal"/>
        <w:rPr/>
      </w:pPr>
      <w:r>
        <w:rPr>
          <w:lang w:val="en-GB"/>
        </w:rPr>
        <w:t>1.1</w:t>
        <w:tab/>
        <w:t>Together with GlobalPharma, identify opportunities to implement new technology advantageous to GlobalPharma's business /processes/operations.</w:t>
      </w:r>
    </w:p>
    <w:p>
      <w:pPr>
        <w:pStyle w:val="Normal"/>
        <w:rPr>
          <w:lang w:val="en-GB"/>
        </w:rPr>
      </w:pPr>
      <w:r>
        <w:rPr>
          <w:lang w:val="en-GB"/>
        </w:rPr>
        <w:t>1.2</w:t>
        <w:tab/>
        <w:t>Maintain a level of currency, knowledge and technology that allows GlobalPharma to take advantage of technological advances in order to remain competitive.</w:t>
      </w:r>
    </w:p>
    <w:p>
      <w:pPr>
        <w:pStyle w:val="Normal"/>
        <w:rPr>
          <w:lang w:val="en-GB"/>
        </w:rPr>
      </w:pPr>
      <w:r>
        <w:rPr>
          <w:lang w:val="en-GB"/>
        </w:rPr>
        <w:t>1.3</w:t>
        <w:tab/>
        <w:t>Provide GlobalPharma with leading-edge technology for GlobalPharma's evaluation in connection with the Services subject to agreement on costs/investments for any such change in technology.</w:t>
      </w:r>
    </w:p>
    <w:p>
      <w:pPr>
        <w:pStyle w:val="Normal"/>
        <w:rPr/>
      </w:pPr>
      <w:r>
        <w:rPr>
          <w:lang w:val="en-GB"/>
        </w:rPr>
        <w:t>1.4</w:t>
        <w:tab/>
        <w:t>Meet with GlobalPharma periodically to inform GlobalPharma of any new processes or methodologies, technology, and/or technology trends and directions that the Service Provider is developing or is otherwise aware of that could reasonably be expected to have an impact on GlobalPharma's businesses.</w:t>
      </w:r>
    </w:p>
    <w:p>
      <w:pPr>
        <w:pStyle w:val="Normal"/>
        <w:rPr/>
      </w:pPr>
      <w:r>
        <w:rPr>
          <w:lang w:val="en-GB"/>
        </w:rPr>
        <w:t>1.5</w:t>
        <w:tab/>
        <w:t>Comply with GlobalPharma's strategic architecture plan, requirements for long range planning, refresh, and technical strategies that are contained in Exhibit 8 (Technical Architecture and Product Standards).</w:t>
      </w:r>
      <w:r>
        <w:rPr>
          <w:b/>
          <w:lang w:val="en-GB"/>
        </w:rPr>
      </w:r>
      <w:r>
        <w:rPr>
          <w:lang w:val="en-GB"/>
        </w:rPr>
      </w:r>
    </w:p>
    <w:p>
      <w:pPr>
        <w:pStyle w:val="Normal"/>
        <w:rPr/>
      </w:pPr>
      <w:r>
        <w:rPr>
          <w:lang w:val="en-GB"/>
        </w:rPr>
        <w:t>2.</w:t>
        <w:tab/>
        <w:t>At least once each year or as requested by GlobalPharma, the Service Provider will meet with GlobalPharma to (i) explain how the systems the Service Provider operates in connection with the provision of the Services work and are operated; (ii) explain how the Services are provided; and (iii) provide such training and documentation as GlobalPharma may require for GlobalPharma to understand and operate such systems, and understand and provide the Services after the expiration or termination of The Agreements.</w:t>
      </w:r>
    </w:p>
    <w:p>
      <w:pPr>
        <w:pStyle w:val="Normal"/>
        <w:rPr>
          <w:lang w:val="en-GB"/>
        </w:rPr>
      </w:pPr>
      <w:r>
        <w:rPr>
          <w:lang w:val="en-GB"/>
        </w:rPr>
        <w:t>3.</w:t>
        <w:tab/>
        <w:t>The Service Provider will comply with GlobalPharma's information management technical architecture and product standards as described in Exhibit 8 (Technical architecture and Standards), as such may be modified and agreed by the Parties during the Term of The Agreements.</w:t>
      </w:r>
      <w:r>
        <w:rPr>
          <w:b/>
          <w:bCs/>
          <w:lang w:val="en-GB"/>
        </w:rPr>
      </w:r>
      <w:r>
        <w:rPr>
          <w:lang w:val="en-GB"/>
        </w:rPr>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55" w:name="__RefHeading___Toc157506515"/>
      <w:bookmarkEnd w:id="55"/>
      <w:r>
        <w:rPr>
          <w:lang w:val="en-GB"/>
        </w:rPr>
        <w:t>Disaster Recovery Plan</w:t>
      </w:r>
    </w:p>
    <w:p>
      <w:pPr>
        <w:pStyle w:val="Normal"/>
        <w:rPr/>
      </w:pPr>
      <w:r>
        <w:rPr>
          <w:lang w:val="en-GB"/>
        </w:rPr>
        <w:t>1.</w:t>
        <w:tab/>
        <w:t>Within 90 days of the Effective Date or by the Commencement Date whichever occurs first, the Service Provider will document its Disaster Recovery Plan as described in Exhibit 16 (IT Disaster Recovery Plan) for the Services and ensure that it is consistent with and will operate in conjunction with GlobalPharma's Business Continuity and Disaster Recovery Plans related to the Services.</w:t>
      </w:r>
      <w:r>
        <w:rPr>
          <w:b/>
          <w:bCs/>
          <w:lang w:val="en-GB"/>
        </w:rPr>
      </w:r>
      <w:r>
        <w:rPr>
          <w:lang w:val="en-GB"/>
        </w:rPr>
      </w:r>
    </w:p>
    <w:p>
      <w:pPr>
        <w:pStyle w:val="Normal"/>
        <w:rPr/>
      </w:pPr>
      <w:r>
        <w:rPr>
          <w:lang w:val="en-GB"/>
        </w:rPr>
        <w:t>2.</w:t>
        <w:tab/>
        <w:t xml:space="preserve">The Service Provider will comply with the Business Continuity and Disaster Recovery requirements as specified in </w:t>
      </w:r>
      <w:r>
        <w:rPr>
          <w:b/>
          <w:bCs/>
          <w:lang w:val="en-GB"/>
        </w:rPr>
        <w:t>Exhibit 2.1</w:t>
      </w:r>
      <w:r>
        <w:rPr>
          <w:lang w:val="en-GB"/>
        </w:rPr>
        <w:t xml:space="preserve"> (Statement of Work Cross Functional) and the procedural requirements contained in </w:t>
      </w:r>
      <w:r>
        <w:rPr>
          <w:b/>
          <w:bCs/>
          <w:lang w:val="en-GB"/>
        </w:rPr>
        <w:t>Exhibit 15</w:t>
      </w:r>
      <w:r>
        <w:rPr>
          <w:lang w:val="en-GB"/>
        </w:rPr>
        <w:t xml:space="preserve"> (Business Continuity Plan) and </w:t>
      </w:r>
      <w:r>
        <w:rPr>
          <w:b/>
          <w:bCs/>
          <w:lang w:val="en-GB"/>
        </w:rPr>
        <w:t>Exhibit 16</w:t>
      </w:r>
      <w:r>
        <w:rPr>
          <w:lang w:val="en-GB"/>
        </w:rPr>
        <w:t xml:space="preserve"> (IT Disaster Recovery Plan).</w:t>
      </w:r>
    </w:p>
    <w:p>
      <w:pPr>
        <w:pStyle w:val="Normal"/>
        <w:rPr>
          <w:lang w:val="en-GB"/>
        </w:rPr>
      </w:pPr>
      <w:r>
        <w:rPr>
          <w:lang w:val="en-GB"/>
        </w:rPr>
        <w:t>3.</w:t>
        <w:tab/>
        <w:t>The Service Provider will execute the Business Continuity and Disaster Recovery plans as specified in The Agreements upon the occurrence of a disaster and cooperate with GlobalPharma in the execution of their Business Continuity and Disaster Recovery. If the Services are not reinstated within the periods set forth in the respective plans for such reinstatement, GlobalPharma may terminate The Agreements without further financial liability.</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56" w:name="__RefHeading___Toc157506516"/>
      <w:bookmarkEnd w:id="56"/>
      <w:r>
        <w:rPr>
          <w:lang w:val="en-GB"/>
        </w:rPr>
        <w:t>Reports and Meetings</w:t>
      </w:r>
    </w:p>
    <w:p>
      <w:pPr>
        <w:pStyle w:val="Normal"/>
        <w:rPr>
          <w:lang w:val="en-GB"/>
        </w:rPr>
      </w:pPr>
      <w:r>
        <w:rPr>
          <w:lang w:val="en-GB"/>
        </w:rPr>
        <w:t xml:space="preserve">The Service Provider will comply with the requirements related to reporting contained in </w:t>
      </w:r>
      <w:r>
        <w:rPr>
          <w:b/>
          <w:bCs/>
          <w:lang w:val="en-GB"/>
        </w:rPr>
        <w:t>Exhibit 13</w:t>
      </w:r>
      <w:r>
        <w:rPr>
          <w:lang w:val="en-GB"/>
        </w:rPr>
        <w:t xml:space="preserve"> (Reports), and as otherwise specified in The Agreements.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57" w:name="__RefHeading___Toc157506517"/>
      <w:bookmarkEnd w:id="57"/>
      <w:r>
        <w:rPr>
          <w:lang w:val="en-GB"/>
        </w:rPr>
        <w:t>Benchmarking</w:t>
      </w:r>
    </w:p>
    <w:p>
      <w:pPr>
        <w:pStyle w:val="Normal"/>
        <w:tabs>
          <w:tab w:val="clear" w:pos="1134"/>
          <w:tab w:val="left" w:pos="567" w:leader="none"/>
          <w:tab w:val="right" w:pos="7938" w:leader="none"/>
        </w:tabs>
        <w:rPr/>
      </w:pPr>
      <w:r>
        <w:rPr>
          <w:lang w:val="en-GB"/>
        </w:rPr>
        <w:t xml:space="preserve">1. </w:t>
        <w:tab/>
        <w:t xml:space="preserve">Establishment of Process. No earlier than twenty-four (24) months anniversary of the Commencement Date, GlobalPharma, at its option and by notifying Service Provider in writing at least six (6) months in advance (i.e. the first time GlobalPharma may give such six (6) months notice, is eighteen (18) months after the Commencement Date), may institute an objective measurement and comparison process (utilizing mutually identified baselines and industry standards) to measure the quality and cost-effectiveness of the Services under the terms of this Agreement, taken as a whole, as compared to the quality and cost-effectiveness of comparable services customarily being provided to other organizations in the healthcare industry and consumer goods industry (the "Benchmarking Process"). </w:t>
      </w:r>
      <w:bookmarkStart w:id="58" w:name="_Ref71690135"/>
      <w:r>
        <w:rPr>
          <w:i/>
          <w:lang w:val="en-GB"/>
        </w:rPr>
      </w:r>
      <w:r>
        <w:rPr>
          <w:lang w:val="en-GB"/>
        </w:rPr>
      </w:r>
      <w:bookmarkEnd w:id="58"/>
      <w:r>
        <w:rPr>
          <w:lang w:val="en-GB"/>
        </w:rPr>
      </w:r>
    </w:p>
    <w:p>
      <w:pPr>
        <w:pStyle w:val="Normal"/>
        <w:rPr/>
      </w:pPr>
      <w:r>
        <w:rPr>
          <w:lang w:val="en-GB"/>
        </w:rPr>
        <w:t>2.</w:t>
        <w:tab/>
      </w:r>
      <w:r>
        <w:rPr>
          <w:i/>
          <w:lang w:val="en-GB"/>
        </w:rPr>
        <w:t>Comparison Sample.</w:t>
      </w:r>
    </w:p>
    <w:p>
      <w:pPr>
        <w:pStyle w:val="Normal"/>
        <w:numPr>
          <w:ilvl w:val="3"/>
          <w:numId w:val="10"/>
        </w:numPr>
        <w:tabs>
          <w:tab w:val="clear" w:pos="1134"/>
          <w:tab w:val="clear" w:pos="7938"/>
          <w:tab w:val="left" w:pos="567" w:leader="none"/>
        </w:tabs>
        <w:ind w:hanging="0" w:start="0" w:end="0"/>
        <w:rPr>
          <w:lang w:val="en-GB"/>
        </w:rPr>
      </w:pPr>
      <w:r>
        <w:rPr>
          <w:lang w:val="en-GB"/>
        </w:rPr>
        <w:tab/>
        <w:t xml:space="preserve">The Benchmarker will conduct the Benchmarking Process using a statistically representative panel of companies sufficient to allow a statistical allocation of the sample into quartiles. To the extent possible, such service providers companies will be of similar size, complexity and geographical scope and present a similar level of automation in terms of the activities and processes falling within the scope of the Services (the "Benchmarked Companies"). </w:t>
      </w:r>
    </w:p>
    <w:p>
      <w:pPr>
        <w:pStyle w:val="Normal"/>
        <w:numPr>
          <w:ilvl w:val="3"/>
          <w:numId w:val="10"/>
        </w:numPr>
        <w:tabs>
          <w:tab w:val="clear" w:pos="1134"/>
          <w:tab w:val="clear" w:pos="7938"/>
          <w:tab w:val="left" w:pos="567" w:leader="none"/>
        </w:tabs>
        <w:ind w:hanging="0" w:start="0" w:end="0"/>
        <w:rPr>
          <w:lang w:val="en-GB"/>
        </w:rPr>
      </w:pPr>
      <w:r>
        <w:rPr>
          <w:lang w:val="en-GB"/>
        </w:rPr>
        <w:tab/>
        <w:t>The Benchmarker will measure the quality and cost-effectiveness of the Services under the terms of this Agreement, taken as a whole, against the quality and cost-effectiveness of comparable services under the terms of outsourcing contracts of comparable financial and accounting systems, service levels, volumes, term, investments made, global/regional scope, risk allocation, ownership of intellectual property rights and other material terms and conditions between a representative sample of Benchmarked Companies and top-tier outsourcing service providers of comparable reputation.</w:t>
      </w:r>
    </w:p>
    <w:p>
      <w:pPr>
        <w:pStyle w:val="Normal"/>
        <w:numPr>
          <w:ilvl w:val="3"/>
          <w:numId w:val="10"/>
        </w:numPr>
        <w:tabs>
          <w:tab w:val="clear" w:pos="1134"/>
          <w:tab w:val="clear" w:pos="7938"/>
          <w:tab w:val="left" w:pos="567" w:leader="none"/>
        </w:tabs>
        <w:ind w:hanging="0" w:start="0" w:end="0"/>
        <w:rPr>
          <w:lang w:val="en-GB"/>
        </w:rPr>
      </w:pPr>
      <w:r>
        <w:rPr>
          <w:lang w:val="en-GB"/>
        </w:rPr>
        <w:tab/>
        <w:t>In the event that the Benchmarker will not be able to obtain comparative information on outsourcing contracts of comparable financial and accounting systems, service levels, volumes, term, investments made, global/regional scope, risk allocation, ownership of intellectual property rights and other material terms and conditions between Benchmarked Companies and top-tier outsourcing service providers of comparable reputation, the Benchmarker will, at its option, measure the quality and cost-effectiveness of the Services under the terms of this Agreement, taken as a whole, against the quality and cost-effectiveness of comparable services provided to a representative sample of Benchmarked Companies in a shared service center environment (excluding any captive units).</w:t>
      </w:r>
    </w:p>
    <w:p>
      <w:pPr>
        <w:pStyle w:val="Normal"/>
        <w:tabs>
          <w:tab w:val="clear" w:pos="1134"/>
          <w:tab w:val="left" w:pos="567" w:leader="none"/>
          <w:tab w:val="right" w:pos="7938" w:leader="none"/>
        </w:tabs>
        <w:rPr/>
      </w:pPr>
      <w:r>
        <w:rPr>
          <w:lang w:val="en-GB"/>
        </w:rPr>
        <w:t>3.</w:t>
        <w:tab/>
        <w:t>Benchmarker. Within fifteen (15) days after GlobalPharma's request to institute the Benchmarking Process, GlobalPharma will engage an independent third-party (the "Benchmarker"), selected from the list of pre-approved benchmark service providers and types of benchmark service providers in Exhibit 32 (Benchmarker) as may be amended by the Parties from time to time, to perform the Benchmarking Process. In general, the fees and expenses of the Benchmarker will be paid and borne by GlobalPharma unless specified otherwise in section (7) – Consequences of a Benchmarking Condition. As a condition to its engagement, the Benchmarker will execute a confidentiality agreement reasonably satisfactory to the Parties.</w:t>
      </w:r>
      <w:bookmarkStart w:id="59" w:name="_Ref71694071"/>
      <w:r>
        <w:rPr>
          <w:i/>
          <w:lang w:val="en-GB"/>
        </w:rPr>
      </w:r>
      <w:r>
        <w:rPr>
          <w:lang w:val="en-GB"/>
        </w:rPr>
      </w:r>
      <w:r>
        <w:rPr>
          <w:b/>
          <w:lang w:val="en-GB"/>
        </w:rPr>
      </w:r>
      <w:r>
        <w:rPr>
          <w:lang w:val="en-GB"/>
        </w:rPr>
      </w:r>
      <w:bookmarkEnd w:id="59"/>
    </w:p>
    <w:p>
      <w:pPr>
        <w:pStyle w:val="Normal"/>
        <w:tabs>
          <w:tab w:val="clear" w:pos="1134"/>
          <w:tab w:val="left" w:pos="567" w:leader="none"/>
          <w:tab w:val="right" w:pos="7938" w:leader="none"/>
        </w:tabs>
        <w:rPr>
          <w:lang w:val="en-GB"/>
        </w:rPr>
      </w:pPr>
      <w:r>
        <w:rPr>
          <w:lang w:val="en-GB"/>
        </w:rPr>
        <w:t xml:space="preserve">4. </w:t>
        <w:tab/>
        <w:t>Determination of Applicable Information. Throughout the Benchmarking Process, GlobalPharma will prepare all instructions to the Benchmarker, said instructions to be submitted in advance to Service Provider for Service Provider's comments and approval. Such comments and approval will not be unreasonably withheld and are to be provided to GlobalPharma within thirty (30) calendar days. GlobalPharma and Service Provider will agree upon, and then GlobalPharma will accordingly instruct the Benchmarker on the (i) the items or metrics to be benchmarked, (ii) the factors necessary to ensure "like-for-like" comparison of services, including financial and accounting systems, service levels, volumes, term, investments made, global/regional scope, risk allocation, ownership of intellectual property rights and other material terms and conditions, and (iii) agree the information that the Benchmarker will use based on GlobalPharma's proposals. GlobalPharma and Service Provider will cooperate to facilitate the Benchmarking Process, including by providing such reasonable information as is necessary to conduct the Benchmarking Process; provided that Service Provider will not be required to (x) provide any information relating to Service Provider's margins, costs or cost elements or (y) disclose any proprietary or trade secret information of Service Provider or Service Provider's other clients. GlobalPharma shall procure that the Benchmarker used for conducting such benchmarking exercise will preserve confidentiality at all stage of the benchmarking process, including keeping the identity of GlobalPharma and the Service Provider confidential.</w:t>
      </w:r>
      <w:r>
        <w:rPr>
          <w:i/>
          <w:lang w:val="en-GB"/>
        </w:rPr>
      </w:r>
      <w:r>
        <w:rPr>
          <w:lang w:val="en-GB"/>
        </w:rPr>
      </w:r>
    </w:p>
    <w:p>
      <w:pPr>
        <w:pStyle w:val="Normal"/>
        <w:tabs>
          <w:tab w:val="clear" w:pos="1134"/>
          <w:tab w:val="left" w:pos="567" w:leader="none"/>
          <w:tab w:val="right" w:pos="7938" w:leader="none"/>
        </w:tabs>
        <w:rPr/>
      </w:pPr>
      <w:r>
        <w:rPr>
          <w:lang w:val="en-GB"/>
        </w:rPr>
        <w:t xml:space="preserve">5. </w:t>
        <w:tab/>
        <w:t>Review of Benchmarking Report. The Benchmarker will deliver to GlobalPharma a draft report which will include the underlying data relied upon by the Benchmarker. The Parties will meet and have no less than thirty (30) or more than sixty (60) calendar days to review and provide combined comments to be sent by GlobalPharma to the Benchmarker. The Benchmarker will make appropriate amendments or otherwise respond to the Parties' combined comments. Promptly after delivery of a final report by the Benchmarker summarizing the results of the Benchmarking Process (the "Benchmarking Report"), GlobalPharma and Service Provider will meet to review the results of the Benchmarking Process. A "Benchmarking Condition" will be deemed to exist if (i) the Benchmarking Report reflects that the Services, the Service Levels or the pricing for the Services are not competitive (after taking into account the Agreement as a whole and a comparison of "like-for-like" financial and accounting systems, services, including like service levels, volumes, term, investments made, global/regional scope, risk allocation, ownership of intellectual property rights and other material terms and conditions), with comparable services then being provided to a representative sample of Benchmarked Companies, and (ii) such non-competitiveness is due to factors other than GlobalPharma's particular requirements.</w:t>
      </w:r>
      <w:bookmarkStart w:id="60" w:name="_Ref71690086"/>
      <w:r>
        <w:rPr>
          <w:i/>
          <w:lang w:val="en-GB"/>
        </w:rPr>
      </w:r>
      <w:r>
        <w:rPr>
          <w:lang w:val="en-GB"/>
        </w:rPr>
      </w:r>
      <w:bookmarkEnd w:id="60"/>
    </w:p>
    <w:p>
      <w:pPr>
        <w:pStyle w:val="Normal"/>
        <w:tabs>
          <w:tab w:val="clear" w:pos="1134"/>
          <w:tab w:val="left" w:pos="567" w:leader="none"/>
          <w:tab w:val="right" w:pos="7938" w:leader="none"/>
        </w:tabs>
        <w:rPr/>
      </w:pPr>
      <w:r>
        <w:rPr>
          <w:lang w:val="en-GB"/>
        </w:rPr>
        <w:t>6.</w:t>
        <w:tab/>
      </w:r>
      <w:r>
        <w:rPr>
          <w:i/>
          <w:lang w:val="en-GB"/>
        </w:rPr>
        <w:t>Frequency of Benchmarking.</w:t>
      </w:r>
      <w:r>
        <w:rPr>
          <w:lang w:val="en-GB"/>
        </w:rPr>
        <w:t xml:space="preserve"> Benchmarking will be conducted no earlier than twenty-four (24) months after the expiration of the Remediation Period.</w:t>
      </w:r>
    </w:p>
    <w:p>
      <w:pPr>
        <w:pStyle w:val="Normal"/>
        <w:tabs>
          <w:tab w:val="clear" w:pos="1134"/>
          <w:tab w:val="left" w:pos="567" w:leader="none"/>
          <w:tab w:val="right" w:pos="7938" w:leader="none"/>
        </w:tabs>
        <w:rPr>
          <w:lang w:val="en-GB"/>
        </w:rPr>
      </w:pPr>
      <w:r>
        <w:rPr>
          <w:lang w:val="en-GB"/>
        </w:rPr>
        <w:t xml:space="preserve">7. </w:t>
        <w:tab/>
      </w:r>
      <w:r>
        <w:rPr>
          <w:i/>
          <w:lang w:val="en-GB"/>
        </w:rPr>
        <w:t xml:space="preserve">Consequences of Benchmarking Condition. </w:t>
      </w:r>
    </w:p>
    <w:p>
      <w:pPr>
        <w:pStyle w:val="Normal"/>
        <w:rPr/>
      </w:pPr>
      <w:r>
        <w:rPr>
          <w:lang w:val="en-GB"/>
        </w:rPr>
        <w:t>(i)</w:t>
        <w:tab/>
        <w:t>If a Benchmarking Condition exists, the Parties promptly will meet and cooperate to determine, within a period of three (3) months from release of the Benchmarking Report (the "Determination Period"), whether agreement may be reached to effect an adjustment to the Services, the Service Levels, right or risk allocations for the Services to make the same competitive (after taking into account a comparison of "like-for-like" services, including like financial and accounting systems, service levels, volumes, term, investments made, global/regional scope, risk allocation, ownership of intellectual property and other material terms and conditions) with comparable services then being provided to a representative sample of Benchmarked Companies ("Benchmarking Adjustment"). The Benchmarking Adjustment to be made by the Parties shall be conducted in accordance with the applicable Change Control procedure set forth in Clause 8.6 of the MSA.</w:t>
      </w:r>
    </w:p>
    <w:p>
      <w:pPr>
        <w:pStyle w:val="Normal"/>
        <w:rPr/>
      </w:pPr>
      <w:r>
        <w:rPr>
          <w:lang w:val="en-GB"/>
        </w:rPr>
        <w:t>(ii)</w:t>
        <w:tab/>
        <w:t>In the event the Parties are unable to agree upon a Benchmarking Adjustment within the Determination Period, then either GlobalPharma or Service Provider may request the ICC Chamber of Commerce, ICC International Centre for Expertise, Paris, to consider the results of the Benchmarking Process and the Benchmarking Report. Any such request shall include a description of the nature of the request in sufficient detail so as to enable the expert arbiter to assess the merit of the request. The expert arbiter shall examine both (i) the quality of the execution of the Benchmarking Process and (ii) the validity of the conclusions of the Benchmarking Report with respect to the instructions given to the Benchmarker pursuant to Clause 8.10 (4) of this MSA. Within two (2) months the arbiter expert shall issue its findings which will include the underlying data relied upon by the arbiter expert (the "Findings"). If the Findings require a change to the Benchmarking Report, the expert arbiter will (i) either request the Benchmarker to perform a second analysis, and re-submit a revised Benchmarking Report that will restore alignment with instructions given to the Benchmarker pursuant to Clause 8.10 (4) of the MSA, or (ii) an alternative benchmarker to perform another Benchmarking Process in alignment with instructions given to the original Benchmarker pursuant to Clause 8.10 (4) of the MSA. The fees and expenses charged by the ICC Chamber of Commerce and the expert arbiter shall be borne by GlobalPharma if the expert arbiter decides to revert back to the Benchmarker or appoint a new benchmarker i.e. if the Findings demonstrate that the original Benchmarking Process or Benchmarking Report were of insufficient quality. If the expert arbiter confirms the results of the Benchmarking, the fees and expenses charged by the ICC Chamber of Commerce, ICC International Centre for Expertise, Paris, and the expert arbiter shall be borne by the Party which made the request to ICC Chamber of Commerce, ICC International Centre for Expertise, Paris,.</w:t>
      </w:r>
      <w:r>
        <w:rPr>
          <w:u w:val="single"/>
          <w:lang w:val="en-GB"/>
        </w:rPr>
      </w:r>
      <w:r>
        <w:rPr>
          <w:lang w:val="en-GB"/>
        </w:rPr>
      </w:r>
      <w:r>
        <w:rPr>
          <w:u w:val="single"/>
          <w:lang w:val="en-GB"/>
        </w:rPr>
      </w:r>
      <w:r>
        <w:rPr>
          <w:lang w:val="en-GB"/>
        </w:rPr>
      </w:r>
      <w:r>
        <w:rPr>
          <w:u w:val="single"/>
          <w:lang w:val="en-GB"/>
        </w:rPr>
      </w:r>
      <w:r>
        <w:rPr>
          <w:lang w:val="en-GB"/>
        </w:rPr>
      </w:r>
    </w:p>
    <w:p>
      <w:pPr>
        <w:pStyle w:val="Normal"/>
        <w:rPr/>
      </w:pPr>
      <w:r>
        <w:rPr>
          <w:lang w:val="en-GB"/>
        </w:rPr>
        <w:t xml:space="preserve">After the later of the Determination Period or upon issuing the Findings, GlobalPharma and Service Provider shall have another six (6) months Remediation Period before the price adjustment as set forth in Clause 8.10. (7) (iii) becomes effective. </w:t>
      </w:r>
    </w:p>
    <w:p>
      <w:pPr>
        <w:pStyle w:val="Normal"/>
        <w:spacing w:lineRule="auto" w:line="360"/>
        <w:rPr/>
      </w:pPr>
      <w:r>
        <w:rPr>
          <w:lang w:val="en-GB"/>
        </w:rPr>
        <w:t>(iii)</w:t>
        <w:tab/>
        <w:t xml:space="preserve">Adjustments to the Service Provider's charges will be based upon the following algorithm: </w:t>
      </w:r>
    </w:p>
    <w:p>
      <w:pPr>
        <w:pStyle w:val="Normal"/>
        <w:tabs>
          <w:tab w:val="clear" w:pos="567"/>
          <w:tab w:val="left" w:pos="1134" w:leader="none"/>
          <w:tab w:val="right" w:pos="7938" w:leader="none"/>
        </w:tabs>
        <w:spacing w:lineRule="auto" w:line="360"/>
        <w:ind w:firstLine="1" w:end="0"/>
        <w:rPr/>
      </w:pPr>
      <w:r>
        <w:rPr>
          <w:lang w:val="en-GB"/>
        </w:rPr>
        <w:t xml:space="preserve">If the difference of the Service Provider's current charges is lower than the Benchmark or up to five % higher than the Median of all Benchmarks, no adjustment to the current Service Provider charges will be made. </w:t>
      </w:r>
    </w:p>
    <w:p>
      <w:pPr>
        <w:pStyle w:val="Normal"/>
        <w:tabs>
          <w:tab w:val="clear" w:pos="567"/>
          <w:tab w:val="left" w:pos="1134" w:leader="none"/>
          <w:tab w:val="right" w:pos="7938" w:leader="none"/>
        </w:tabs>
        <w:spacing w:lineRule="auto" w:line="360"/>
        <w:ind w:firstLine="1" w:end="0"/>
        <w:rPr>
          <w:lang w:val="en-GB"/>
        </w:rPr>
      </w:pPr>
      <w:r>
        <w:rPr>
          <w:lang w:val="en-GB"/>
        </w:rPr>
        <w:t>If the difference of the Service Provider's current charges are more than five % higher than the median of all Benchmarks, the new Service Provider charges will be reduced by 85 % of the difference between the current Service Provider Charges and the Median of all Benchmarks (see table below).</w:t>
      </w:r>
    </w:p>
    <w:tbl>
      <w:tblPr>
        <w:tblW w:w="7088" w:type="dxa"/>
        <w:jc w:val="start"/>
        <w:tblInd w:w="817" w:type="dxa"/>
        <w:tblLayout w:type="fixed"/>
        <w:tblCellMar>
          <w:top w:w="0" w:type="dxa"/>
          <w:start w:w="108" w:type="dxa"/>
          <w:bottom w:w="0" w:type="dxa"/>
          <w:end w:w="108" w:type="dxa"/>
        </w:tblCellMar>
      </w:tblPr>
      <w:tblGrid>
        <w:gridCol w:w="2262"/>
        <w:gridCol w:w="1940"/>
        <w:gridCol w:w="2886"/>
      </w:tblGrid>
      <w:tr>
        <w:trPr>
          <w:trHeight w:val="255" w:hRule="atLeast"/>
        </w:trPr>
        <w:tc>
          <w:tcPr>
            <w:tcW w:w="2262" w:type="dxa"/>
            <w:tcBorders/>
            <w:vAlign w:val="bottom"/>
          </w:tcPr>
          <w:p>
            <w:pPr>
              <w:pStyle w:val="Normal"/>
              <w:keepNext w:val="true"/>
              <w:keepLines/>
              <w:spacing w:lineRule="auto" w:line="240" w:before="120" w:after="0"/>
              <w:jc w:val="start"/>
              <w:rPr/>
            </w:pPr>
            <w:r>
              <w:rPr>
                <w:rFonts w:cs="Arial"/>
                <w:lang w:val="en-GB"/>
              </w:rPr>
              <w:t>Ratio: Current SP Charges to Benchmark Price</w:t>
            </w:r>
          </w:p>
        </w:tc>
        <w:tc>
          <w:tcPr>
            <w:tcW w:w="1940" w:type="dxa"/>
            <w:tcBorders/>
            <w:vAlign w:val="bottom"/>
          </w:tcPr>
          <w:p>
            <w:pPr>
              <w:pStyle w:val="Normal"/>
              <w:keepNext w:val="true"/>
              <w:keepLines/>
              <w:spacing w:lineRule="auto" w:line="240" w:before="120" w:after="0"/>
              <w:jc w:val="start"/>
              <w:rPr/>
            </w:pPr>
            <w:r>
              <w:rPr>
                <w:rFonts w:cs="Arial"/>
                <w:lang w:val="en-GB"/>
              </w:rPr>
              <w:t>Difference</w:t>
            </w:r>
            <w:r>
              <w:rPr>
                <w:rFonts w:cs="Arial"/>
              </w:rPr>
              <w:t xml:space="preserve"> to Median</w:t>
            </w:r>
          </w:p>
        </w:tc>
        <w:tc>
          <w:tcPr>
            <w:tcW w:w="2886" w:type="dxa"/>
            <w:tcBorders/>
            <w:vAlign w:val="bottom"/>
          </w:tcPr>
          <w:p>
            <w:pPr>
              <w:pStyle w:val="Normal"/>
              <w:keepNext w:val="true"/>
              <w:keepLines/>
              <w:spacing w:lineRule="auto" w:line="240" w:before="120" w:after="0"/>
              <w:jc w:val="start"/>
              <w:rPr/>
            </w:pPr>
            <w:r>
              <w:rPr>
                <w:rFonts w:cs="Arial"/>
                <w:lang w:val="en-GB"/>
              </w:rPr>
              <w:t>Adjustment to Current Charges (exceeding 5%)</w:t>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napToGrid w:val="false"/>
              <w:spacing w:lineRule="auto" w:line="240" w:before="120" w:after="0"/>
              <w:ind w:end="595"/>
              <w:jc w:val="start"/>
              <w:rPr>
                <w:rFonts w:cs="Arial"/>
                <w:lang w:val="en-GB"/>
              </w:rPr>
            </w:pPr>
            <w:r>
              <w:rPr>
                <w:rFonts w:cs="Arial"/>
                <w:lang w:val="en-GB"/>
              </w:rPr>
            </w:r>
          </w:p>
        </w:tc>
        <w:tc>
          <w:tcPr>
            <w:tcW w:w="1940" w:type="dxa"/>
            <w:tcBorders/>
            <w:vAlign w:val="bottom"/>
          </w:tcPr>
          <w:p>
            <w:pPr>
              <w:pStyle w:val="Normal"/>
              <w:keepNext w:val="true"/>
              <w:keepLines/>
              <w:tabs>
                <w:tab w:val="clear" w:pos="1134"/>
                <w:tab w:val="left" w:pos="567" w:leader="none"/>
                <w:tab w:val="right" w:pos="7938" w:leader="none"/>
              </w:tabs>
              <w:snapToGrid w:val="false"/>
              <w:spacing w:lineRule="auto" w:line="240" w:before="120" w:after="0"/>
              <w:ind w:end="595"/>
              <w:jc w:val="start"/>
              <w:rPr>
                <w:rFonts w:cs="Arial"/>
                <w:lang w:val="en-GB"/>
              </w:rPr>
            </w:pPr>
            <w:r>
              <w:rPr>
                <w:rFonts w:cs="Arial"/>
                <w:lang w:val="en-GB"/>
              </w:rPr>
            </w:r>
          </w:p>
        </w:tc>
        <w:tc>
          <w:tcPr>
            <w:tcW w:w="2886" w:type="dxa"/>
            <w:tcBorders/>
            <w:vAlign w:val="bottom"/>
          </w:tcPr>
          <w:p>
            <w:pPr>
              <w:pStyle w:val="Normal"/>
              <w:keepNext w:val="true"/>
              <w:keepLines/>
              <w:tabs>
                <w:tab w:val="clear" w:pos="1134"/>
                <w:tab w:val="left" w:pos="567" w:leader="none"/>
                <w:tab w:val="right" w:pos="7938" w:leader="none"/>
              </w:tabs>
              <w:spacing w:lineRule="auto" w:line="240" w:before="120" w:after="0"/>
              <w:ind w:end="1026"/>
              <w:jc w:val="end"/>
              <w:rPr>
                <w:rFonts w:cs="Arial"/>
                <w:lang w:val="en-GB"/>
              </w:rPr>
            </w:pPr>
            <w:r>
              <w:rPr>
                <w:rFonts w:cs="Arial"/>
                <w:lang w:val="en-GB"/>
              </w:rPr>
              <w:t>85%</w:t>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100%</w:t>
            </w:r>
          </w:p>
        </w:tc>
        <w:tc>
          <w:tcPr>
            <w:tcW w:w="1940"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0%</w:t>
            </w:r>
          </w:p>
        </w:tc>
        <w:tc>
          <w:tcPr>
            <w:tcW w:w="2886" w:type="dxa"/>
            <w:tcBorders/>
            <w:vAlign w:val="bottom"/>
          </w:tcPr>
          <w:p>
            <w:pPr>
              <w:pStyle w:val="Normal"/>
              <w:keepNext w:val="true"/>
              <w:keepLines/>
              <w:tabs>
                <w:tab w:val="clear" w:pos="1134"/>
                <w:tab w:val="left" w:pos="567" w:leader="none"/>
                <w:tab w:val="right" w:pos="7938" w:leader="none"/>
              </w:tabs>
              <w:snapToGrid w:val="false"/>
              <w:spacing w:lineRule="auto" w:line="240" w:before="120" w:after="0"/>
              <w:ind w:end="1026"/>
              <w:jc w:val="start"/>
              <w:rPr>
                <w:rFonts w:cs="Arial"/>
                <w:lang w:val="en-GB"/>
              </w:rPr>
            </w:pPr>
            <w:r>
              <w:rPr>
                <w:rFonts w:cs="Arial"/>
                <w:lang w:val="en-GB"/>
              </w:rPr>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105%</w:t>
            </w:r>
          </w:p>
        </w:tc>
        <w:tc>
          <w:tcPr>
            <w:tcW w:w="1940"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5%</w:t>
            </w:r>
          </w:p>
        </w:tc>
        <w:tc>
          <w:tcPr>
            <w:tcW w:w="2886" w:type="dxa"/>
            <w:tcBorders/>
            <w:vAlign w:val="bottom"/>
          </w:tcPr>
          <w:p>
            <w:pPr>
              <w:pStyle w:val="Normal"/>
              <w:keepNext w:val="true"/>
              <w:keepLines/>
              <w:tabs>
                <w:tab w:val="clear" w:pos="1134"/>
                <w:tab w:val="left" w:pos="567" w:leader="none"/>
                <w:tab w:val="right" w:pos="7938" w:leader="none"/>
              </w:tabs>
              <w:spacing w:lineRule="auto" w:line="240" w:before="120" w:after="0"/>
              <w:ind w:end="1026"/>
              <w:jc w:val="end"/>
              <w:rPr>
                <w:rFonts w:cs="Arial"/>
                <w:lang w:val="en-GB"/>
              </w:rPr>
            </w:pPr>
            <w:r>
              <w:rPr>
                <w:rFonts w:cs="Arial"/>
                <w:lang w:val="en-GB"/>
              </w:rPr>
              <w:t>0%</w:t>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110%</w:t>
            </w:r>
          </w:p>
        </w:tc>
        <w:tc>
          <w:tcPr>
            <w:tcW w:w="1940"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10%</w:t>
            </w:r>
          </w:p>
        </w:tc>
        <w:tc>
          <w:tcPr>
            <w:tcW w:w="2886" w:type="dxa"/>
            <w:tcBorders/>
            <w:vAlign w:val="bottom"/>
          </w:tcPr>
          <w:p>
            <w:pPr>
              <w:pStyle w:val="Normal"/>
              <w:keepNext w:val="true"/>
              <w:keepLines/>
              <w:tabs>
                <w:tab w:val="clear" w:pos="1134"/>
                <w:tab w:val="left" w:pos="567" w:leader="none"/>
                <w:tab w:val="right" w:pos="7938" w:leader="none"/>
              </w:tabs>
              <w:spacing w:lineRule="auto" w:line="240" w:before="120" w:after="0"/>
              <w:ind w:end="1026"/>
              <w:jc w:val="end"/>
              <w:rPr>
                <w:rFonts w:cs="Arial"/>
                <w:lang w:val="en-GB"/>
              </w:rPr>
            </w:pPr>
            <w:r>
              <w:rPr>
                <w:rFonts w:cs="Arial"/>
                <w:lang w:val="en-GB"/>
              </w:rPr>
              <w:t>-4%</w:t>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115%</w:t>
            </w:r>
          </w:p>
        </w:tc>
        <w:tc>
          <w:tcPr>
            <w:tcW w:w="1940"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15%</w:t>
            </w:r>
          </w:p>
        </w:tc>
        <w:tc>
          <w:tcPr>
            <w:tcW w:w="2886" w:type="dxa"/>
            <w:tcBorders/>
            <w:vAlign w:val="bottom"/>
          </w:tcPr>
          <w:p>
            <w:pPr>
              <w:pStyle w:val="Normal"/>
              <w:keepNext w:val="true"/>
              <w:keepLines/>
              <w:tabs>
                <w:tab w:val="clear" w:pos="1134"/>
                <w:tab w:val="left" w:pos="567" w:leader="none"/>
                <w:tab w:val="right" w:pos="7938" w:leader="none"/>
              </w:tabs>
              <w:spacing w:lineRule="auto" w:line="240" w:before="120" w:after="0"/>
              <w:ind w:end="1026"/>
              <w:jc w:val="end"/>
              <w:rPr>
                <w:rFonts w:cs="Arial"/>
                <w:lang w:val="en-GB"/>
              </w:rPr>
            </w:pPr>
            <w:r>
              <w:rPr>
                <w:rFonts w:cs="Arial"/>
                <w:lang w:val="en-GB"/>
              </w:rPr>
              <w:t>-9%</w:t>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120%</w:t>
            </w:r>
          </w:p>
        </w:tc>
        <w:tc>
          <w:tcPr>
            <w:tcW w:w="1940"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20%</w:t>
            </w:r>
          </w:p>
        </w:tc>
        <w:tc>
          <w:tcPr>
            <w:tcW w:w="2886" w:type="dxa"/>
            <w:tcBorders/>
            <w:vAlign w:val="bottom"/>
          </w:tcPr>
          <w:p>
            <w:pPr>
              <w:pStyle w:val="Normal"/>
              <w:keepNext w:val="true"/>
              <w:keepLines/>
              <w:tabs>
                <w:tab w:val="clear" w:pos="1134"/>
                <w:tab w:val="left" w:pos="567" w:leader="none"/>
                <w:tab w:val="right" w:pos="7938" w:leader="none"/>
              </w:tabs>
              <w:spacing w:lineRule="auto" w:line="240" w:before="120" w:after="0"/>
              <w:ind w:end="1026"/>
              <w:jc w:val="end"/>
              <w:rPr>
                <w:rFonts w:cs="Arial"/>
                <w:lang w:val="en-GB"/>
              </w:rPr>
            </w:pPr>
            <w:r>
              <w:rPr>
                <w:rFonts w:cs="Arial"/>
                <w:lang w:val="en-GB"/>
              </w:rPr>
              <w:t>-13%</w:t>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125%</w:t>
            </w:r>
          </w:p>
        </w:tc>
        <w:tc>
          <w:tcPr>
            <w:tcW w:w="1940"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25%</w:t>
            </w:r>
          </w:p>
        </w:tc>
        <w:tc>
          <w:tcPr>
            <w:tcW w:w="2886" w:type="dxa"/>
            <w:tcBorders/>
            <w:vAlign w:val="bottom"/>
          </w:tcPr>
          <w:p>
            <w:pPr>
              <w:pStyle w:val="Normal"/>
              <w:keepNext w:val="true"/>
              <w:keepLines/>
              <w:tabs>
                <w:tab w:val="clear" w:pos="1134"/>
                <w:tab w:val="left" w:pos="567" w:leader="none"/>
                <w:tab w:val="right" w:pos="7938" w:leader="none"/>
              </w:tabs>
              <w:spacing w:lineRule="auto" w:line="240" w:before="120" w:after="0"/>
              <w:ind w:end="1026"/>
              <w:jc w:val="end"/>
              <w:rPr>
                <w:rFonts w:cs="Arial"/>
                <w:lang w:val="en-GB"/>
              </w:rPr>
            </w:pPr>
            <w:r>
              <w:rPr>
                <w:rFonts w:cs="Arial"/>
                <w:lang w:val="en-GB"/>
              </w:rPr>
              <w:t>-17%</w:t>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130%</w:t>
            </w:r>
          </w:p>
        </w:tc>
        <w:tc>
          <w:tcPr>
            <w:tcW w:w="1940"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30%</w:t>
            </w:r>
          </w:p>
        </w:tc>
        <w:tc>
          <w:tcPr>
            <w:tcW w:w="2886" w:type="dxa"/>
            <w:tcBorders/>
            <w:vAlign w:val="bottom"/>
          </w:tcPr>
          <w:p>
            <w:pPr>
              <w:pStyle w:val="Normal"/>
              <w:keepNext w:val="true"/>
              <w:keepLines/>
              <w:tabs>
                <w:tab w:val="clear" w:pos="1134"/>
                <w:tab w:val="left" w:pos="567" w:leader="none"/>
                <w:tab w:val="right" w:pos="7938" w:leader="none"/>
              </w:tabs>
              <w:spacing w:lineRule="auto" w:line="240" w:before="120" w:after="0"/>
              <w:ind w:end="1026"/>
              <w:jc w:val="end"/>
              <w:rPr>
                <w:rFonts w:cs="Arial"/>
                <w:lang w:val="en-GB"/>
              </w:rPr>
            </w:pPr>
            <w:r>
              <w:rPr>
                <w:rFonts w:cs="Arial"/>
                <w:lang w:val="en-GB"/>
              </w:rPr>
              <w:t>-21%</w:t>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135%</w:t>
            </w:r>
          </w:p>
        </w:tc>
        <w:tc>
          <w:tcPr>
            <w:tcW w:w="1940"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35%</w:t>
            </w:r>
          </w:p>
        </w:tc>
        <w:tc>
          <w:tcPr>
            <w:tcW w:w="2886" w:type="dxa"/>
            <w:tcBorders/>
            <w:vAlign w:val="bottom"/>
          </w:tcPr>
          <w:p>
            <w:pPr>
              <w:pStyle w:val="Normal"/>
              <w:keepNext w:val="true"/>
              <w:keepLines/>
              <w:tabs>
                <w:tab w:val="clear" w:pos="1134"/>
                <w:tab w:val="left" w:pos="567" w:leader="none"/>
                <w:tab w:val="right" w:pos="7938" w:leader="none"/>
              </w:tabs>
              <w:spacing w:lineRule="auto" w:line="240" w:before="120" w:after="0"/>
              <w:ind w:end="1026"/>
              <w:jc w:val="end"/>
              <w:rPr>
                <w:rFonts w:cs="Arial"/>
                <w:lang w:val="en-GB"/>
              </w:rPr>
            </w:pPr>
            <w:r>
              <w:rPr>
                <w:rFonts w:cs="Arial"/>
                <w:lang w:val="en-GB"/>
              </w:rPr>
              <w:t>-26%</w:t>
            </w:r>
          </w:p>
        </w:tc>
      </w:tr>
      <w:tr>
        <w:trPr>
          <w:trHeight w:val="255" w:hRule="atLeast"/>
        </w:trPr>
        <w:tc>
          <w:tcPr>
            <w:tcW w:w="2262"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140%</w:t>
            </w:r>
          </w:p>
        </w:tc>
        <w:tc>
          <w:tcPr>
            <w:tcW w:w="1940" w:type="dxa"/>
            <w:tcBorders/>
            <w:vAlign w:val="bottom"/>
          </w:tcPr>
          <w:p>
            <w:pPr>
              <w:pStyle w:val="Normal"/>
              <w:keepNext w:val="true"/>
              <w:keepLines/>
              <w:tabs>
                <w:tab w:val="clear" w:pos="1134"/>
                <w:tab w:val="left" w:pos="567" w:leader="none"/>
                <w:tab w:val="right" w:pos="7938" w:leader="none"/>
              </w:tabs>
              <w:spacing w:lineRule="auto" w:line="240" w:before="120" w:after="0"/>
              <w:ind w:end="595"/>
              <w:jc w:val="end"/>
              <w:rPr>
                <w:rFonts w:cs="Arial"/>
                <w:lang w:val="en-GB"/>
              </w:rPr>
            </w:pPr>
            <w:r>
              <w:rPr>
                <w:rFonts w:cs="Arial"/>
                <w:lang w:val="en-GB"/>
              </w:rPr>
              <w:t>40%</w:t>
            </w:r>
          </w:p>
        </w:tc>
        <w:tc>
          <w:tcPr>
            <w:tcW w:w="2886" w:type="dxa"/>
            <w:tcBorders/>
            <w:vAlign w:val="bottom"/>
          </w:tcPr>
          <w:p>
            <w:pPr>
              <w:pStyle w:val="Normal"/>
              <w:keepNext w:val="true"/>
              <w:keepLines/>
              <w:tabs>
                <w:tab w:val="clear" w:pos="1134"/>
                <w:tab w:val="left" w:pos="567" w:leader="none"/>
                <w:tab w:val="right" w:pos="7938" w:leader="none"/>
              </w:tabs>
              <w:spacing w:lineRule="auto" w:line="240" w:before="120" w:after="0"/>
              <w:ind w:end="1026"/>
              <w:jc w:val="end"/>
              <w:rPr>
                <w:rFonts w:cs="Arial"/>
              </w:rPr>
            </w:pPr>
            <w:r>
              <w:rPr>
                <w:rFonts w:cs="Arial"/>
              </w:rPr>
              <w:t>-30%</w:t>
            </w:r>
          </w:p>
        </w:tc>
      </w:tr>
    </w:tbl>
    <w:p>
      <w:pPr>
        <w:pStyle w:val="Normal"/>
        <w:spacing w:lineRule="auto" w:line="360" w:before="0" w:after="0"/>
        <w:ind w:start="1440" w:end="0"/>
        <w:rPr/>
      </w:pPr>
      <w:r>
        <w:rPr/>
      </w:r>
    </w:p>
    <w:p>
      <w:pPr>
        <w:pStyle w:val="Normal"/>
        <w:numPr>
          <w:ilvl w:val="3"/>
          <w:numId w:val="10"/>
        </w:numPr>
        <w:tabs>
          <w:tab w:val="clear" w:pos="567"/>
          <w:tab w:val="clear" w:pos="1134"/>
          <w:tab w:val="clear" w:pos="7938"/>
        </w:tabs>
        <w:spacing w:lineRule="auto" w:line="360"/>
        <w:ind w:hanging="11" w:start="0" w:end="0"/>
        <w:rPr>
          <w:lang w:val="en-GB"/>
        </w:rPr>
      </w:pPr>
      <w:r>
        <w:rPr>
          <w:rFonts w:eastAsia="Verdana"/>
          <w:lang w:val="en-GB"/>
        </w:rPr>
        <w:t xml:space="preserve"> </w:t>
      </w:r>
      <w:r>
        <w:rPr>
          <w:lang w:val="en-GB"/>
        </w:rPr>
        <w:tab/>
        <w:t>Service Provider will pay 50% of the fees and expenses of the Benchmarker, subject to Service Provider paying no more than fifty thousand U.S. Dollar ($50,000) if the current Service Provider charges are 15% or more above the Benchmark.</w:t>
      </w:r>
    </w:p>
    <w:p>
      <w:pPr>
        <w:pStyle w:val="Normal"/>
        <w:tabs>
          <w:tab w:val="clear" w:pos="1134"/>
          <w:tab w:val="left" w:pos="567" w:leader="none"/>
          <w:tab w:val="right" w:pos="7938" w:leader="none"/>
        </w:tabs>
        <w:rPr/>
      </w:pPr>
      <w:r>
        <w:rPr>
          <w:lang w:val="en-GB"/>
        </w:rPr>
        <w:t xml:space="preserve">8. </w:t>
        <w:tab/>
      </w:r>
      <w:r>
        <w:rPr>
          <w:i/>
          <w:lang w:val="en-GB"/>
        </w:rPr>
        <w:t>Termination</w:t>
      </w:r>
      <w:r>
        <w:rPr>
          <w:lang w:val="en-GB"/>
        </w:rPr>
        <w:t>. In the event that the Parties cannot reach agreement on the Benchmarking Adjustment and a price adjustment will be implemented in accordance with Clause 8.10 (7) (ii) and (iii), then Service Provider will have the right to terminate this Agreement pursuant to Clause 16.6 of the MSA.</w:t>
      </w:r>
    </w:p>
    <w:p>
      <w:pPr>
        <w:pStyle w:val="Normal"/>
        <w:rPr/>
      </w:pPr>
      <w:r>
        <w:rPr>
          <w:lang w:val="en-GB"/>
        </w:rPr>
        <w:t>In the event that the Benchmarking Report shows a price differential of more than 20% the sole and exclusive consequence of the Parties' failure to reach agreement with respect to a Benchmarking Adjustment shall be that Service Provider will have the right to terminate this Agreement pursuant to Clause 16.6 of this MSA.</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61" w:name="__RefHeading___Toc157506518"/>
      <w:bookmarkEnd w:id="61"/>
      <w:r>
        <w:rPr>
          <w:lang w:val="en-GB"/>
        </w:rPr>
        <w:t>GlobalPharma Use of Third Parties</w:t>
      </w:r>
    </w:p>
    <w:p>
      <w:pPr>
        <w:pStyle w:val="Normal"/>
        <w:rPr>
          <w:lang w:val="en-GB"/>
        </w:rPr>
      </w:pPr>
      <w:r>
        <w:rPr>
          <w:lang w:val="en-GB"/>
        </w:rPr>
        <w:t>1.</w:t>
        <w:tab/>
        <w:t>GlobalPharma shall have the right to perform itself, or to contract with Third Parties to perform, any part of the Services.</w:t>
      </w:r>
    </w:p>
    <w:p>
      <w:pPr>
        <w:pStyle w:val="Normal"/>
        <w:rPr>
          <w:lang w:val="en-GB"/>
        </w:rPr>
      </w:pPr>
      <w:r>
        <w:rPr>
          <w:lang w:val="en-GB"/>
        </w:rPr>
        <w:t>2.</w:t>
        <w:tab/>
        <w:t>The Service Provider shall cooperate with GlobalPharma and with Third Parties retained by GlobalPharma to perform the Services, New Services or other services provided that such Third Parties execute an appropriate confidentiality agreement with the Service Provider. This cooperation shall include (i) providing access to the Facilities being used by the Service Provider to provide the Services as necessary for GlobalPharma or a Third Party to perform its work in accordance with the Service Provider's security policies brought to the attention of GlobalPharma (ii) providing access to the Equipment and Software to the extent permitted under any underlying agreements with Third Parties; and (iii) providing such information regarding the operating environment, system constraints and other operating parameters as a person with reasonable commercial skills and expertise would find reasonably necessary for GlobalPharma or a Third Party to perform its work.</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62" w:name="__RefHeading___Toc157506519"/>
      <w:bookmarkEnd w:id="62"/>
      <w:r>
        <w:rPr>
          <w:lang w:val="en-GB"/>
        </w:rPr>
        <w:t>Service Provider Use of Subcontractors</w:t>
      </w:r>
    </w:p>
    <w:p>
      <w:pPr>
        <w:pStyle w:val="Normal"/>
        <w:rPr/>
      </w:pPr>
      <w:r>
        <w:rPr>
          <w:lang w:val="en-GB"/>
        </w:rPr>
        <w:t>1.</w:t>
        <w:tab/>
        <w:t>The Service Provider will not subcontract or delegate any of its material obligations under The Agreements without the prior written approval of GlobalPharma; except that GlobalPharma approval will not be required for subcontracts valued at less than an annual amount of €50,000 (fifty thousand). Subcontractors approved by GlobalPharma as of the Effective Date are listed in Exhibit 31 (Subcontractors approved by GlobalPharma as of the Effective Date). GlobalPharma may withdraw its approval of a subcontractor if GlobalPharma determines that the subcontractor is, or will be, unable to effectively perform its responsibilities or if the subcontractor is in material breach of The Agreements. The Service Provider shall remain responsible for all obligations performed by subcontractors to the same extent as if such obligations were performed by the Service Provider. Service Provider will be responsible for making any and all payments to subcontractors.</w:t>
      </w:r>
      <w:r>
        <w:rPr>
          <w:b/>
          <w:bCs/>
          <w:lang w:val="en-GB"/>
        </w:rPr>
      </w:r>
      <w:r>
        <w:rPr>
          <w:lang w:val="en-GB"/>
        </w:rPr>
      </w:r>
    </w:p>
    <w:p>
      <w:pPr>
        <w:pStyle w:val="Normal"/>
        <w:rPr/>
      </w:pPr>
      <w:r>
        <w:rPr>
          <w:lang w:val="en-GB"/>
        </w:rPr>
        <w:t>2.</w:t>
        <w:tab/>
        <w:t>Prior to entering into a subcontract with a Third Party, except as provided for in Clause 8.12.1 of the MSA based on annual spend, the Service Provider will give GlobalPharma written notice specifying the identity, qualifications and scope for the proposed subcontractor.</w:t>
      </w:r>
    </w:p>
    <w:p>
      <w:pPr>
        <w:pStyle w:val="Normal"/>
        <w:rPr>
          <w:lang w:val="en-GB"/>
        </w:rPr>
      </w:pPr>
      <w:r>
        <w:rPr>
          <w:lang w:val="en-GB"/>
        </w:rPr>
        <w:t>3.</w:t>
        <w:tab/>
        <w:t>The Service Provider will make commercially reasonable efforts to ensure that the contracts with subcontractors include provisions equivalent to those in The Agreements between GlobalPharma and the Service Provider with respect to Facilities; intellectual property rights; audit rights; confidentiality; warranties and any other material terms and conditions affecting and/or relating to the subcontractors’ provision of Services. The Service Provider will communicate to GlobalPharma the result of its efforts with regard to the provisions in the contracts with subcontractors on each occasion when negotiating on GlobalPharma's behalf.</w:t>
      </w:r>
    </w:p>
    <w:p>
      <w:pPr>
        <w:pStyle w:val="Normal"/>
        <w:rPr/>
      </w:pPr>
      <w:r>
        <w:rPr>
          <w:lang w:val="en-GB"/>
        </w:rPr>
        <w:t>4.</w:t>
        <w:tab/>
        <w:t>All subcontractors will be required to adhere to the standards, policies and procedures in effect at the time, whether these are GlobalPharma's or the Service Provider's. The Service Provider shall not disclose confidential information of GlobalPharma to a subcontractor until such subcontractor has executed an appropriate nondisclosure agreement approved by GlobalPharma.</w:t>
      </w:r>
    </w:p>
    <w:p>
      <w:pPr>
        <w:pStyle w:val="Normal"/>
        <w:rPr>
          <w:lang w:val="en-GB"/>
        </w:rPr>
      </w:pPr>
      <w:r>
        <w:rPr>
          <w:lang w:val="en-GB"/>
        </w:rPr>
        <w:t>5.</w:t>
        <w:tab/>
        <w:t>The Service Provider will make commercially reasonable efforts to ensure that the contracts with subcontractors will specifically provide that GlobalPharma may take an assignment of the contract from Service Provider in the event that (i) The Agreements are terminated or come to end of term, or (ii) the Service Provider is in material breach of The Agreements. The Service Provider will communicate to GlobalPharma the result of its efforts with regard to the provisions in the contracts with subcontractors on each occasion when negotiating on GlobalPharma's behalf.</w:t>
      </w:r>
    </w:p>
    <w:p>
      <w:pPr>
        <w:pStyle w:val="Normal"/>
        <w:rPr>
          <w:lang w:val="en-GB"/>
        </w:rPr>
      </w:pPr>
      <w:r>
        <w:rPr>
          <w:lang w:val="en-GB"/>
        </w:rPr>
        <w:t>6.</w:t>
        <w:tab/>
        <w:t xml:space="preserve">Service Provider will use subcontractors with the specific type of scope of work as listed in Exhibit 31 (Subcontractors approved by GlobalPharma as of the Effective Date). </w:t>
      </w:r>
      <w:r>
        <w:rPr>
          <w:b/>
          <w:lang w:val="en-GB"/>
        </w:rPr>
      </w:r>
      <w:r>
        <w:rPr>
          <w:lang w:val="en-GB"/>
        </w:rPr>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63" w:name="__RefHeading___Toc157506520"/>
      <w:bookmarkEnd w:id="63"/>
      <w:r>
        <w:rPr>
          <w:lang w:val="en-GB"/>
        </w:rPr>
        <w:t>Extraordinary Events</w:t>
      </w:r>
    </w:p>
    <w:p>
      <w:pPr>
        <w:pStyle w:val="Normal"/>
        <w:rPr/>
      </w:pPr>
      <w:r>
        <w:rPr>
          <w:lang w:val="en-GB"/>
        </w:rPr>
        <w:t>1.</w:t>
        <w:tab/>
        <w:t>Any significant change in GlobalPharma's business (e.g., acquisitions, divestitures, general business downturn, etc.) which increases or decreases GlobalPharma's utilization of any billable Resource Unit, based on Exhibit 4 (Pricing and Financial Provisions) Section 4 – ARCs and RRcs, by increasing more than 70% or decreasing more than 40%, and such changes persist or are expected to continue for three (3) or more months will be deemed an "Extraordinary Event". If an Extraordinary Event occurs, the Parties may agree to have the charges and Resource Zurichines equitably adjusted. Such equitable adjustments will be based on the Service Provider's costs (including appropriate indirect and overhead costs) and related profit that either (i) can be eliminated by the Service Provider in the event of an extraordinary reduction or (ii) will be unavoidably incurred by the Service Provider in the event of an extraordinary increase.</w:t>
      </w:r>
      <w:r>
        <w:rPr>
          <w:b/>
          <w:lang w:val="en-GB"/>
        </w:rPr>
      </w:r>
      <w:r>
        <w:rPr>
          <w:lang w:val="en-GB"/>
        </w:rPr>
      </w:r>
    </w:p>
    <w:p>
      <w:pPr>
        <w:pStyle w:val="Normal"/>
        <w:rPr>
          <w:lang w:val="en-GB"/>
        </w:rPr>
      </w:pPr>
      <w:r>
        <w:rPr>
          <w:lang w:val="en-GB"/>
        </w:rPr>
        <w:t>2.</w:t>
        <w:tab/>
        <w:t>The Service Provider will pass through to GlobalPharma reductions in the cost of delivery of the Services resulting from significant changes in technology or extraordinary reductions in the costs of delivering the Services, which could not have been foreseen as of the Effective Date but which occur during the Term of and would be generally available to other users of similar technology and services either in-house or through other third party Service Providers providing services similar to those provided by Service Provider.</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64" w:name="__RefHeading___Toc157506521"/>
      <w:bookmarkEnd w:id="64"/>
      <w:r>
        <w:rPr>
          <w:lang w:val="en-GB"/>
        </w:rPr>
        <w:t>Charges</w:t>
      </w:r>
    </w:p>
    <w:p>
      <w:pPr>
        <w:pStyle w:val="Normal"/>
        <w:rPr>
          <w:lang w:val="en-GB"/>
        </w:rPr>
      </w:pPr>
      <w:r>
        <w:rPr>
          <w:lang w:val="en-GB"/>
        </w:rPr>
        <w:t>1.</w:t>
        <w:tab/>
        <w:t>Except for reductions provided for herein, no adjustments to the Service Provider's proposed pricing will be allowed after the Effective Date except for cases of blatantly incorrect information provided by either Party to the other Party. In that case, an appropriate corresponding increase or decrease in the Base Charge would also occur via the Change Control process.</w:t>
      </w:r>
    </w:p>
    <w:p>
      <w:pPr>
        <w:pStyle w:val="Normal"/>
        <w:rPr/>
      </w:pPr>
      <w:r>
        <w:rPr>
          <w:lang w:val="en-GB"/>
        </w:rPr>
        <w:t>2.</w:t>
        <w:tab/>
        <w:t>The Resource Zurichines for all billable resource are described in Attachment 4-D (Resources Zurichine).</w:t>
      </w:r>
      <w:r>
        <w:rPr>
          <w:b/>
          <w:bCs/>
          <w:lang w:val="en-GB"/>
        </w:rPr>
      </w:r>
      <w:r>
        <w:rPr>
          <w:lang w:val="en-GB"/>
        </w:rPr>
      </w:r>
    </w:p>
    <w:p>
      <w:pPr>
        <w:pStyle w:val="Normal"/>
        <w:rPr/>
      </w:pPr>
      <w:r>
        <w:rPr>
          <w:lang w:val="en-GB"/>
        </w:rPr>
        <w:t>3.</w:t>
        <w:tab/>
        <w:t>No charges or fees for the Services will be allowed, except those charges defined in The Agreements.</w:t>
      </w:r>
    </w:p>
    <w:p>
      <w:pPr>
        <w:pStyle w:val="Normal"/>
        <w:rPr/>
      </w:pPr>
      <w:r>
        <w:rPr>
          <w:lang w:val="en-GB"/>
        </w:rPr>
        <w:t>4.</w:t>
        <w:tab/>
        <w:t>No periodic adjustments to the fees will be allowed except for the adjustments for inflation and deflation explicitly defined in The Agreements.</w:t>
      </w:r>
    </w:p>
    <w:p>
      <w:pPr>
        <w:pStyle w:val="Normal"/>
        <w:rPr/>
      </w:pPr>
      <w:r>
        <w:rPr>
          <w:lang w:val="en-GB"/>
        </w:rPr>
        <w:t>5.</w:t>
        <w:tab/>
        <w:t>Except as expressly agreed otherwise in The Agreements, all expenses are included in the base charges, including all travel and incidental expenses.</w:t>
      </w:r>
    </w:p>
    <w:p>
      <w:pPr>
        <w:pStyle w:val="Normal"/>
        <w:rPr/>
      </w:pPr>
      <w:r>
        <w:rPr>
          <w:lang w:val="en-GB"/>
        </w:rPr>
        <w:t>6.</w:t>
        <w:tab/>
        <w:t>For all applications, systems, and technology designated as Service Provider responsibility in The Agreements, Service Provider will be responsible for all maintenance, updates, and upgrades over the Term of The Agreements. Such items/activities are assumed to be included in the base charges.</w:t>
      </w:r>
    </w:p>
    <w:p>
      <w:pPr>
        <w:pStyle w:val="Normal"/>
        <w:rPr/>
      </w:pPr>
      <w:r>
        <w:rPr>
          <w:lang w:val="en-GB"/>
        </w:rPr>
        <w:t>7.</w:t>
        <w:tab/>
        <w:t xml:space="preserve">ServicePro will keep pace with advances in technology used to provide Services. Accordingly, ServicePro will (A) make commercially reasonable efforts to identify and apply methodologies, techniques, tools, Software or technologies in performing and providing the Services, including those that are used generally within ServicePro's organization, those that are used within GlobalPharma’s organization (to the extent identified by GlobalPharma and permitted to be utilized by ServicePro), and, to the extent identified by ServicePro through its commercially reasonable identification efforts, those that are used within the general industry categories of operations of the business processes or related information technology industries, and (B) make commercially reasonable investments to maintain the currency of the business processes, methodologies, techniques, tools, Software, technologies and other resources used by ServicePro to provide the Services. GlobalPharma shall have the right to approve the implementation of any new or changes to existing business processes, methodologies, techniques, Tools, Software or technologies. </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65" w:name="__RefHeading___Toc157506522"/>
      <w:bookmarkEnd w:id="65"/>
      <w:r>
        <w:rPr>
          <w:lang w:val="en-GB"/>
        </w:rPr>
        <w:t>Invoices, Payment</w:t>
      </w:r>
    </w:p>
    <w:p>
      <w:pPr>
        <w:pStyle w:val="Normal"/>
        <w:rPr/>
      </w:pPr>
      <w:r>
        <w:rPr>
          <w:lang w:val="en-GB"/>
        </w:rPr>
        <w:t>1.</w:t>
        <w:tab/>
        <w:t xml:space="preserve">The Service Provider will ensure that invoice payment is processed timely, accurately and supported by adequate back-up information in line with the requirements described in </w:t>
      </w:r>
      <w:r>
        <w:rPr>
          <w:b/>
          <w:bCs/>
          <w:lang w:val="en-GB"/>
        </w:rPr>
        <w:t>Exhibit 4</w:t>
      </w:r>
      <w:r>
        <w:rPr>
          <w:lang w:val="en-GB"/>
        </w:rPr>
        <w:t xml:space="preserve"> (Pricing and Financial Provisions).  </w:t>
      </w:r>
    </w:p>
    <w:p>
      <w:pPr>
        <w:pStyle w:val="Normal"/>
        <w:rPr>
          <w:lang w:val="en-US"/>
        </w:rPr>
      </w:pPr>
      <w:r>
        <w:rPr>
          <w:lang w:val="en-GB"/>
        </w:rPr>
        <w:t>2.</w:t>
        <w:tab/>
        <w:t>GlobalPharma will pay undisputed charges when those payments are due. GlobalPharma will have the right to set off against amounts owed by GlobalPharma under the Agreement any amount the Service Provider is obligated to pay or credit GlobalPharma under the Agreement. GlobalPharma may withhold payment of particular charges that GlobalPharma disputes in good faith.</w:t>
      </w:r>
      <w:r>
        <w:rPr>
          <w:lang w:val="en-US"/>
        </w:rPr>
      </w:r>
    </w:p>
    <w:p>
      <w:pPr>
        <w:pStyle w:val="Normal"/>
        <w:rPr/>
      </w:pPr>
      <w:r>
        <w:rPr>
          <w:lang w:val="en-GB"/>
        </w:rPr>
        <w:t>3.</w:t>
        <w:tab/>
        <w:t>The Service Provider shall render, each month, by means of an electronic file, a single consolidated invoice for the charges incurred in each month. Each invoice shall show such details as reasonably specified by GlobalPharma, including:</w:t>
      </w:r>
    </w:p>
    <w:p>
      <w:pPr>
        <w:pStyle w:val="Normal"/>
        <w:rPr>
          <w:lang w:val="en-GB"/>
        </w:rPr>
      </w:pPr>
      <w:r>
        <w:rPr>
          <w:lang w:val="en-GB"/>
        </w:rPr>
        <w:t>3.1</w:t>
        <w:tab/>
        <w:t>The calculations utilized to establish the charges.</w:t>
      </w:r>
    </w:p>
    <w:p>
      <w:pPr>
        <w:pStyle w:val="Normal"/>
        <w:rPr>
          <w:lang w:val="en-GB"/>
        </w:rPr>
      </w:pPr>
      <w:r>
        <w:rPr>
          <w:lang w:val="en-GB"/>
        </w:rPr>
        <w:t>3.2</w:t>
        <w:tab/>
        <w:t>Identification of all Pass-Through Expenses for the month to which the invoice corresponds.</w:t>
      </w:r>
    </w:p>
    <w:p>
      <w:pPr>
        <w:pStyle w:val="Normal"/>
        <w:rPr>
          <w:lang w:val="en-GB"/>
        </w:rPr>
      </w:pPr>
      <w:r>
        <w:rPr>
          <w:lang w:val="en-GB"/>
        </w:rPr>
        <w:t>3.3</w:t>
        <w:tab/>
        <w:t>Identification of the amounts of any taxes the Service Provider is collecting from GlobalPharma.</w:t>
      </w:r>
    </w:p>
    <w:p>
      <w:pPr>
        <w:pStyle w:val="Normal"/>
        <w:rPr/>
      </w:pPr>
      <w:r>
        <w:rPr>
          <w:lang w:val="en-GB"/>
        </w:rPr>
        <w:t>3.4</w:t>
        <w:tab/>
        <w:t>Such other details and billing information as is necessary to satisfy GlobalPharma's internal accounting, charge back requirements and in-country local billing, including as necessary to allow GlobalPharma to accurately allocate charges by legal entity, business unit, department, Site, Tower, employee, project and Resource Unit.</w:t>
      </w:r>
    </w:p>
    <w:p>
      <w:pPr>
        <w:pStyle w:val="Normal"/>
        <w:rPr>
          <w:lang w:val="en-GB"/>
        </w:rPr>
      </w:pPr>
      <w:r>
        <w:rPr>
          <w:lang w:val="en-GB"/>
        </w:rPr>
        <w:t>4.</w:t>
        <w:tab/>
        <w:t>Further specifications for the content of invoices will be set forth in Exhibit 4 (Pricing and Financial Provisions). Invoices shall be in a form as per Hungarian regulatory requirement. However, ServicePro would be willing to provide backup sheets which provide GlobalPharma with all the required information.</w:t>
      </w:r>
      <w:r>
        <w:rPr>
          <w:b/>
          <w:bCs/>
          <w:lang w:val="en-GB"/>
        </w:rPr>
      </w:r>
      <w:r>
        <w:rPr>
          <w:lang w:val="en-GB"/>
        </w:rPr>
      </w:r>
    </w:p>
    <w:p>
      <w:pPr>
        <w:pStyle w:val="Normal"/>
        <w:rPr>
          <w:lang w:val="en-GB"/>
        </w:rPr>
      </w:pPr>
      <w:r>
        <w:rPr>
          <w:lang w:val="en-GB"/>
        </w:rPr>
        <w:t>5.</w:t>
        <w:tab/>
        <w:t>GlobalPharma will pay undisputed charges within thirty (30) days of receipt of invoice. GlobalPharma has the right to set off amounts owed by GlobalPharma under The Agreements against any amount the Service Provider is obligated to pay or credit GlobalPharma under The Agreements. GlobalPharma may withhold payment of particular charges that GlobalPharma disputes in good faith.</w:t>
      </w:r>
    </w:p>
    <w:p>
      <w:pPr>
        <w:pStyle w:val="Normal"/>
        <w:rPr/>
      </w:pPr>
      <w:r>
        <w:rPr>
          <w:lang w:val="en-GB"/>
        </w:rPr>
        <w:t>6.</w:t>
        <w:tab/>
        <w:t>The Service Provider will use commercially reasonable efforts to (i) identify and obtain any Pass-Through Expenses that a Third Party Vendor does not provide to the Service Provider in a timely manner, and (ii) ensure that all Pass-Through Expenses incurred in the month corresponding to each invoice are included in such invoice. The Service Provider shall report each month to GlobalPharma on the status of late Third Party Vendor invoices and the Service Provider's efforts to obtain them.</w:t>
      </w:r>
    </w:p>
    <w:p>
      <w:pPr>
        <w:pStyle w:val="Normal"/>
        <w:rPr>
          <w:lang w:val="en-GB"/>
        </w:rPr>
      </w:pPr>
      <w:r>
        <w:rPr>
          <w:lang w:val="en-GB"/>
        </w:rPr>
        <w:t>7.</w:t>
        <w:tab/>
        <w:t>The Service Provider shall not invoice GlobalPharma, and GlobalPharma will not be obligated to pay, any charges that are not properly invoiced within three months after the end of the month to which such charges correspond. For transition, the time period for invoicing charges will be extended to six months.</w:t>
      </w:r>
    </w:p>
    <w:p>
      <w:pPr>
        <w:pStyle w:val="Normal"/>
        <w:rPr/>
      </w:pPr>
      <w:r>
        <w:rPr>
          <w:lang w:val="en-GB"/>
        </w:rPr>
        <w:t>8.</w:t>
        <w:tab/>
        <w:t>The Service Provider shall be financially responsible for any Pass-Through Expense that is not properly submitted to GlobalPharma within three months after the end of the month in which such Pass-Through Expense is incurred.</w:t>
      </w:r>
    </w:p>
    <w:p>
      <w:pPr>
        <w:pStyle w:val="Heading2"/>
        <w:numPr>
          <w:ilvl w:val="1"/>
          <w:numId w:val="8"/>
        </w:numPr>
        <w:tabs>
          <w:tab w:val="clear" w:pos="567"/>
          <w:tab w:val="clear" w:pos="1134"/>
          <w:tab w:val="left" w:pos="709" w:leader="none"/>
          <w:tab w:val="right" w:pos="7938" w:leader="none"/>
        </w:tabs>
        <w:ind w:hanging="567" w:start="567" w:end="0"/>
        <w:rPr>
          <w:lang w:val="en-GB"/>
        </w:rPr>
      </w:pPr>
      <w:r>
        <w:rPr>
          <w:rFonts w:eastAsia="Verdana"/>
          <w:lang w:val="en-GB"/>
        </w:rPr>
        <w:t xml:space="preserve"> </w:t>
      </w:r>
      <w:bookmarkStart w:id="66" w:name="__RefHeading___Toc157506523"/>
      <w:r>
        <w:rPr>
          <w:lang w:val="en-GB"/>
        </w:rPr>
        <w:t>Taxes</w:t>
      </w:r>
      <w:bookmarkEnd w:id="66"/>
    </w:p>
    <w:p>
      <w:pPr>
        <w:pStyle w:val="Normal"/>
        <w:rPr>
          <w:lang w:val="en-GB"/>
        </w:rPr>
      </w:pPr>
      <w:r>
        <w:rPr>
          <w:lang w:val="en-GB"/>
        </w:rPr>
        <w:t>1.</w:t>
        <w:tab/>
        <w:t>The Service Provider's proposed charges will be exclusive of any applicable sales, use, gross receipts, excise, value added, services, consumption or other taxes imposed on the delivery of the Services. Such taxes will be charged extra by the Service Provider to GlobalPharma as agreed below:</w:t>
      </w:r>
    </w:p>
    <w:p>
      <w:pPr>
        <w:pStyle w:val="Normal"/>
        <w:rPr>
          <w:lang w:val="en-GB"/>
        </w:rPr>
      </w:pPr>
      <w:r>
        <w:rPr>
          <w:lang w:val="en-GB"/>
        </w:rPr>
        <w:tab/>
        <w:t>a) Any VAT that is retroactively imposed on ServicePro billing to GlobalPharma that is not recoverable, these costs will be borne by ServicePro. ServicePro will provide the necessary support and documentation to GlobalPharma in order to recovery any VAT</w:t>
      </w:r>
    </w:p>
    <w:p>
      <w:pPr>
        <w:pStyle w:val="Normal"/>
        <w:rPr>
          <w:lang w:val="en-GB"/>
        </w:rPr>
      </w:pPr>
      <w:r>
        <w:rPr>
          <w:lang w:val="en-GB"/>
        </w:rPr>
        <w:tab/>
        <w:t>b) Any VAT that is retroactively imposed on ServicePro billing to GlobalPharma that is recoverable, these costs will be borne by GlobalPharma. ServicePro will provide the necessary support and documentation to GlobalPharma in order to recovery any VAT</w:t>
      </w:r>
    </w:p>
    <w:p>
      <w:pPr>
        <w:pStyle w:val="Normal"/>
        <w:rPr/>
      </w:pPr>
      <w:r>
        <w:rPr>
          <w:lang w:val="en-GB"/>
        </w:rPr>
        <w:tab/>
        <w:t>c) Any VAT that is prospectively imposed on ServicePro billing to GlobalPharma, these costs will be borne by GlobalPharma.</w:t>
      </w:r>
    </w:p>
    <w:p>
      <w:pPr>
        <w:pStyle w:val="Normal"/>
        <w:rPr/>
      </w:pPr>
      <w:r>
        <w:rPr>
          <w:lang w:val="en-GB"/>
        </w:rPr>
        <w:t>2.</w:t>
        <w:tab/>
        <w:t>Future non-VAT taxes imposed on the delivery of the Services will be shared equally by the Parties, net of recoveries.</w:t>
      </w:r>
      <w:r>
        <w:rPr>
          <w:lang w:val="en-US"/>
        </w:rPr>
        <w:t xml:space="preserve"> Taxes imposed on either party making the existing agreement uneconomical, after both parties have committed reasonable efforts to mitigate the new taxes, would be an event for termination at no charge for either party, to be mutually agreed and such consent not to be unreasonably withheld. </w:t>
      </w:r>
    </w:p>
    <w:p>
      <w:pPr>
        <w:pStyle w:val="Normal"/>
        <w:rPr>
          <w:lang w:val="en-GB"/>
        </w:rPr>
      </w:pPr>
      <w:r>
        <w:rPr>
          <w:lang w:val="en-GB"/>
        </w:rPr>
        <w:t>3.</w:t>
        <w:tab/>
        <w:t>The Parties will cooperate to reduce the taxes (current and/or future) levied on the Services.</w:t>
      </w:r>
    </w:p>
    <w:p>
      <w:pPr>
        <w:pStyle w:val="Heading1"/>
        <w:numPr>
          <w:ilvl w:val="0"/>
          <w:numId w:val="8"/>
        </w:numPr>
        <w:ind w:hanging="567" w:start="567" w:end="0"/>
        <w:rPr>
          <w:lang w:val="en-GB"/>
        </w:rPr>
      </w:pPr>
      <w:bookmarkStart w:id="67" w:name="__RefHeading___Toc157506524"/>
      <w:bookmarkEnd w:id="67"/>
      <w:r>
        <w:rPr>
          <w:lang w:val="en-GB"/>
        </w:rPr>
        <w:t>Auditing</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68" w:name="__RefHeading___Toc157506525"/>
      <w:bookmarkEnd w:id="68"/>
      <w:r>
        <w:rPr>
          <w:lang w:val="en-GB"/>
        </w:rPr>
        <w:t>Audit Rights</w:t>
      </w:r>
    </w:p>
    <w:p>
      <w:pPr>
        <w:pStyle w:val="Normal"/>
        <w:rPr>
          <w:lang w:val="en-GB"/>
        </w:rPr>
      </w:pPr>
      <w:r>
        <w:rPr>
          <w:lang w:val="en-GB"/>
        </w:rPr>
        <w:t>1.</w:t>
        <w:tab/>
        <w:t>The Service Provider will maintain a complete audit trail of financial and non-financial transactions resulting from The Agreements. The Service Provider will provide to GlobalPharma, its internal or external auditors, e.g. Deloitte Touche, PricewaterhouseCoopers, Ernst &amp; Young, KPMG, but not other auditors to be considered as being Service Provider competitors, inspectors, and regulators access at reasonable times, with reasonable notice and in accordance with Service Provider's reasonable confidentiality policies, to facilities where either the Service Provider or any of its subcontractors is providing Services, to personnel, and to data and records relating to the Services for the purpose of performing audits and inspections of either the Service Provider or its subcontractors for any reasonable business purpose, including (i) the accuracy of charges and invoices; (ii) audits and examinations by GlobalPharma's regulatory authorities; (iii) for performance to the terms of The Agreements; (iv) for the conduct of Service Provider operations and procedures; (v) charges of the Service Provider in performing the Services and (vi) for examination by GlobalPharma of data and records pertaining to GlobalPharma's compliance with the Sarbanes-Oxley Act of 2002. GlobalPharma will not have access to information relating to Service Provider's other customers, or to Service Provider's internal cost information.</w:t>
      </w:r>
    </w:p>
    <w:p>
      <w:pPr>
        <w:pStyle w:val="Normal"/>
        <w:rPr/>
      </w:pPr>
      <w:r>
        <w:rPr>
          <w:lang w:val="en-GB"/>
        </w:rPr>
        <w:t>2.</w:t>
        <w:tab/>
        <w:t>With respect to any proposed adjustments in the charges in connection with a change in the Services, an Extraordinary Event or in termination charges, GlobalPharma shall have the right to retain an independent Third Party to audit the Service Provider's or any of its subcontractor's charges and explanatory documents associated with such adjustment (not to be construed as profits, associated with such adjustment).</w:t>
      </w:r>
      <w:r>
        <w:rPr>
          <w:lang w:val="en-US"/>
        </w:rPr>
      </w:r>
      <w:r>
        <w:rPr>
          <w:lang w:val="en-GB"/>
        </w:rPr>
      </w:r>
    </w:p>
    <w:p>
      <w:pPr>
        <w:pStyle w:val="Normal"/>
        <w:rPr>
          <w:lang w:val="en-GB"/>
        </w:rPr>
      </w:pPr>
      <w:r>
        <w:rPr>
          <w:lang w:val="en-GB"/>
        </w:rPr>
        <w:t>3.</w:t>
        <w:tab/>
        <w:t>ServicePro will work with GlobalPharma to ensure compliance with SOX for the part of their processes that ServicePro is servicing. During the transition phase itself, ServicePro will work with GlobalPharma to put in place the requisite controls for making the process SOX-compliant. ServicePro will work with GlobalPharma to:</w:t>
      </w:r>
    </w:p>
    <w:p>
      <w:pPr>
        <w:pStyle w:val="RPF-BulletList"/>
        <w:numPr>
          <w:ilvl w:val="0"/>
          <w:numId w:val="7"/>
        </w:numPr>
        <w:rPr>
          <w:rFonts w:ascii="Verdana" w:hAnsi="Verdana" w:cs="Verdana"/>
          <w:color w:val="000000"/>
        </w:rPr>
      </w:pPr>
      <w:r>
        <w:rPr>
          <w:rFonts w:cs="Verdana" w:ascii="Verdana" w:hAnsi="Verdana"/>
          <w:color w:val="000000"/>
        </w:rPr>
        <w:t>Identify and agree on high risk processes</w:t>
      </w:r>
    </w:p>
    <w:p>
      <w:pPr>
        <w:pStyle w:val="RPF-BulletList"/>
        <w:numPr>
          <w:ilvl w:val="0"/>
          <w:numId w:val="7"/>
        </w:numPr>
        <w:rPr>
          <w:rFonts w:ascii="Verdana" w:hAnsi="Verdana" w:cs="Verdana"/>
          <w:color w:val="000000"/>
        </w:rPr>
      </w:pPr>
      <w:r>
        <w:rPr>
          <w:rFonts w:cs="Verdana" w:ascii="Verdana" w:hAnsi="Verdana"/>
          <w:color w:val="000000"/>
        </w:rPr>
        <w:t>Draft sample documentation and seek sign off from auditors</w:t>
      </w:r>
    </w:p>
    <w:p>
      <w:pPr>
        <w:pStyle w:val="RPF-BulletList"/>
        <w:numPr>
          <w:ilvl w:val="0"/>
          <w:numId w:val="7"/>
        </w:numPr>
        <w:rPr>
          <w:rFonts w:ascii="Verdana" w:hAnsi="Verdana" w:cs="Verdana"/>
          <w:color w:val="000000"/>
        </w:rPr>
      </w:pPr>
      <w:r>
        <w:rPr>
          <w:rFonts w:cs="Verdana" w:ascii="Verdana" w:hAnsi="Verdana"/>
          <w:color w:val="000000"/>
        </w:rPr>
        <w:t>Document process and process flows</w:t>
      </w:r>
    </w:p>
    <w:p>
      <w:pPr>
        <w:pStyle w:val="RPF-BulletList"/>
        <w:numPr>
          <w:ilvl w:val="0"/>
          <w:numId w:val="7"/>
        </w:numPr>
        <w:rPr>
          <w:rFonts w:ascii="Verdana" w:hAnsi="Verdana" w:cs="Verdana"/>
          <w:color w:val="000000"/>
        </w:rPr>
      </w:pPr>
      <w:r>
        <w:rPr>
          <w:rFonts w:cs="Verdana" w:ascii="Verdana" w:hAnsi="Verdana"/>
          <w:color w:val="000000"/>
        </w:rPr>
        <w:t>Design and test work plan, assess risk control matrix</w:t>
      </w:r>
    </w:p>
    <w:p>
      <w:pPr>
        <w:pStyle w:val="RPF-BulletList"/>
        <w:numPr>
          <w:ilvl w:val="0"/>
          <w:numId w:val="7"/>
        </w:numPr>
        <w:rPr>
          <w:rFonts w:ascii="Verdana" w:hAnsi="Verdana" w:cs="Verdana"/>
          <w:color w:val="000000"/>
        </w:rPr>
      </w:pPr>
      <w:r>
        <w:rPr>
          <w:rFonts w:cs="Verdana" w:ascii="Verdana" w:hAnsi="Verdana"/>
          <w:color w:val="000000"/>
        </w:rPr>
        <w:t>Perform gap analysis</w:t>
      </w:r>
    </w:p>
    <w:p>
      <w:pPr>
        <w:pStyle w:val="Normal"/>
        <w:rPr/>
      </w:pPr>
      <w:r>
        <w:rPr>
          <w:lang w:val="en-GB"/>
        </w:rPr>
        <w:t>ServicePro will provide a testing plan covering the scope and timing will be drawn up in collaboration with GlobalPharma. ServicePro documentation standards ensure updated process documents for all ServicePro processes.</w:t>
      </w:r>
    </w:p>
    <w:p>
      <w:pPr>
        <w:pStyle w:val="Normal"/>
        <w:rPr/>
      </w:pPr>
      <w:r>
        <w:rPr>
          <w:lang w:val="en-GB"/>
        </w:rPr>
        <w:t>Starting December 2007, ServicePro will provide for the delivery sites SAS 70 Type II audit for environment controls ServicePro infrastructure and procedures to GlobalPharma. Any audit procedure specific to GlobalPharma will be at GlobalPharma and at GlobalPharma cost.</w:t>
      </w:r>
    </w:p>
    <w:p>
      <w:pPr>
        <w:pStyle w:val="Normal"/>
        <w:rPr/>
      </w:pPr>
      <w:r>
        <w:rPr>
          <w:lang w:val="en-GB"/>
        </w:rPr>
        <w:t>The scope of processes to be covered under the SAS 70 audit is:</w:t>
      </w:r>
    </w:p>
    <w:p>
      <w:pPr>
        <w:pStyle w:val="RPF-BulletList"/>
        <w:numPr>
          <w:ilvl w:val="0"/>
          <w:numId w:val="7"/>
        </w:numPr>
        <w:rPr>
          <w:rFonts w:ascii="Verdana" w:hAnsi="Verdana" w:cs="Verdana"/>
          <w:color w:val="000000"/>
        </w:rPr>
      </w:pPr>
      <w:r>
        <w:rPr>
          <w:rFonts w:cs="Verdana" w:ascii="Verdana" w:hAnsi="Verdana"/>
          <w:color w:val="000000"/>
        </w:rPr>
        <w:t>IT</w:t>
      </w:r>
    </w:p>
    <w:p>
      <w:pPr>
        <w:pStyle w:val="RPF-BulletList"/>
        <w:numPr>
          <w:ilvl w:val="0"/>
          <w:numId w:val="7"/>
        </w:numPr>
        <w:rPr>
          <w:rFonts w:ascii="Verdana" w:hAnsi="Verdana" w:cs="Verdana"/>
          <w:color w:val="000000"/>
        </w:rPr>
      </w:pPr>
      <w:r>
        <w:rPr>
          <w:rFonts w:cs="Verdana" w:ascii="Verdana" w:hAnsi="Verdana"/>
          <w:color w:val="000000"/>
        </w:rPr>
        <w:t>Facilities</w:t>
      </w:r>
    </w:p>
    <w:p>
      <w:pPr>
        <w:pStyle w:val="RPF-BulletList"/>
        <w:numPr>
          <w:ilvl w:val="0"/>
          <w:numId w:val="7"/>
        </w:numPr>
        <w:rPr>
          <w:rFonts w:ascii="Verdana" w:hAnsi="Verdana" w:cs="Verdana"/>
          <w:color w:val="000000"/>
        </w:rPr>
      </w:pPr>
      <w:r>
        <w:rPr>
          <w:rFonts w:cs="Verdana" w:ascii="Verdana" w:hAnsi="Verdana"/>
          <w:color w:val="000000"/>
        </w:rPr>
        <w:t>Hiring</w:t>
      </w:r>
    </w:p>
    <w:p>
      <w:pPr>
        <w:pStyle w:val="RPF-BulletList"/>
        <w:numPr>
          <w:ilvl w:val="0"/>
          <w:numId w:val="7"/>
        </w:numPr>
        <w:rPr>
          <w:rFonts w:ascii="Verdana" w:hAnsi="Verdana" w:cs="Verdana"/>
          <w:color w:val="000000"/>
        </w:rPr>
      </w:pPr>
      <w:r>
        <w:rPr>
          <w:rFonts w:cs="Verdana" w:ascii="Verdana" w:hAnsi="Verdana"/>
          <w:color w:val="000000"/>
        </w:rPr>
        <w:t>Training</w:t>
      </w:r>
    </w:p>
    <w:p>
      <w:pPr>
        <w:pStyle w:val="RPF-BulletList"/>
        <w:numPr>
          <w:ilvl w:val="0"/>
          <w:numId w:val="7"/>
        </w:numPr>
        <w:rPr>
          <w:rFonts w:ascii="Verdana" w:hAnsi="Verdana" w:cs="Verdana"/>
          <w:color w:val="000000"/>
        </w:rPr>
      </w:pPr>
      <w:r>
        <w:rPr>
          <w:rFonts w:cs="Verdana" w:ascii="Verdana" w:hAnsi="Verdana"/>
          <w:color w:val="000000"/>
        </w:rPr>
        <w:t>Compliance/ Legal</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69" w:name="__RefHeading___Toc157506526"/>
      <w:bookmarkEnd w:id="69"/>
      <w:r>
        <w:rPr>
          <w:lang w:val="en-GB"/>
        </w:rPr>
        <w:t>Audit Follow Up</w:t>
      </w:r>
    </w:p>
    <w:p>
      <w:pPr>
        <w:pStyle w:val="Normal"/>
        <w:rPr/>
      </w:pPr>
      <w:r>
        <w:rPr>
          <w:lang w:val="en-GB"/>
        </w:rPr>
        <w:t>1.</w:t>
        <w:tab/>
        <w:t>The Service Provider and GlobalPharma shall meet to review each audit report promptly and to mutually agree upon an appropriate and effective manner in which to respond to the deficiencies identified and changes suggested by the audit report. If an audit reveals an overcharge, the Service Provider shall promptly refund such overcharge.</w:t>
      </w:r>
    </w:p>
    <w:p>
      <w:pPr>
        <w:pStyle w:val="Normal"/>
        <w:rPr>
          <w:lang w:val="en-GB"/>
        </w:rPr>
      </w:pPr>
      <w:r>
        <w:rPr>
          <w:lang w:val="en-GB"/>
        </w:rPr>
        <w:t>2.</w:t>
        <w:tab/>
        <w:t>The Service Provider will make available promptly to GlobalPharma the results of any reviews or audits conducted by the Service Provider, its Affiliates or their subcontractors, agents or representatives (including internal and external auditors), relating to the Service Provider's operating practices and procedures to the extent relevant to the Services or to GlobalPharma.</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70" w:name="__RefHeading___Toc157506527"/>
      <w:bookmarkEnd w:id="70"/>
      <w:r>
        <w:rPr>
          <w:lang w:val="en-GB"/>
        </w:rPr>
        <w:t>Records Retention</w:t>
      </w:r>
    </w:p>
    <w:p>
      <w:pPr>
        <w:pStyle w:val="Normal"/>
        <w:rPr>
          <w:lang w:val="en-GB"/>
        </w:rPr>
      </w:pPr>
      <w:r>
        <w:rPr>
          <w:lang w:val="en-GB"/>
        </w:rPr>
        <w:t>The Service Provider will comply with GlobalPharma's record retention policies including those specifically related to the Sarbanes – Oxley Act of 2002 and maintain and provide access upon request to the records, documents and other information required to meet GlobalPharma's audit rights under The Agreements.</w:t>
      </w:r>
    </w:p>
    <w:p>
      <w:pPr>
        <w:pStyle w:val="Heading1"/>
        <w:numPr>
          <w:ilvl w:val="0"/>
          <w:numId w:val="8"/>
        </w:numPr>
        <w:ind w:hanging="567" w:start="567" w:end="0"/>
        <w:jc w:val="start"/>
        <w:rPr>
          <w:lang w:val="en-GB"/>
        </w:rPr>
      </w:pPr>
      <w:bookmarkStart w:id="71" w:name="__RefHeading___Toc157506528"/>
      <w:bookmarkEnd w:id="71"/>
      <w:r>
        <w:rPr>
          <w:lang w:val="en-GB"/>
        </w:rPr>
        <w:t>Safeguarding of GlobalPharma PHarma INformation, Confidentiality</w:t>
      </w:r>
    </w:p>
    <w:p>
      <w:pPr>
        <w:pStyle w:val="Normal"/>
        <w:rPr/>
      </w:pPr>
      <w:r>
        <w:rPr>
          <w:lang w:val="en-GB"/>
        </w:rPr>
        <w:t>1.</w:t>
        <w:tab/>
        <w:t>GlobalPharma Information will be and remain the property of GlobalPharma. The Service Provider and its subcontractors, if any, will not utilize GlobalPharma Information for any purpose other than that of rendering the Services under The Agreements.</w:t>
      </w:r>
    </w:p>
    <w:p>
      <w:pPr>
        <w:pStyle w:val="Normal"/>
        <w:rPr/>
      </w:pPr>
      <w:r>
        <w:rPr>
          <w:lang w:val="en-GB"/>
        </w:rPr>
        <w:t>2.</w:t>
        <w:tab/>
        <w:t>All operational data developed and maintained by the Service Provider in delivering the Services shall be considered GlobalPharma Information, except for information regarding the Service Provider's personnel and the Service Provider's costs. GlobalPharma shall have an unrestricted right to use, or to have Third Parties use on its behalf, such operational data.</w:t>
      </w:r>
    </w:p>
    <w:p>
      <w:pPr>
        <w:pStyle w:val="Normal"/>
        <w:rPr>
          <w:lang w:val="en-GB"/>
        </w:rPr>
      </w:pPr>
      <w:r>
        <w:rPr>
          <w:lang w:val="en-GB"/>
        </w:rPr>
        <w:t>3.</w:t>
        <w:tab/>
        <w:t xml:space="preserve">As requested by GlobalPharma at the end of Term or at termination of The Agreements (regardless of the type of termination), GlobalPharma Information shall be returned to GlobalPharma in a form acceptable to GlobalPharma or destroyed as directed by GlobalPharma. </w:t>
      </w:r>
    </w:p>
    <w:p>
      <w:pPr>
        <w:pStyle w:val="Normal"/>
        <w:rPr/>
      </w:pPr>
      <w:r>
        <w:rPr>
          <w:lang w:val="en-GB"/>
        </w:rPr>
        <w:t>4.</w:t>
        <w:tab/>
        <w:t>Service Provider shall provide to GlobalPharma and its Affiliates access to the GlobalPharma Data in Service Provider's or Service Provider's contractors possession or control on demand.</w:t>
      </w:r>
    </w:p>
    <w:p>
      <w:pPr>
        <w:pStyle w:val="Normal"/>
        <w:rPr/>
      </w:pPr>
      <w:r>
        <w:rPr>
          <w:lang w:val="en-GB"/>
        </w:rPr>
        <w:t>5.</w:t>
        <w:tab/>
        <w:t>The Service Provider will (i) comply with all GlobalPharma security policies, information protection, and privacy policies, procedures, standards, requirements and specifications which have been communicated and agreed by the parties; (ii) provide appropriate Equipment and Software to implement security solutions in accordance Section 10.3.4 (i); (iii) segregate all GlobalPharma Information from that of any other client; and (iv) provide direct access to assets and information pertinent to GlobalPharma's investigations, compliance reviews, and audits.</w:t>
      </w:r>
    </w:p>
    <w:p>
      <w:pPr>
        <w:pStyle w:val="Normal"/>
        <w:rPr/>
      </w:pPr>
      <w:r>
        <w:rPr>
          <w:lang w:val="en-GB"/>
        </w:rPr>
        <w:t>6.</w:t>
        <w:tab/>
        <w:t>The Service Provider shall establish and maintain safeguards against the unauthorized access, destruction, loss or alteration of GlobalPharma Information in the possession of the Service Provider and/or its subcontractors that are no less rigorous than the most rigorous practices of GlobalPharma or the Service Provider as of the Effective Date. GlobalPharma shall have the right to establish backup security for GlobalPharma Data and to keep backup and files for such data in its possession if it chooses. Service Provider personnel and subcontractors will not attempt to access or allow access to GlobalPharma Information that is not required for the performance of the Services by such personnel. The Service Provider will promptly notify GlobalPharma of any breach or potential breach of security relating to GlobalPharma Information and investigate and remediate the effects of such breach or potential breach.</w:t>
      </w:r>
    </w:p>
    <w:p>
      <w:pPr>
        <w:pStyle w:val="Normal"/>
        <w:rPr>
          <w:lang w:val="en-GB"/>
        </w:rPr>
      </w:pPr>
      <w:r>
        <w:rPr>
          <w:lang w:val="en-GB"/>
        </w:rPr>
        <w:t>7.</w:t>
        <w:tab/>
        <w:t>Each Party's confidential information shall remain the property of that Party. Each Party shall use at least the same degree of care, but no less than a reasonable degree of care, to safeguard the confidential information of the other as it employs with respect to its own information of a similar nature. Each Party shall require that its employees, agents, and subcontractors comply with the confidentiality restrictions of The Agreements. In the event of unauthorized disclosure or loss of confidential information, the receiving Party shall immediately notify the furnishing Party in writing. These responsibilities shall survive the expiration or termination of The Agreements.</w:t>
      </w:r>
    </w:p>
    <w:p>
      <w:pPr>
        <w:pStyle w:val="Normal"/>
        <w:rPr>
          <w:lang w:val="en-GB"/>
        </w:rPr>
      </w:pPr>
      <w:r>
        <w:rPr>
          <w:lang w:val="en-GB"/>
        </w:rPr>
        <w:t>8.</w:t>
        <w:tab/>
        <w:t xml:space="preserve">Service Provider guarantees that no personal data will be transferred from countries of the European continent to the USA or any other jurisdiction with Data Protection Rules and Regulations which are not equivalent to the standards within the European Union and that such personal data will neither be processed there. Service Provider also guarantees to grant all necessary support to GlobalPharma to comply with applicable Data Protection Rules and Regulations. </w:t>
      </w:r>
    </w:p>
    <w:p>
      <w:pPr>
        <w:pStyle w:val="Heading1"/>
        <w:numPr>
          <w:ilvl w:val="0"/>
          <w:numId w:val="8"/>
        </w:numPr>
        <w:ind w:hanging="567" w:start="567" w:end="0"/>
        <w:rPr>
          <w:lang w:val="en-GB"/>
        </w:rPr>
      </w:pPr>
      <w:bookmarkStart w:id="72" w:name="__RefHeading___Toc157506529"/>
      <w:bookmarkEnd w:id="72"/>
      <w:r>
        <w:rPr>
          <w:lang w:val="en-GB"/>
        </w:rPr>
        <w:t>Representations and Warranties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73" w:name="__RefHeading___Toc157506530"/>
      <w:bookmarkEnd w:id="73"/>
      <w:r>
        <w:rPr>
          <w:lang w:val="en-GB"/>
        </w:rPr>
        <w:t>Work Standards</w:t>
      </w:r>
    </w:p>
    <w:p>
      <w:pPr>
        <w:pStyle w:val="Normal"/>
        <w:rPr>
          <w:lang w:val="en-GB"/>
        </w:rPr>
      </w:pPr>
      <w:r>
        <w:rPr>
          <w:lang w:val="en-GB"/>
        </w:rPr>
        <w:t>The Service Provider will provide the Services with promptness, diligence and in a workmanlike and professional manner, in accordance with the terms of The Agreements and with the practices and professional standards used in well-managed operations performing services similar to the Services. The Service Provider will use adequate numbers of qualified individuals with suitable training, education, experience and skill to perform the Services.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74" w:name="__RefHeading___Toc157506531"/>
      <w:bookmarkEnd w:id="74"/>
      <w:r>
        <w:rPr>
          <w:lang w:val="en-GB"/>
        </w:rPr>
        <w:t>Maintenance</w:t>
      </w:r>
    </w:p>
    <w:p>
      <w:pPr>
        <w:pStyle w:val="Normal"/>
        <w:rPr>
          <w:lang w:val="en-GB"/>
        </w:rPr>
      </w:pPr>
      <w:r>
        <w:rPr>
          <w:lang w:val="en-GB"/>
        </w:rPr>
        <w:t>The Service Provider will maintain Equipment and Software to the extent that the Service Provider has maintenance responsibility for such assets so that they operate in accordance with their specifications, including (i) maintaining Equipment in good operating condition, subject to normal wear and tear; (ii) undertaking repairs and preventive maintenance on Equipment in accordance with the applicable Equipment manufacturer's recommendations; and (iii) performing Software maintenance in accordance with the applicable Software vendor's documentation and recommendations.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75" w:name="__RefHeading___Toc157506532"/>
      <w:bookmarkEnd w:id="75"/>
      <w:r>
        <w:rPr>
          <w:lang w:val="en-GB"/>
        </w:rPr>
        <w:t>Efficiency and Cost Effectiveness</w:t>
      </w:r>
    </w:p>
    <w:p>
      <w:pPr>
        <w:pStyle w:val="Normal"/>
        <w:rPr>
          <w:lang w:val="en-GB"/>
        </w:rPr>
      </w:pPr>
      <w:r>
        <w:rPr>
          <w:lang w:val="en-GB"/>
        </w:rPr>
        <w:t>The Service Provider will use its best efforts to use efficiently the resources or services necessary to provide the Services, and to perform the Services in the most cost efficient manner consistent with the required level of quality and performance.</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76" w:name="__RefHeading___Toc157506533"/>
      <w:bookmarkEnd w:id="76"/>
      <w:r>
        <w:rPr>
          <w:lang w:val="en-GB"/>
        </w:rPr>
        <w:t>Non-Infringement</w:t>
      </w:r>
    </w:p>
    <w:p>
      <w:pPr>
        <w:pStyle w:val="Normal"/>
        <w:rPr>
          <w:lang w:val="en-GB"/>
        </w:rPr>
      </w:pPr>
      <w:r>
        <w:rPr>
          <w:lang w:val="en-GB"/>
        </w:rPr>
        <w:t>The Service Provider will perform its responsibilities under The Agreements in a manner that does not infringe any patent, copyright, trademark, trade secret or other proprietary rights of GlobalPharma and its affiliates or any Third Party.</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77" w:name="__RefHeading___Toc157506534"/>
      <w:bookmarkEnd w:id="77"/>
      <w:r>
        <w:rPr>
          <w:lang w:val="en-GB"/>
        </w:rPr>
        <w:t>Materials</w:t>
      </w:r>
    </w:p>
    <w:p>
      <w:pPr>
        <w:pStyle w:val="Normal"/>
        <w:rPr>
          <w:lang w:val="en-GB"/>
        </w:rPr>
      </w:pPr>
      <w:r>
        <w:rPr>
          <w:lang w:val="en-GB"/>
        </w:rPr>
        <w:t>Each Party warrants that it is the owner of, or is authorized to use and/or provide all Service Provider Materials and Third Party Materials used and to be used in connection with the Services.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78" w:name="__RefHeading___Toc157506535"/>
      <w:r>
        <w:rPr>
          <w:lang w:val="en-GB"/>
        </w:rPr>
        <w:t>Developed Materials</w:t>
      </w:r>
      <w:bookmarkEnd w:id="78"/>
      <w:r>
        <w:rPr>
          <w:lang w:val="en-GB"/>
        </w:rPr>
        <w:t xml:space="preserve"> </w:t>
      </w:r>
    </w:p>
    <w:p>
      <w:pPr>
        <w:pStyle w:val="Normal"/>
        <w:rPr/>
      </w:pPr>
      <w:bookmarkStart w:id="79" w:name="_Ref71689204"/>
      <w:r>
        <w:rPr>
          <w:lang w:val="en-GB"/>
        </w:rPr>
        <w:t>a)</w:t>
        <w:tab/>
        <w:t>ServicePro warrants that any software comprising Work Product developed by ServicePro pursuant to this Agreement (the "ServicePro Warranty Item") will during the Warranty Period conform to and will function in accordance with the applicable written design specifications agreed upon by the Parties with respect to such item. In addition, (i) the documentation for such ServicePro Warranty Item will be sufficient to allow a reasonably knowledgeable and experienced systems programmer to provide standard support for such ServicePro Warranty Item; and (ii) any user documentation for such ServicePro Warranty Item will accurately describe in terms understandable by a typical end user proficient in the English language the functions and features of such ServicePro Warranty Item and the procedures for exercising such functions and features.</w:t>
      </w:r>
      <w:bookmarkEnd w:id="79"/>
    </w:p>
    <w:p>
      <w:pPr>
        <w:pStyle w:val="Normal"/>
        <w:rPr/>
      </w:pPr>
      <w:r>
        <w:rPr>
          <w:lang w:val="en-GB"/>
        </w:rPr>
        <w:t>b)</w:t>
        <w:tab/>
        <w:t>GlobalPharma will notify ServicePro in writing of any detected defects in such ServicePro Warranty Item that cause it not to conform to and/or function in accordance with the applicable design specifications during the Warranty Period and will provide ServicePro with adequate information to identify the circumstances in which such defects were discovered.</w:t>
      </w:r>
    </w:p>
    <w:p>
      <w:pPr>
        <w:pStyle w:val="Normal"/>
        <w:rPr/>
      </w:pPr>
      <w:r>
        <w:rPr>
          <w:lang w:val="en-GB"/>
        </w:rPr>
        <w:t>c)</w:t>
        <w:tab/>
        <w:t xml:space="preserve">GlobalPharma's sole and exclusive remedy for any breach of such warranty will be the correction by ServicePro of any defects in such ServicePro Warranty Item that cause it not to conform to and/or function in accordance with the applicable design specifications. GlobalPharma will provide to ServicePro access, in a timely manner, to any technical support, facilities, hardware, software or information in GlobalPharma's possession necessary for ServicePro to complete such work. ServicePro will correct such stated defects, at no additional cost to GlobalPharma and as soon as practicable, and furnish GlobalPharma with a revised or updated ServicePro Warranty Item reflecting any corrections made </w:t>
      </w:r>
    </w:p>
    <w:p>
      <w:pPr>
        <w:pStyle w:val="Normal"/>
        <w:rPr/>
      </w:pPr>
      <w:r>
        <w:rPr>
          <w:lang w:val="en-GB"/>
        </w:rPr>
        <w:t>d)</w:t>
        <w:tab/>
        <w:t xml:space="preserve">Notwithstanding the foregoing, this warranty will not apply to the extent an ServicePro Warranty Item does not conform to and/or function in accordance with the applicable written design specifications as a result of a defect arising from (i) any act or omission of GlobalPharma, (ii) any person (other than ServicePro or any person under the express direction of ServicePro) making any revisions or modifications to the ServicePro Warranty Item after its provision to GlobalPharma, (iii) the malfunction of any GlobalPharma-supplied or GlobalPharma-authorized third-party software or equipment, (iv) GlobalPharma operation of the ServicePro Warranty Item other than in accordance with applicable documentation or design, or on hardware not recommended, supplied or approved by ServicePro, or (v) the occurrence of any Force Majeure Event. In any such event, the warranty described herein with respect to the portion of the ServicePro Warranty Item so affected will be ineffective as to such defect, and the Parties will seek to establish mutually agreed alternative arrangements thereto through the execution of a New Service Request </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80" w:name="__RefHeading___Toc157506536"/>
      <w:bookmarkEnd w:id="80"/>
      <w:r>
        <w:rPr>
          <w:lang w:val="en-GB"/>
        </w:rPr>
        <w:t>Compliance with Laws and Regulations</w:t>
      </w:r>
    </w:p>
    <w:p>
      <w:pPr>
        <w:pStyle w:val="Normal"/>
        <w:rPr/>
      </w:pPr>
      <w:r>
        <w:rPr>
          <w:lang w:val="en-GB"/>
        </w:rPr>
        <w:t>1.</w:t>
        <w:tab/>
        <w:t>The Parties will comply at their own cost with all applicable international, federal, state and local laws, rules, regulations, ordinances and codes (including identifying and procuring required permits, certificates, approvals and inspections) for which they are obligated to comply with.</w:t>
      </w:r>
    </w:p>
    <w:p>
      <w:pPr>
        <w:pStyle w:val="Normal"/>
        <w:rPr>
          <w:lang w:val="en-GB"/>
        </w:rPr>
      </w:pPr>
      <w:r>
        <w:rPr>
          <w:lang w:val="en-GB"/>
        </w:rPr>
        <w:t>2.</w:t>
        <w:tab/>
        <w:t>The Parties will comply at their own cost with all privacy and data protection laws, rules and regulations which are or which may in the future be applicable to the Services or to information relating to customers and employees of GlobalPharma and its Affiliates. If new laws, rules, and regulations are introduced which were unknown as of the Effective Date, the cost of implementation will be shared equally by the Service Provider and GlobalPharma.</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81" w:name="__RefHeading___Toc157506537"/>
      <w:bookmarkEnd w:id="81"/>
      <w:r>
        <w:rPr>
          <w:lang w:val="en-GB"/>
        </w:rPr>
        <w:t>Absence of Litigation</w:t>
      </w:r>
    </w:p>
    <w:p>
      <w:pPr>
        <w:pStyle w:val="Normal"/>
        <w:rPr>
          <w:lang w:val="en-GB"/>
        </w:rPr>
      </w:pPr>
      <w:r>
        <w:rPr>
          <w:lang w:val="en-GB"/>
        </w:rPr>
        <w:t>The Service Provider will warrant that no claim, litigation, proceeding, ICC arbitration, investigation or material controversy is pending, has been threatened or is contemplated which would have a material adverse effect on the Service Provider's ability to enter into The Agreements or provide the Services.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82" w:name="__RefHeading___Toc157506538"/>
      <w:bookmarkEnd w:id="82"/>
      <w:r>
        <w:rPr>
          <w:lang w:val="en-GB"/>
        </w:rPr>
        <w:t>Authorization</w:t>
      </w:r>
    </w:p>
    <w:p>
      <w:pPr>
        <w:pStyle w:val="Normal"/>
        <w:rPr/>
      </w:pPr>
      <w:r>
        <w:rPr>
          <w:lang w:val="en-GB"/>
        </w:rPr>
        <w:t>1.</w:t>
        <w:tab/>
        <w:t>Each Party warrants that it has all requisite corporate power and authority to enter into The Agreements, deliver the Services respectively receive the Services specified by The Agreements and fulfill all of its other obligations required under The Agreements.</w:t>
      </w:r>
    </w:p>
    <w:p>
      <w:pPr>
        <w:pStyle w:val="Normal"/>
        <w:rPr>
          <w:lang w:val="en-GB"/>
        </w:rPr>
      </w:pPr>
      <w:r>
        <w:rPr>
          <w:lang w:val="en-GB"/>
        </w:rPr>
        <w:t>2.</w:t>
        <w:tab/>
        <w:t>Each Party warrants that its execution, delivery and performance of The Agreements do not violate any judgment, order, or decree and would not constitute a material default under any of its existing contracts.</w:t>
      </w:r>
    </w:p>
    <w:p>
      <w:pPr>
        <w:pStyle w:val="Heading2"/>
        <w:numPr>
          <w:ilvl w:val="1"/>
          <w:numId w:val="8"/>
        </w:numPr>
        <w:tabs>
          <w:tab w:val="clear" w:pos="567"/>
          <w:tab w:val="left" w:pos="1134" w:leader="none"/>
          <w:tab w:val="right" w:pos="7938" w:leader="none"/>
        </w:tabs>
        <w:ind w:hanging="567" w:start="567" w:end="0"/>
        <w:rPr>
          <w:lang w:val="en-GB"/>
        </w:rPr>
      </w:pPr>
      <w:bookmarkStart w:id="83" w:name="__RefHeading___Toc157506539"/>
      <w:bookmarkEnd w:id="83"/>
      <w:r>
        <w:rPr>
          <w:lang w:val="en-GB"/>
        </w:rPr>
        <w:t>Inducements</w:t>
      </w:r>
    </w:p>
    <w:p>
      <w:pPr>
        <w:pStyle w:val="Normal"/>
        <w:rPr>
          <w:lang w:val="en-GB"/>
        </w:rPr>
      </w:pPr>
      <w:r>
        <w:rPr>
          <w:lang w:val="en-GB"/>
        </w:rPr>
        <w:t>Both parties warrant that it have not violated any applicable laws, rules or regulations, or any policies of which both parties have been given notice, regarding the offering of unlawful inducements in connection with The Agreements.</w:t>
      </w:r>
    </w:p>
    <w:p>
      <w:pPr>
        <w:pStyle w:val="Heading2"/>
        <w:numPr>
          <w:ilvl w:val="1"/>
          <w:numId w:val="8"/>
        </w:numPr>
        <w:tabs>
          <w:tab w:val="clear" w:pos="567"/>
          <w:tab w:val="left" w:pos="1134" w:leader="none"/>
          <w:tab w:val="right" w:pos="7938" w:leader="none"/>
        </w:tabs>
        <w:ind w:hanging="567" w:start="567" w:end="0"/>
        <w:rPr>
          <w:lang w:val="en-GB"/>
        </w:rPr>
      </w:pPr>
      <w:bookmarkStart w:id="84" w:name="__RefHeading___Toc157506540"/>
      <w:bookmarkEnd w:id="84"/>
      <w:r>
        <w:rPr>
          <w:lang w:val="en-GB"/>
        </w:rPr>
        <w:t>Viruses</w:t>
      </w:r>
    </w:p>
    <w:p>
      <w:pPr>
        <w:pStyle w:val="Normal"/>
        <w:rPr>
          <w:lang w:val="en-GB"/>
        </w:rPr>
      </w:pPr>
      <w:r>
        <w:rPr>
          <w:lang w:val="en-GB"/>
        </w:rPr>
        <w:t>The Service Provider will use commercially reasonable efforts to ensure that no forms of harmful surreptitious code or other contaminants including commands, instructions, devices, techniques, bugs, or web bugs, (collectively "Viruses") are introduced into any computer system, database, software, equipment, web site and/or processes used to provide the Services. If a Virus is found to have been introduced into any environment/system described above, the Service Provider promptly shall notify GlobalPharma in writing of the introduction and at no additional charge to GlobalPharma, assist GlobalPharma in reducing the effects of the Virus, and if the Virus causes an interruption of the Services, a loss of operational efficiency or loss of data, assist GlobalPharma to the same extent to mitigate and restore such losses.</w:t>
      </w:r>
    </w:p>
    <w:p>
      <w:pPr>
        <w:pStyle w:val="Heading2"/>
        <w:numPr>
          <w:ilvl w:val="1"/>
          <w:numId w:val="8"/>
        </w:numPr>
        <w:tabs>
          <w:tab w:val="clear" w:pos="567"/>
          <w:tab w:val="left" w:pos="1134" w:leader="none"/>
          <w:tab w:val="right" w:pos="7938" w:leader="none"/>
        </w:tabs>
        <w:ind w:hanging="567" w:start="567" w:end="0"/>
        <w:rPr>
          <w:lang w:val="en-GB"/>
        </w:rPr>
      </w:pPr>
      <w:bookmarkStart w:id="85" w:name="__RefHeading___Toc157506541"/>
      <w:bookmarkEnd w:id="85"/>
      <w:r>
        <w:rPr>
          <w:lang w:val="en-GB"/>
        </w:rPr>
        <w:t>Disabling Code</w:t>
      </w:r>
    </w:p>
    <w:p>
      <w:pPr>
        <w:pStyle w:val="Normal"/>
        <w:rPr>
          <w:lang w:val="en-GB"/>
        </w:rPr>
      </w:pPr>
      <w:r>
        <w:rPr>
          <w:lang w:val="en-GB"/>
        </w:rPr>
        <w:t>For any Software used in the provision of the Services the Service Provider will not intentionally insert into such Software any code that would have the effect of disabling or otherwise shutting down all or any portion of the Services. With respect to any disabling code that may be part of Software, the Service Provider will represent and covenant that it shall not invoke such disabling code at any time without GlobalPharma's prior written consent.</w:t>
      </w:r>
    </w:p>
    <w:p>
      <w:pPr>
        <w:pStyle w:val="Heading2"/>
        <w:numPr>
          <w:ilvl w:val="1"/>
          <w:numId w:val="8"/>
        </w:numPr>
        <w:tabs>
          <w:tab w:val="clear" w:pos="567"/>
          <w:tab w:val="left" w:pos="1134" w:leader="none"/>
          <w:tab w:val="right" w:pos="7938" w:leader="none"/>
        </w:tabs>
        <w:ind w:hanging="567" w:start="567" w:end="0"/>
        <w:rPr>
          <w:lang w:val="en-GB"/>
        </w:rPr>
      </w:pPr>
      <w:bookmarkStart w:id="86" w:name="__RefHeading___Toc157506542"/>
      <w:bookmarkEnd w:id="86"/>
      <w:r>
        <w:rPr>
          <w:lang w:val="en-GB"/>
        </w:rPr>
        <w:t>Currency Support</w:t>
      </w:r>
    </w:p>
    <w:p>
      <w:pPr>
        <w:pStyle w:val="Normal"/>
        <w:rPr>
          <w:lang w:val="en-GB"/>
        </w:rPr>
      </w:pPr>
      <w:r>
        <w:rPr>
          <w:lang w:val="en-GB"/>
        </w:rPr>
        <w:t>The Service Provider will warrant that the Services and any Materials provided by the Service Provider under The Agreements are and will be capable of supporting the United States Dollar (USD) and the European € (EURO) as the main currencies.</w:t>
      </w:r>
    </w:p>
    <w:p>
      <w:pPr>
        <w:pStyle w:val="Heading1"/>
        <w:numPr>
          <w:ilvl w:val="0"/>
          <w:numId w:val="8"/>
        </w:numPr>
        <w:ind w:hanging="567" w:start="567" w:end="0"/>
        <w:rPr>
          <w:lang w:val="en-GB"/>
        </w:rPr>
      </w:pPr>
      <w:bookmarkStart w:id="87" w:name="__RefHeading___Toc157506543"/>
      <w:bookmarkEnd w:id="87"/>
      <w:r>
        <w:rPr>
          <w:lang w:val="en-GB"/>
        </w:rPr>
        <w:t>Insurance and Risk of Loss</w:t>
      </w:r>
    </w:p>
    <w:p>
      <w:pPr>
        <w:pStyle w:val="Heading2"/>
        <w:numPr>
          <w:ilvl w:val="1"/>
          <w:numId w:val="8"/>
        </w:numPr>
        <w:tabs>
          <w:tab w:val="clear" w:pos="567"/>
          <w:tab w:val="left" w:pos="1134" w:leader="none"/>
          <w:tab w:val="right" w:pos="7938" w:leader="none"/>
        </w:tabs>
        <w:ind w:hanging="567" w:start="567" w:end="0"/>
        <w:rPr>
          <w:lang w:val="en-GB"/>
        </w:rPr>
      </w:pPr>
      <w:bookmarkStart w:id="88" w:name="__RefHeading___Toc157506544"/>
      <w:bookmarkEnd w:id="88"/>
      <w:r>
        <w:rPr>
          <w:lang w:val="en-GB"/>
        </w:rPr>
        <w:t>Insurance</w:t>
      </w:r>
    </w:p>
    <w:p>
      <w:pPr>
        <w:pStyle w:val="Normal"/>
        <w:rPr/>
      </w:pPr>
      <w:r>
        <w:rPr>
          <w:lang w:val="en-GB"/>
        </w:rPr>
        <w:t>1.</w:t>
        <w:tab/>
        <w:t>According to the term of this Agreement, the Service Provider undertakes to take out and maintain insurance coverage, which shall not be deemed a limitation of Service Provider's liability hereunder.</w:t>
      </w:r>
    </w:p>
    <w:p>
      <w:pPr>
        <w:pStyle w:val="Normal"/>
        <w:rPr/>
      </w:pPr>
      <w:r>
        <w:rPr>
          <w:lang w:val="en-GB"/>
        </w:rPr>
        <w:t>2.</w:t>
        <w:tab/>
        <w:t>The Service Provider is required to provide the following insurance coverage in the amounts specified, which shall not be deemed a limitation of Service Provider's liability hereunder: (GlobalPharma is in the process of confirming the requirements below and will issue a bulletin when the definitive list is known)</w:t>
      </w:r>
    </w:p>
    <w:p>
      <w:pPr>
        <w:pStyle w:val="Normal"/>
        <w:rPr/>
      </w:pPr>
      <w:r>
        <w:rPr>
          <w:lang w:val="en-GB"/>
        </w:rPr>
        <w:t>2.1</w:t>
        <w:tab/>
        <w:t xml:space="preserve">Worker's Compensation </w:t>
      </w:r>
    </w:p>
    <w:p>
      <w:pPr>
        <w:pStyle w:val="Normal"/>
        <w:rPr/>
      </w:pPr>
      <w:r>
        <w:rPr>
          <w:lang w:val="en-GB"/>
        </w:rPr>
        <w:t>2.2</w:t>
        <w:tab/>
        <w:t>Employer's Liability.</w:t>
      </w:r>
    </w:p>
    <w:p>
      <w:pPr>
        <w:pStyle w:val="Normal"/>
        <w:rPr>
          <w:lang w:val="en-GB"/>
        </w:rPr>
      </w:pPr>
      <w:r>
        <w:rPr>
          <w:lang w:val="en-GB"/>
        </w:rPr>
        <w:t>2.3</w:t>
        <w:tab/>
        <w:t>Commercial General Liability.</w:t>
      </w:r>
    </w:p>
    <w:p>
      <w:pPr>
        <w:pStyle w:val="Normal"/>
        <w:rPr>
          <w:lang w:val="en-GB"/>
        </w:rPr>
      </w:pPr>
      <w:r>
        <w:rPr>
          <w:lang w:val="en-GB"/>
        </w:rPr>
        <w:t>2.4</w:t>
        <w:tab/>
        <w:t>Professional Liability.</w:t>
      </w:r>
    </w:p>
    <w:p>
      <w:pPr>
        <w:pStyle w:val="Normal"/>
        <w:rPr>
          <w:lang w:val="en-GB"/>
        </w:rPr>
      </w:pPr>
      <w:r>
        <w:rPr>
          <w:lang w:val="en-GB"/>
        </w:rPr>
        <w:t>2.5</w:t>
        <w:tab/>
        <w:t>All Risk Property Liability.</w:t>
      </w:r>
    </w:p>
    <w:p>
      <w:pPr>
        <w:pStyle w:val="Normal"/>
        <w:rPr>
          <w:lang w:val="en-GB"/>
        </w:rPr>
      </w:pPr>
      <w:r>
        <w:rPr>
          <w:lang w:val="en-GB"/>
        </w:rPr>
        <w:t>2.6</w:t>
        <w:tab/>
        <w:t>Business Automobile Liability.</w:t>
      </w:r>
    </w:p>
    <w:p>
      <w:pPr>
        <w:pStyle w:val="Normal"/>
        <w:rPr>
          <w:lang w:val="en-GB"/>
        </w:rPr>
      </w:pPr>
      <w:r>
        <w:rPr>
          <w:lang w:val="en-GB"/>
        </w:rPr>
        <w:t>2.7</w:t>
        <w:tab/>
        <w:t>Umbrella or Excess Liability.</w:t>
      </w:r>
    </w:p>
    <w:p>
      <w:pPr>
        <w:pStyle w:val="Normal"/>
        <w:rPr>
          <w:lang w:val="en-GB"/>
        </w:rPr>
      </w:pPr>
      <w:r>
        <w:rPr>
          <w:lang w:val="en-GB"/>
        </w:rPr>
        <w:t>2.8</w:t>
        <w:tab/>
        <w:t>Employee Dishonesty and Computer Fraud.</w:t>
      </w:r>
    </w:p>
    <w:p>
      <w:pPr>
        <w:pStyle w:val="Normal"/>
        <w:rPr>
          <w:lang w:val="en-GB"/>
        </w:rPr>
      </w:pPr>
      <w:r>
        <w:rPr>
          <w:lang w:val="en-GB"/>
        </w:rPr>
        <w:t>2.9</w:t>
        <w:tab/>
        <w:t>Errors and Omissions.</w:t>
      </w:r>
    </w:p>
    <w:p>
      <w:pPr>
        <w:pStyle w:val="Normal"/>
        <w:rPr>
          <w:lang w:val="en-GB"/>
        </w:rPr>
      </w:pPr>
      <w:r>
        <w:rPr>
          <w:lang w:val="en-GB"/>
        </w:rPr>
        <w:t>3.</w:t>
        <w:tab/>
        <w:t>The insurance grants the insurance coverage as specified in Exhibit 28 (Insurance), which does explicitly include GlobalPharma and its subsidiaries to which Service Provider delivers the Services. The Service Provider undertakes to take out and maintain this insurance coverage with terms and conditions at least as favourable as specified in Exhibit 28 (Insurance) during the Term of The Agreements.</w:t>
      </w:r>
      <w:r>
        <w:rPr>
          <w:b/>
          <w:lang w:val="en-GB"/>
        </w:rPr>
      </w:r>
      <w:r>
        <w:rPr>
          <w:lang w:val="en-GB"/>
        </w:rPr>
      </w:r>
      <w:r>
        <w:rPr>
          <w:b/>
          <w:lang w:val="en-GB"/>
        </w:rPr>
      </w:r>
      <w:r>
        <w:rPr>
          <w:lang w:val="en-GB"/>
        </w:rPr>
      </w:r>
    </w:p>
    <w:p>
      <w:pPr>
        <w:pStyle w:val="Normal"/>
        <w:rPr/>
      </w:pPr>
      <w:r>
        <w:rPr>
          <w:lang w:val="en-GB"/>
        </w:rPr>
        <w:t>4.</w:t>
        <w:tab/>
        <w:t>For the purpose of the insurance for liability of Service Provider for bodily injuries, (including injuries resulting in death including consequential loss caused thereby), the insurance required pursuant to this clause shall list GlobalPharma and GlobalPharma's Affiliates as additional insured with respect to the liabilities caused by the Service Provider and shall provide that in the event of its cancellation or non-renewal, the insurer shall give written notice to GlobalPharma at least thirty (30) days prior to the effective date of the cancellation or non renewal.</w:t>
      </w:r>
    </w:p>
    <w:p>
      <w:pPr>
        <w:pStyle w:val="Normal"/>
        <w:rPr/>
      </w:pPr>
      <w:r>
        <w:rPr>
          <w:lang w:val="en-GB"/>
        </w:rPr>
        <w:t>5.</w:t>
        <w:tab/>
        <w:t>When working with subcontractors, Service Provider shall ensure that the subcontractors take out insurance appropriate for this type of work being performed or services being rendered. On request, Service Provider shall ensure that subcontractors furnish GlobalPharma with insurance certificates in accordance with the previous paragraph.</w:t>
      </w:r>
    </w:p>
    <w:p>
      <w:pPr>
        <w:pStyle w:val="Normal"/>
        <w:rPr/>
      </w:pPr>
      <w:r>
        <w:rPr>
          <w:lang w:val="en-GB"/>
        </w:rPr>
        <w:t>6.</w:t>
        <w:tab/>
        <w:t>In any event and in case of losses for liability of Service Provider for physical injury to or destruction of tangible property including the loss of use thereof caused thereby, it is hereby understood and agreed that the liability insurance of the Service Provider will respond in relation to damages caused by the Service Provider prior to any property insurance/business interruption solution available to GlobalPharma.</w:t>
      </w:r>
    </w:p>
    <w:p>
      <w:pPr>
        <w:pStyle w:val="Heading2"/>
        <w:numPr>
          <w:ilvl w:val="1"/>
          <w:numId w:val="8"/>
        </w:numPr>
        <w:tabs>
          <w:tab w:val="clear" w:pos="567"/>
          <w:tab w:val="left" w:pos="1134" w:leader="none"/>
          <w:tab w:val="right" w:pos="7938" w:leader="none"/>
        </w:tabs>
        <w:ind w:hanging="567" w:start="567" w:end="0"/>
        <w:rPr>
          <w:lang w:val="en-GB"/>
        </w:rPr>
      </w:pPr>
      <w:bookmarkStart w:id="89" w:name="__RefHeading___Toc157506545"/>
      <w:bookmarkEnd w:id="89"/>
      <w:r>
        <w:rPr>
          <w:lang w:val="en-GB"/>
        </w:rPr>
        <w:t>Risk of Loss</w:t>
      </w:r>
    </w:p>
    <w:p>
      <w:pPr>
        <w:pStyle w:val="Normal"/>
        <w:rPr>
          <w:lang w:val="en-GB"/>
        </w:rPr>
      </w:pPr>
      <w:r>
        <w:rPr>
          <w:lang w:val="en-GB"/>
        </w:rPr>
        <w:t>Each Party shall be responsible for the risk of loss of, and damage to, any Equipment, Software, Facilities and other Materials in its possession or under its control except to the extent that such loss or damage is caused by the other Party.</w:t>
      </w:r>
    </w:p>
    <w:p>
      <w:pPr>
        <w:pStyle w:val="Heading1"/>
        <w:numPr>
          <w:ilvl w:val="0"/>
          <w:numId w:val="8"/>
        </w:numPr>
        <w:ind w:hanging="567" w:start="567" w:end="0"/>
        <w:rPr>
          <w:lang w:val="en-GB"/>
        </w:rPr>
      </w:pPr>
      <w:bookmarkStart w:id="90" w:name="__RefHeading___Toc157506546"/>
      <w:bookmarkEnd w:id="90"/>
      <w:r>
        <w:rPr>
          <w:lang w:val="en-GB"/>
        </w:rPr>
        <w:t>Indemnities</w:t>
      </w:r>
    </w:p>
    <w:p>
      <w:pPr>
        <w:pStyle w:val="Heading2"/>
        <w:numPr>
          <w:ilvl w:val="1"/>
          <w:numId w:val="8"/>
        </w:numPr>
        <w:tabs>
          <w:tab w:val="clear" w:pos="567"/>
          <w:tab w:val="left" w:pos="1134" w:leader="none"/>
          <w:tab w:val="right" w:pos="7938" w:leader="none"/>
        </w:tabs>
        <w:ind w:hanging="567" w:start="567" w:end="0"/>
        <w:rPr>
          <w:lang w:val="en-GB"/>
        </w:rPr>
      </w:pPr>
      <w:bookmarkStart w:id="91" w:name="__RefHeading___Toc157506547"/>
      <w:bookmarkEnd w:id="91"/>
      <w:r>
        <w:rPr>
          <w:lang w:val="en-GB"/>
        </w:rPr>
        <w:t>Indemnities by Service-Provider</w:t>
      </w:r>
    </w:p>
    <w:p>
      <w:pPr>
        <w:pStyle w:val="Normal"/>
        <w:rPr>
          <w:lang w:val="en-GB"/>
        </w:rPr>
      </w:pPr>
      <w:r>
        <w:rPr>
          <w:lang w:val="en-GB"/>
        </w:rPr>
        <w:t>The Service Provider will indemnify, defend and hold harmless GlobalPharma and its respective Affiliates, officers, directors, employees, agents, successors, and assigns against: (i) any Third Party claim arising out of or related to the Service Provider's performance or failure to perform its obligations on or after the Effective Date under any Third Party Software licenses or contracts assigned to the Service Provider or for which the Service Provider has assumed financial, administrative or operational responsibility; (ii) the Service Provider's breach of any representation or warranty set forth in Section 11 in case Third Party claims damages against GlobalPharma caused by a breach of Rep and Warranties set out in Sections 11.2 (excluding 11.2.i and 11.2.ii), 11.6, and 11.7 by Service Provider above; (iii) any claims arising out of the Service Provider's interview, hiring, employment and/or personnel transfer processes; (iv) any claims arising out of inadequate insurance cover which the Service Provider had represented to obtain according to Clause 12 of this Agreement and its Exhibits or related to occurrences applicable to GlobalPharma, the Service Provider is required to insure against and has received coverage from the Insurer under Clause 12 and its Exhibits for Errors and Omissions/Network/Internet (E&amp;O), Crime and the Umbrella policy portion applicable only to E&amp;O and Crime under The Agreements; (v) any Third Party claim of infringement of the patent, trade secret, copyright or other proprietary rights, alleged to have occurred because of systems or other resources provided by the Service Provider to GlobalPharma, or based upon performance of the Services by the Service Provider; and (vi) Third Party claims that do not arise out of a relationship with GlobalPharma but arise from the actions of the Service Provider, (vii) any claim related to Service Provider's failure to obtain, maintain, comply with Required Consents, applicable laws, and/or regulations, and (viii) any claim arising from claims against GlobalPharma for taxes, assessments, and/or penalties which have arisen as a default of the Service Provider.</w:t>
      </w:r>
    </w:p>
    <w:p>
      <w:pPr>
        <w:pStyle w:val="Heading2"/>
        <w:numPr>
          <w:ilvl w:val="1"/>
          <w:numId w:val="8"/>
        </w:numPr>
        <w:tabs>
          <w:tab w:val="clear" w:pos="567"/>
          <w:tab w:val="left" w:pos="1134" w:leader="none"/>
          <w:tab w:val="right" w:pos="7938" w:leader="none"/>
        </w:tabs>
        <w:ind w:hanging="567" w:start="567" w:end="0"/>
        <w:rPr>
          <w:lang w:val="en-GB"/>
        </w:rPr>
      </w:pPr>
      <w:bookmarkStart w:id="92" w:name="__RefHeading___Toc157506548"/>
      <w:bookmarkEnd w:id="92"/>
      <w:r>
        <w:rPr>
          <w:lang w:val="en-GB"/>
        </w:rPr>
        <w:t>Indemnities by GlobalPharma</w:t>
      </w:r>
    </w:p>
    <w:p>
      <w:pPr>
        <w:pStyle w:val="Normal"/>
        <w:rPr>
          <w:lang w:val="en-GB"/>
        </w:rPr>
      </w:pPr>
      <w:r>
        <w:rPr>
          <w:lang w:val="en-GB"/>
        </w:rPr>
        <w:t>GlobalPharma will indemnify, defend and hold harmless the Service Provider and its respective Affiliates, officers, directors, employees, agents, successors, and assigns against: (i) any Third Party claim arising out of or related to GlobalPharma's failure to perform its obligations before the Effective Date by GlobalPharma under any Third Party Software licenses or contracts assigned to the Service Provider or for which the Service Provider has assumed financial, administrative or operational responsibility; (ii) GlobalPharma's breach of any representation or warranty set forth in Section 11 above of this Agreement; (iii) claims between GlobalPharma and any of its partners or subcontractors; and (iv) Third Party claims that do not arise out of a relationship with the Service Provider but arise from the actions of GlobalPharma, (v) any claim related to GlobalPharma's failure to obtain, maintain, comply with Required Consents, applicable laws, and/or regulations; and (vi) any Third Party claim of infringement of the patent, trade secret, copyright or other proprietary rights, alleged to have occurred because of systems or other resources provided by GlobalPharma to the Service Provider.</w:t>
      </w:r>
    </w:p>
    <w:p>
      <w:pPr>
        <w:pStyle w:val="Heading2"/>
        <w:numPr>
          <w:ilvl w:val="1"/>
          <w:numId w:val="8"/>
        </w:numPr>
        <w:tabs>
          <w:tab w:val="clear" w:pos="567"/>
          <w:tab w:val="left" w:pos="1134" w:leader="none"/>
          <w:tab w:val="right" w:pos="7938" w:leader="none"/>
        </w:tabs>
        <w:ind w:hanging="567" w:start="567" w:end="0"/>
        <w:rPr>
          <w:lang w:val="en-GB"/>
        </w:rPr>
      </w:pPr>
      <w:bookmarkStart w:id="93" w:name="__RefHeading___Toc157506549"/>
      <w:bookmarkEnd w:id="93"/>
      <w:r>
        <w:rPr>
          <w:lang w:val="en-GB"/>
        </w:rPr>
        <w:t>Additional Indemnities</w:t>
      </w:r>
    </w:p>
    <w:p>
      <w:pPr>
        <w:pStyle w:val="Normal"/>
        <w:rPr>
          <w:lang w:val="en-GB"/>
        </w:rPr>
      </w:pPr>
      <w:r>
        <w:rPr>
          <w:lang w:val="en-GB"/>
        </w:rPr>
        <w:t>Each Party shall indemnify, defend and hold harmless the other, and the other's respective Affiliates, officers, directors, employees, agents, successors, and assigns, against (i) the death or bodily injury of any person caused by the wrongful conduct of the indemnitor; (ii) the damage, loss or destruction of any real or tangible personal property caused by the wrongful conduct of the indemnitor; (iii) any claim, demand, charge, action, cause of action, or other proceeding asserted against the other Party but resulting from an act or omission of the indemnitor in its capacity as an employer of a person; and (iv) any Third Party claim arising out of or related to the indemnitor's breach of its confidentiality obligations under The Agreements, and (v) any claims arising out the willful misconduct or gross negligence of either Party.</w:t>
      </w:r>
    </w:p>
    <w:p>
      <w:pPr>
        <w:pStyle w:val="Heading2"/>
        <w:numPr>
          <w:ilvl w:val="1"/>
          <w:numId w:val="8"/>
        </w:numPr>
        <w:tabs>
          <w:tab w:val="clear" w:pos="567"/>
          <w:tab w:val="left" w:pos="1134" w:leader="none"/>
          <w:tab w:val="right" w:pos="7938" w:leader="none"/>
        </w:tabs>
        <w:ind w:hanging="567" w:start="567" w:end="0"/>
        <w:rPr>
          <w:lang w:val="en-GB"/>
        </w:rPr>
      </w:pPr>
      <w:bookmarkStart w:id="94" w:name="__RefHeading___Toc157506550"/>
      <w:bookmarkEnd w:id="94"/>
      <w:r>
        <w:rPr>
          <w:lang w:val="en-GB"/>
        </w:rPr>
        <w:t>Infringement</w:t>
      </w:r>
    </w:p>
    <w:p>
      <w:pPr>
        <w:pStyle w:val="Normal"/>
        <w:rPr>
          <w:lang w:val="en-GB"/>
        </w:rPr>
      </w:pPr>
      <w:r>
        <w:rPr>
          <w:lang w:val="en-GB"/>
        </w:rPr>
        <w:t>If any item used by the Service Provider to provide the Services becomes, or in the Service Provider's reasonable opinion is likely to become, the subject of an infringement or misappropriation claim or proceeding, then the Service Provider will promptly notify GlobalPharma of such claim or proceeding and at the Service Provider's expense take the following actions in the following priority order: (i) secure the right to continue using the item; (ii) replace or modify the item to make it non-infringing, provided that any such replacement or modification will not degrade the performance or quality of the affected component of the Services in any material way; or (iii) if neither (i) nor (ii) is available to the Service Provider, remove the item from the Services and equitably adjust the Service Provider's charges to adequately reflect such removal. Service Provider shall have no liability for any claim of infringement arising as a result of, a modified use of any indemnified materials; the combination, operation or use of the indemnified materials with software, equipment or other materials not approved by the other Party and in the case of Service Provider any infringement resulting from any instruction, information, design or specification furnished by GlobalPharma.</w:t>
      </w:r>
    </w:p>
    <w:p>
      <w:pPr>
        <w:pStyle w:val="Heading1"/>
        <w:numPr>
          <w:ilvl w:val="0"/>
          <w:numId w:val="8"/>
        </w:numPr>
        <w:ind w:hanging="0" w:start="0"/>
        <w:rPr>
          <w:lang w:val="en-GB"/>
        </w:rPr>
      </w:pPr>
      <w:bookmarkStart w:id="95" w:name="__RefHeading___Toc157506551"/>
      <w:bookmarkEnd w:id="95"/>
      <w:r>
        <w:rPr>
          <w:lang w:val="en-GB"/>
        </w:rPr>
        <w:t>Remedies and Liability</w:t>
      </w:r>
    </w:p>
    <w:p>
      <w:pPr>
        <w:pStyle w:val="Heading2"/>
        <w:numPr>
          <w:ilvl w:val="1"/>
          <w:numId w:val="8"/>
        </w:numPr>
        <w:tabs>
          <w:tab w:val="clear" w:pos="567"/>
          <w:tab w:val="left" w:pos="1134" w:leader="none"/>
          <w:tab w:val="right" w:pos="7938" w:leader="none"/>
        </w:tabs>
        <w:ind w:hanging="851" w:start="851" w:end="0"/>
        <w:rPr>
          <w:caps/>
          <w:lang w:val="en-GB"/>
        </w:rPr>
      </w:pPr>
      <w:bookmarkStart w:id="96" w:name="__RefHeading___Toc157506552"/>
      <w:bookmarkEnd w:id="96"/>
      <w:r>
        <w:rPr>
          <w:lang w:val="en-GB"/>
        </w:rPr>
        <w:t>Remedies</w:t>
      </w:r>
    </w:p>
    <w:p>
      <w:pPr>
        <w:pStyle w:val="Normal"/>
        <w:rPr/>
      </w:pPr>
      <w:r>
        <w:rPr>
          <w:lang w:val="en-GB"/>
        </w:rPr>
        <w:t>If one Party fails to perform any of its obligations under The Agreements, the other Party is entitled to any remedies provided for under The Agreements or the applicable law.</w:t>
      </w:r>
    </w:p>
    <w:p>
      <w:pPr>
        <w:pStyle w:val="Normal"/>
        <w:rPr>
          <w:lang w:val="en-GB"/>
        </w:rPr>
      </w:pPr>
      <w:r>
        <w:rPr>
          <w:lang w:val="en-GB"/>
        </w:rPr>
        <w:t>It is especially entitled to specific performance, to claim damages according to clause 14.2 of the MSA and to terminate The Agreements as provided in Clause 16.1 of the MSA.</w:t>
      </w:r>
    </w:p>
    <w:p>
      <w:pPr>
        <w:pStyle w:val="Heading2"/>
        <w:numPr>
          <w:ilvl w:val="1"/>
          <w:numId w:val="8"/>
        </w:numPr>
        <w:tabs>
          <w:tab w:val="clear" w:pos="567"/>
          <w:tab w:val="left" w:pos="1134" w:leader="none"/>
          <w:tab w:val="right" w:pos="7938" w:leader="none"/>
        </w:tabs>
        <w:ind w:hanging="851" w:start="851" w:end="0"/>
        <w:rPr>
          <w:lang w:val="en-GB"/>
        </w:rPr>
      </w:pPr>
      <w:bookmarkStart w:id="97" w:name="__RefHeading___Toc157506553"/>
      <w:bookmarkEnd w:id="97"/>
      <w:r>
        <w:rPr>
          <w:lang w:val="en-GB"/>
        </w:rPr>
        <w:t>Liability</w:t>
      </w:r>
    </w:p>
    <w:p>
      <w:pPr>
        <w:pStyle w:val="Heading3"/>
        <w:numPr>
          <w:ilvl w:val="2"/>
          <w:numId w:val="8"/>
        </w:numPr>
        <w:tabs>
          <w:tab w:val="left" w:pos="567" w:leader="none"/>
          <w:tab w:val="left" w:pos="851" w:leader="none"/>
          <w:tab w:val="left" w:pos="1134" w:leader="none"/>
          <w:tab w:val="right" w:pos="7938" w:leader="none"/>
        </w:tabs>
        <w:ind w:hanging="851" w:start="851" w:end="0"/>
        <w:rPr>
          <w:lang w:val="en-GB"/>
        </w:rPr>
      </w:pPr>
      <w:bookmarkStart w:id="98" w:name="__RefHeading___Toc157506554"/>
      <w:bookmarkEnd w:id="98"/>
      <w:r>
        <w:rPr>
          <w:lang w:val="en-GB"/>
        </w:rPr>
        <w:t>General</w:t>
      </w:r>
    </w:p>
    <w:p>
      <w:pPr>
        <w:pStyle w:val="Normal"/>
        <w:rPr/>
      </w:pPr>
      <w:r>
        <w:rPr>
          <w:lang w:val="en-GB"/>
        </w:rPr>
        <w:t>Subject to the liability limitations set forth below, it is the intent of the Parties that each Party shall be liable to the other Party for any damages incurred by the non-breaching Party as a result of the breaching Party's failure to perform its obligations under The Agreements.</w:t>
      </w:r>
    </w:p>
    <w:p>
      <w:pPr>
        <w:pStyle w:val="Heading3"/>
        <w:numPr>
          <w:ilvl w:val="2"/>
          <w:numId w:val="8"/>
        </w:numPr>
        <w:tabs>
          <w:tab w:val="left" w:pos="567" w:leader="none"/>
          <w:tab w:val="left" w:pos="851" w:leader="none"/>
          <w:tab w:val="left" w:pos="1134" w:leader="none"/>
          <w:tab w:val="right" w:pos="7938" w:leader="none"/>
        </w:tabs>
        <w:ind w:hanging="851" w:start="851" w:end="0"/>
        <w:rPr>
          <w:lang w:val="en-GB"/>
        </w:rPr>
      </w:pPr>
      <w:bookmarkStart w:id="99" w:name="__RefHeading___Toc157506555"/>
      <w:bookmarkEnd w:id="99"/>
      <w:r>
        <w:rPr>
          <w:lang w:val="en-GB"/>
        </w:rPr>
        <w:t>Liability Limitations</w:t>
      </w:r>
    </w:p>
    <w:p>
      <w:pPr>
        <w:pStyle w:val="Normal"/>
        <w:rPr>
          <w:lang w:val="en-GB"/>
        </w:rPr>
      </w:pPr>
      <w:r>
        <w:rPr>
          <w:lang w:val="en-GB"/>
        </w:rPr>
        <w:t>1.</w:t>
        <w:tab/>
        <w:t>Except as noted below, neither Party shall be liable to the other for any special, indirect, incidental, consequential or exemplary damages, including, but not limited to, lost profits.</w:t>
      </w:r>
    </w:p>
    <w:p>
      <w:pPr>
        <w:pStyle w:val="Normal"/>
        <w:rPr/>
      </w:pPr>
      <w:r>
        <w:rPr>
          <w:lang w:val="en-GB"/>
        </w:rPr>
        <w:t>2.</w:t>
        <w:tab/>
        <w:t>Each Party's total liability to the other shall be limited, in the aggregate, to an amount equal to (i) the greater of the total charges payable to the Service Provider for the eighteen (18) months; (ii) or, if this event occurred in the first eighteen (18) months after the Commencement Date (clause 2.1), the greater of the total charges payable to the Service Provider pursuant to The Agreement for performance of the Services for the corresponding time prior to the month in which the most recent event giving rise to liability occurred to eighteen (18) months excluding pass through charges.</w:t>
      </w:r>
    </w:p>
    <w:p>
      <w:pPr>
        <w:pStyle w:val="Normal"/>
        <w:rPr/>
      </w:pPr>
      <w:r>
        <w:rPr>
          <w:lang w:val="en-GB"/>
        </w:rPr>
        <w:t>3.</w:t>
        <w:tab/>
        <w:t>These limitations of liability shall not apply with respect to (i) damages occasioned by the fraud, willful misconduct or gross negligence of a Party; (ii) wilful refusal to provide termination/expiration assistance services by the Service Provider; (iii) damages occasioned by the breach of a Party's confidentiality obligation under The Agreements; and (iv) damages to a Party occasioned by violation of law or regulation by the other Party but the Parties total liability to the other shall be limited, in the aggregate, to an amount equal to the total charges payable to the Service Provider pursuant to The Agreements for performance of the services for twenty-four (24) months prior to the month in which the most recent event giving rise to liability occurred.</w:t>
      </w:r>
    </w:p>
    <w:p>
      <w:pPr>
        <w:pStyle w:val="Heading3"/>
        <w:numPr>
          <w:ilvl w:val="2"/>
          <w:numId w:val="8"/>
        </w:numPr>
        <w:tabs>
          <w:tab w:val="clear" w:pos="567"/>
          <w:tab w:val="left" w:pos="851" w:leader="none"/>
          <w:tab w:val="left" w:pos="1134" w:leader="none"/>
          <w:tab w:val="right" w:pos="7938" w:leader="none"/>
        </w:tabs>
        <w:ind w:hanging="851" w:start="851" w:end="0"/>
        <w:rPr>
          <w:lang w:val="en-GB"/>
        </w:rPr>
      </w:pPr>
      <w:bookmarkStart w:id="100" w:name="__RefHeading___Toc157506556"/>
      <w:bookmarkEnd w:id="100"/>
      <w:r>
        <w:rPr>
          <w:lang w:val="en-GB"/>
        </w:rPr>
        <w:t>Force Majeure</w:t>
      </w:r>
    </w:p>
    <w:p>
      <w:pPr>
        <w:pStyle w:val="Normal"/>
        <w:rPr/>
      </w:pPr>
      <w:r>
        <w:rPr>
          <w:lang w:val="en-GB"/>
        </w:rPr>
        <w:t>1.</w:t>
        <w:tab/>
        <w:t>No Party shall be liable for any default or delay in the performance of its obligations under The Agreements (i) if and to the extent the default or delay is caused, directly or indirectly, by fire, flood, elements of nature, acts of God, acts of war, terrorism or civil unrest or any other cause beyond the reasonable control of the Party and (ii) provided the non-performing Party is without fault and the default or delay could not have been prevented by reasonable precautions. In such event, the non-performing Party is excused from further performance for as long as such circumstances prevail and the Party continues to use its best efforts to recommence performance. Any Party so delayed shall promptly notify the other and describe the circumstances causing the delay. If an event substantially prevents or delays performance of the services necessary for the performance of critical GlobalPharma functions, applications, and/or processes for more than five (5) days, Service Provider shall notify GlobalPharma at the earliest possible instance of its evaluation of the situation. GlobalPharma, at its sole discretion, may procure the Services from an alternate source, and the Service Provider shall be liable for payment for such Services. If the Service Provider is unable to perform the Services within thirty (30) calendar days, GlobalPharma, at its sole discretion, may (i) terminate any portion of The Agreements affected by the non-performance and the charges shall be equitably adjusted; or (ii) terminate the relevant Services or The Agreements without liability to GlobalPharma as of a date specified by GlobalPharma in a written notice to the Service Provider. The Service Provider shall not have the right to any additional payments from GlobalPharma as a result of any force majeure occurrence.</w:t>
      </w:r>
    </w:p>
    <w:p>
      <w:pPr>
        <w:pStyle w:val="Normal"/>
        <w:rPr/>
      </w:pPr>
      <w:r>
        <w:rPr>
          <w:lang w:val="en-GB"/>
        </w:rPr>
        <w:t>2.</w:t>
        <w:tab/>
        <w:t>The failures of independent Third Party providers of services used by the Service Provider in performing the Services will not be considered force majeure events to the extent that the Service Provider has committed that its delivery of the Services is designed to accommodate such failures.</w:t>
      </w:r>
    </w:p>
    <w:p>
      <w:pPr>
        <w:pStyle w:val="Normal"/>
        <w:rPr/>
      </w:pPr>
      <w:r>
        <w:rPr>
          <w:lang w:val="en-GB"/>
        </w:rPr>
        <w:t>3.</w:t>
        <w:tab/>
        <w:t>Strikes or labor shortages (where such labor actions are taken against Service Provider or their affiliates or subcontractors directly), a failure in performance of an affiliate of a Party, or any third-party vendor, agent, contractor or Service Provider of such Party, unless such failure is due to causes beyond the reasonable control of such affiliate, vendor, agent, contractor or Service Provider will not be considered force majeure events.</w:t>
      </w:r>
    </w:p>
    <w:p>
      <w:pPr>
        <w:pStyle w:val="Normal"/>
        <w:rPr>
          <w:lang w:val="en-GB"/>
        </w:rPr>
      </w:pPr>
      <w:r>
        <w:rPr>
          <w:lang w:val="en-GB"/>
        </w:rPr>
        <w:t>4.</w:t>
        <w:tab/>
        <w:t>Force majeure events shall not relieve the Service Provider of its obligation to use its best efforts to execute the Disaster Recovery Plan for GlobalPharma, except to the extent that execution of the Disaster Recovery Plan is itself prevented by the force majeure event.</w:t>
      </w:r>
    </w:p>
    <w:p>
      <w:pPr>
        <w:pStyle w:val="Normal"/>
        <w:rPr>
          <w:lang w:val="en-GB"/>
        </w:rPr>
      </w:pPr>
      <w:r>
        <w:rPr>
          <w:lang w:val="en-GB"/>
        </w:rPr>
        <w:t>5.</w:t>
        <w:tab/>
        <w:t>A non-performing Party will be obligated to use commercially reasonable efforts to continue to perform or to mitigate the impact of its non-performance notwithstanding the force majeure event.</w:t>
      </w:r>
    </w:p>
    <w:p>
      <w:pPr>
        <w:pStyle w:val="Heading1"/>
        <w:numPr>
          <w:ilvl w:val="0"/>
          <w:numId w:val="8"/>
        </w:numPr>
        <w:ind w:hanging="567" w:start="567" w:end="0"/>
        <w:rPr>
          <w:lang w:val="en-GB"/>
        </w:rPr>
      </w:pPr>
      <w:bookmarkStart w:id="101" w:name="__RefHeading___Toc157506557"/>
      <w:bookmarkEnd w:id="101"/>
      <w:r>
        <w:rPr>
          <w:lang w:val="en-GB"/>
        </w:rPr>
        <w:t>Dispute Resolution</w:t>
      </w:r>
    </w:p>
    <w:p>
      <w:pPr>
        <w:pStyle w:val="Heading2"/>
        <w:numPr>
          <w:ilvl w:val="1"/>
          <w:numId w:val="8"/>
        </w:numPr>
        <w:tabs>
          <w:tab w:val="clear" w:pos="567"/>
          <w:tab w:val="clear" w:pos="1134"/>
          <w:tab w:val="left" w:pos="851" w:leader="none"/>
          <w:tab w:val="right" w:pos="7938" w:leader="none"/>
        </w:tabs>
        <w:ind w:hanging="567" w:start="567" w:end="0"/>
        <w:rPr>
          <w:lang w:val="en-GB"/>
        </w:rPr>
      </w:pPr>
      <w:bookmarkStart w:id="102" w:name="__RefHeading___Toc157506558"/>
      <w:bookmarkEnd w:id="102"/>
      <w:r>
        <w:rPr>
          <w:lang w:val="en-GB"/>
        </w:rPr>
        <w:t>Formal Dispute Resolution</w:t>
      </w:r>
    </w:p>
    <w:p>
      <w:pPr>
        <w:pStyle w:val="Normal"/>
        <w:rPr>
          <w:lang w:val="en-GB"/>
        </w:rPr>
      </w:pPr>
      <w:r>
        <w:rPr>
          <w:lang w:val="en-GB"/>
        </w:rPr>
        <w:t>1.</w:t>
        <w:tab/>
        <w:t xml:space="preserve">In case of any dispute the Parties will apply informal dispute resolution involving escalation within each Party's management organizations, as described in </w:t>
      </w:r>
      <w:r>
        <w:rPr>
          <w:b/>
          <w:bCs/>
          <w:lang w:val="en-GB"/>
        </w:rPr>
        <w:t>Exhibit 6</w:t>
      </w:r>
      <w:r>
        <w:rPr>
          <w:lang w:val="en-GB"/>
        </w:rPr>
        <w:t xml:space="preserve"> (Governance Model). If the Parties are unable to resolve disputes through informal means, the formal dispute resolution process as described in Clause 15.3(2) below may be pursued by either Party:</w:t>
      </w:r>
    </w:p>
    <w:p>
      <w:pPr>
        <w:pStyle w:val="Normal"/>
        <w:rPr>
          <w:lang w:val="en-GB"/>
        </w:rPr>
      </w:pPr>
      <w:r>
        <w:rPr>
          <w:lang w:val="en-GB"/>
        </w:rPr>
        <w:t>2.</w:t>
        <w:tab/>
        <w:t>Even if any problem or other dispute arises between the Parties and regardless of whether or not it requires at any time the use of the dispute resolution procedures described above, in no event nor for any reason shall the Service Provider interrupt the provision of Services to GlobalPharma or any obligations related to termination, disable any hardware or software used to provide Services, or perform any other action that prevents, impedes, or reduces in any way the provision of Services or GlobalPharma's ability to conduct its activities, unless: (i) authority to do so is granted by GlobalPharma or conferred by a court of competent jurisdiction; (ii) dispute concerns the non-payment of undisputed charges or (iii) the Term of The Agreements has been terminated or has expired and a termination satisfactory to GlobalPharma has been completed.</w:t>
      </w:r>
    </w:p>
    <w:p>
      <w:pPr>
        <w:pStyle w:val="Heading2"/>
        <w:numPr>
          <w:ilvl w:val="1"/>
          <w:numId w:val="8"/>
        </w:numPr>
        <w:tabs>
          <w:tab w:val="clear" w:pos="567"/>
          <w:tab w:val="left" w:pos="1134" w:leader="none"/>
          <w:tab w:val="right" w:pos="7938" w:leader="none"/>
        </w:tabs>
        <w:ind w:hanging="567" w:start="567" w:end="0"/>
        <w:rPr>
          <w:lang w:val="en-GB"/>
        </w:rPr>
      </w:pPr>
      <w:bookmarkStart w:id="103" w:name="__RefHeading___Toc157506559"/>
      <w:bookmarkEnd w:id="103"/>
      <w:r>
        <w:rPr>
          <w:lang w:val="en-GB"/>
        </w:rPr>
        <w:t>Injunctive Relief</w:t>
      </w:r>
    </w:p>
    <w:p>
      <w:pPr>
        <w:pStyle w:val="Normal"/>
        <w:rPr>
          <w:lang w:val="en-GB"/>
        </w:rPr>
      </w:pPr>
      <w:r>
        <w:rPr>
          <w:lang w:val="en-GB"/>
        </w:rPr>
        <w:t>A Party may seek immediate injunctive relief if it makes a good faith determination that a breach is such that the damages to the Party resulting from the breach will be so immediate, so large or severe and so incapable of adequate redress after the fact that a temporary restraining order or other immediate injunctive relief is the only adequate remedy. A Party filing a pleading seeking immediate injunctive relief, which is not awarded in substantial part, shall pay all reasonable costs and attorneys' fees of the other Party.</w:t>
      </w:r>
    </w:p>
    <w:p>
      <w:pPr>
        <w:pStyle w:val="Heading2"/>
        <w:numPr>
          <w:ilvl w:val="1"/>
          <w:numId w:val="8"/>
        </w:numPr>
        <w:tabs>
          <w:tab w:val="clear" w:pos="567"/>
          <w:tab w:val="left" w:pos="1134" w:leader="none"/>
          <w:tab w:val="right" w:pos="7938" w:leader="none"/>
        </w:tabs>
        <w:ind w:hanging="567" w:start="567" w:end="0"/>
        <w:rPr>
          <w:lang w:val="en-GB"/>
        </w:rPr>
      </w:pPr>
      <w:bookmarkStart w:id="104" w:name="__RefHeading___Toc157506560"/>
      <w:bookmarkEnd w:id="104"/>
      <w:r>
        <w:rPr>
          <w:lang w:val="en-GB"/>
        </w:rPr>
        <w:t>Governing Law and Arbitration</w:t>
      </w:r>
    </w:p>
    <w:p>
      <w:pPr>
        <w:pStyle w:val="Normal"/>
        <w:rPr>
          <w:lang w:val="en-GB"/>
        </w:rPr>
      </w:pPr>
      <w:r>
        <w:rPr>
          <w:lang w:val="en-GB"/>
        </w:rPr>
        <w:t>1.</w:t>
        <w:tab/>
        <w:t>The Agreements and performance under it will be governed by and construed in accordance with the substantive laws of Switzerland without its conflict of laws provisions. For clarification, the U.N. Convention on the International Sale of Goods shall not apply.</w:t>
      </w:r>
    </w:p>
    <w:p>
      <w:pPr>
        <w:pStyle w:val="Normal"/>
        <w:rPr>
          <w:lang w:val="en-GB"/>
        </w:rPr>
      </w:pPr>
      <w:r>
        <w:rPr>
          <w:lang w:val="en-GB"/>
        </w:rPr>
        <w:t>2.</w:t>
        <w:tab/>
        <w:t>Any dispute, controversy or claim arising out of or in relation to The Agreements, including the validity, invalidity, breach or termination thereof, shall be resolved by arbitration in accordance with the Rules of Arbitration of the International Chamber of Commerce, Paris, in force on the date when the Notice of Arbitration is submitted in accordance with these Rules. If the Parties do not agree upon one sole arbitrator the number of arbitrators shall be three. The seat of the arbitration shall be Zurich. The arbitral proceedings shall be conducted in English.</w:t>
      </w:r>
    </w:p>
    <w:p>
      <w:pPr>
        <w:pStyle w:val="Heading1"/>
        <w:numPr>
          <w:ilvl w:val="0"/>
          <w:numId w:val="8"/>
        </w:numPr>
        <w:ind w:hanging="567" w:start="567" w:end="0"/>
        <w:rPr>
          <w:lang w:val="en-GB"/>
        </w:rPr>
      </w:pPr>
      <w:bookmarkStart w:id="105" w:name="__RefHeading___Toc157506561"/>
      <w:bookmarkEnd w:id="105"/>
      <w:r>
        <w:rPr>
          <w:lang w:val="en-GB"/>
        </w:rPr>
        <w:t>termination</w:t>
      </w:r>
    </w:p>
    <w:p>
      <w:pPr>
        <w:pStyle w:val="Heading2"/>
        <w:numPr>
          <w:ilvl w:val="1"/>
          <w:numId w:val="8"/>
        </w:numPr>
        <w:tabs>
          <w:tab w:val="clear" w:pos="567"/>
          <w:tab w:val="left" w:pos="1134" w:leader="none"/>
          <w:tab w:val="right" w:pos="7938" w:leader="none"/>
        </w:tabs>
        <w:ind w:hanging="567" w:start="567" w:end="0"/>
        <w:rPr>
          <w:lang w:val="en-GB"/>
        </w:rPr>
      </w:pPr>
      <w:bookmarkStart w:id="106" w:name="__RefHeading___Toc157506562"/>
      <w:bookmarkEnd w:id="106"/>
      <w:r>
        <w:rPr>
          <w:lang w:val="en-GB"/>
        </w:rPr>
        <w:t>Termination for Cause</w:t>
      </w:r>
    </w:p>
    <w:p>
      <w:pPr>
        <w:pStyle w:val="Normal"/>
        <w:rPr/>
      </w:pPr>
      <w:r>
        <w:rPr>
          <w:lang w:val="en-GB"/>
        </w:rPr>
        <w:t>1.</w:t>
        <w:tab/>
        <w:t>GlobalPharma may terminate The Agreements, in whole or in part, if the Service Provider (i) breaches in any material respect any of its duties or obligations under The Agreements and fails to cure such breach within thirty (30) days after notice; (ii) materially breaches any duty or obligation under The Agreements which is not capable of being cured within thirty (30) days; or (iii) commits numerous breaches of its duties or obligations under The Agreements which in the aggregate are material.</w:t>
      </w:r>
    </w:p>
    <w:p>
      <w:pPr>
        <w:pStyle w:val="Normal"/>
        <w:rPr/>
      </w:pPr>
      <w:r>
        <w:rPr>
          <w:lang w:val="en-GB"/>
        </w:rPr>
        <w:t>2.</w:t>
        <w:tab/>
        <w:t>If GlobalPharma chooses to terminate The Agreements in part, the charges payable under The Agreements will be equitably adjusted to reflect those services that are not terminated. GlobalPharma shall not be liable for any termination fees associated with a Termination for Cause, other than payment for Services delivered through the effective date of the termination.</w:t>
      </w:r>
    </w:p>
    <w:p>
      <w:pPr>
        <w:pStyle w:val="Normal"/>
        <w:rPr/>
      </w:pPr>
      <w:r>
        <w:rPr>
          <w:lang w:val="en-GB"/>
        </w:rPr>
        <w:t>3.</w:t>
        <w:tab/>
        <w:t>The Service Provider may terminate The Agreements if and only if GlobalPharma breaches in a material respect its duty under The Agreements and fails to cure such breach within thirty (30) days after notice.</w:t>
      </w:r>
    </w:p>
    <w:p>
      <w:pPr>
        <w:pStyle w:val="Normal"/>
        <w:rPr/>
      </w:pPr>
      <w:r>
        <w:rPr>
          <w:lang w:val="en-GB"/>
        </w:rPr>
        <w:t>4.</w:t>
        <w:tab/>
        <w:t>Subject to the preceding paragraph, no other failure by GlobalPharma to perform any of its responsibilities set forth in The Agreements shall constitute a material breach of The Agreements or be deemed to be grounds for termination by the Service Provider. However, the Service Provider's failure to perform any of its obligations under The Agreements shall be excused if and to the extent: (i) such failure results from GlobalPharma's failure to perform its responsibilities; (ii) the Service Provider provides GlobalPharma with reasonable notice of such non-performance; and (iii) the Service Provider uses commercially reasonable efforts to perform notwithstanding GlobalPharma's failure to perform. GlobalPharma will reimburse the Service Provider for any additional Out-of-Pocket Expenses incurred in making such efforts.</w:t>
      </w:r>
    </w:p>
    <w:p>
      <w:pPr>
        <w:pStyle w:val="Heading2"/>
        <w:numPr>
          <w:ilvl w:val="1"/>
          <w:numId w:val="8"/>
        </w:numPr>
        <w:tabs>
          <w:tab w:val="clear" w:pos="567"/>
          <w:tab w:val="left" w:pos="1134" w:leader="none"/>
          <w:tab w:val="right" w:pos="7938" w:leader="none"/>
        </w:tabs>
        <w:ind w:hanging="567" w:start="567" w:end="0"/>
        <w:rPr>
          <w:lang w:val="en-GB"/>
        </w:rPr>
      </w:pPr>
      <w:bookmarkStart w:id="107" w:name="__RefHeading___Toc157506563"/>
      <w:bookmarkEnd w:id="107"/>
      <w:r>
        <w:rPr>
          <w:lang w:val="en-GB"/>
        </w:rPr>
        <w:t>Termination for Regulatory Change</w:t>
      </w:r>
    </w:p>
    <w:p>
      <w:pPr>
        <w:pStyle w:val="Normal"/>
        <w:rPr/>
      </w:pPr>
      <w:r>
        <w:rPr>
          <w:lang w:val="en-GB"/>
        </w:rPr>
        <w:t>1.</w:t>
        <w:tab/>
        <w:t>If there is a regulatory change which makes it contrary to applicable law for any of the countries as detailed in the LSA's to continue using the supplier group to provide:</w:t>
      </w:r>
    </w:p>
    <w:p>
      <w:pPr>
        <w:pStyle w:val="Normal"/>
        <w:rPr/>
      </w:pPr>
      <w:r>
        <w:rPr>
          <w:lang w:val="en-GB"/>
        </w:rPr>
        <w:tab/>
        <w:t>a) all of the Services, then GlobalPharma may terminate The Agreements in whole; or</w:t>
      </w:r>
    </w:p>
    <w:p>
      <w:pPr>
        <w:pStyle w:val="Normal"/>
        <w:rPr/>
      </w:pPr>
      <w:r>
        <w:rPr>
          <w:lang w:val="en-GB"/>
        </w:rPr>
        <w:tab/>
        <w:t xml:space="preserve">b) a particular Service, then GlobalPharma may terminate The Agreements insofar as it relates to that Service; </w:t>
      </w:r>
    </w:p>
    <w:p>
      <w:pPr>
        <w:pStyle w:val="Normal"/>
        <w:rPr/>
      </w:pPr>
      <w:r>
        <w:rPr>
          <w:lang w:val="en-GB"/>
        </w:rPr>
        <w:t>2.</w:t>
        <w:tab/>
        <w:t>in each case, with immediate effect or with effect from a later date specified by GlobalPharma, by notifying the Supplier. The provisions of Attachment 4-A (Service Provider Pricing Forms) regarding Termination Compensation shall apply, where Termination under this clause 16.7.1 shall be treated as a Termination for Convenience with the exception that GlobalPharma will only pay 50% of the corresponding Termination Compensation.</w:t>
      </w:r>
      <w:r>
        <w:rPr>
          <w:b/>
          <w:bCs/>
          <w:lang w:val="en-GB"/>
        </w:rPr>
      </w:r>
      <w:r>
        <w:rPr>
          <w:lang w:val="en-GB"/>
        </w:rPr>
      </w:r>
    </w:p>
    <w:p>
      <w:pPr>
        <w:pStyle w:val="Normal"/>
        <w:rPr>
          <w:lang w:val="en-GB"/>
        </w:rPr>
      </w:pPr>
      <w:r>
        <w:rPr>
          <w:lang w:val="en-GB"/>
        </w:rPr>
        <w:t>3.</w:t>
        <w:tab/>
        <w:t>If there is a Regulatory change which results in substantial fee increase of adversely affects the Service Provider's performance of the Services, then GlobalPharma may terminate the affected portion of the Services with immediate effect or with effect from a later date specified by GlobalPharma, by notifying the Service Provider. The provisions of Attachment 4-A (Service Provider Pricing Forms) regarding Termination Compensation shall apply, where Termination under this clause 16.7.2 shall be treated as a Termination for Convenience with the exception that GlobalPharma will only pay 50% of the corresponding Termination Compensation.</w:t>
      </w:r>
      <w:r>
        <w:rPr>
          <w:b/>
          <w:bCs/>
          <w:lang w:val="en-GB"/>
        </w:rPr>
      </w:r>
      <w:r>
        <w:rPr>
          <w:lang w:val="en-GB"/>
        </w:rPr>
      </w:r>
    </w:p>
    <w:p>
      <w:pPr>
        <w:pStyle w:val="Heading2"/>
        <w:numPr>
          <w:ilvl w:val="1"/>
          <w:numId w:val="8"/>
        </w:numPr>
        <w:tabs>
          <w:tab w:val="clear" w:pos="567"/>
          <w:tab w:val="left" w:pos="1134" w:leader="none"/>
          <w:tab w:val="right" w:pos="7938" w:leader="none"/>
        </w:tabs>
        <w:ind w:hanging="567" w:start="567" w:end="0"/>
        <w:rPr>
          <w:lang w:val="en-GB"/>
        </w:rPr>
      </w:pPr>
      <w:bookmarkStart w:id="108" w:name="__RefHeading___Toc157506564"/>
      <w:bookmarkEnd w:id="108"/>
      <w:r>
        <w:rPr>
          <w:lang w:val="en-GB"/>
        </w:rPr>
        <w:t>Termination for Convenience</w:t>
      </w:r>
    </w:p>
    <w:p>
      <w:pPr>
        <w:pStyle w:val="Normal"/>
        <w:rPr>
          <w:lang w:val="en-GB"/>
        </w:rPr>
      </w:pPr>
      <w:r>
        <w:rPr>
          <w:lang w:val="en-GB"/>
        </w:rPr>
        <w:t>GlobalPharma may terminate The Agreements for convenience in whole or in part upon six (6) months written notice. The Service Provider will be entitled to payment only for un-recovered capital expenditures and reasonable transition costs, and not any portion of the Service Provider's marketing expenses or unearned profit. The termination charges for a termination in whole or in part, will be incorporated into the Agreement. Attachment 4-A (Service Provider Pricing Forms) describes the specific payments in the event of termination for convenience and provides a detailed breakdown of the costs included in those payments as part of its charges under Termination for Change of Control of Service Provider.</w:t>
      </w:r>
      <w:r>
        <w:rPr>
          <w:b/>
          <w:bCs/>
          <w:lang w:val="en-GB"/>
        </w:rPr>
      </w:r>
      <w:r>
        <w:rPr>
          <w:lang w:val="en-GB"/>
        </w:rPr>
      </w:r>
    </w:p>
    <w:p>
      <w:pPr>
        <w:pStyle w:val="Heading2"/>
        <w:numPr>
          <w:ilvl w:val="1"/>
          <w:numId w:val="8"/>
        </w:numPr>
        <w:tabs>
          <w:tab w:val="clear" w:pos="567"/>
          <w:tab w:val="left" w:pos="1134" w:leader="none"/>
          <w:tab w:val="right" w:pos="7938" w:leader="none"/>
        </w:tabs>
        <w:ind w:hanging="567" w:start="567" w:end="0"/>
        <w:rPr>
          <w:lang w:val="en-GB"/>
        </w:rPr>
      </w:pPr>
      <w:bookmarkStart w:id="109" w:name="__RefHeading___Toc157506565"/>
      <w:r>
        <w:rPr>
          <w:lang w:val="en-GB"/>
        </w:rPr>
        <w:t>Termination for Change of Control of Service Provider</w:t>
      </w:r>
      <w:bookmarkEnd w:id="109"/>
      <w:r>
        <w:rPr>
          <w:lang w:val="en-GB"/>
        </w:rPr>
        <w:t xml:space="preserve"> </w:t>
      </w:r>
    </w:p>
    <w:p>
      <w:pPr>
        <w:pStyle w:val="Normal"/>
        <w:rPr>
          <w:lang w:val="en-GB"/>
        </w:rPr>
      </w:pPr>
      <w:r>
        <w:rPr>
          <w:lang w:val="en-GB"/>
        </w:rPr>
        <w:t>1.</w:t>
        <w:tab/>
        <w:t xml:space="preserve">In the event of a Change of Control of the Service Provider, GlobalPharma may terminate The Agreements in its sole discretion if GlobalPharma deems the new ownership (i) a direct competitor of GlobalPharma, </w:t>
      </w:r>
    </w:p>
    <w:p>
      <w:pPr>
        <w:pStyle w:val="Normal"/>
        <w:rPr>
          <w:lang w:val="en-GB"/>
        </w:rPr>
      </w:pPr>
      <w:r>
        <w:rPr>
          <w:lang w:val="en-GB"/>
        </w:rPr>
        <w:t>2.</w:t>
        <w:tab/>
        <w:t xml:space="preserve">The termination charges for a termination for Change of Control of the Service Provider are listed in </w:t>
      </w:r>
      <w:r>
        <w:rPr>
          <w:b/>
          <w:bCs/>
          <w:lang w:val="en-GB"/>
        </w:rPr>
        <w:t>Attachment 4-A</w:t>
      </w:r>
      <w:r>
        <w:rPr>
          <w:lang w:val="en-GB"/>
        </w:rPr>
        <w:t xml:space="preserve"> (Service Provider Pricing Forms)</w:t>
      </w:r>
      <w:r>
        <w:rPr>
          <w:bCs/>
          <w:lang w:val="en-GB"/>
        </w:rPr>
        <w:t>.</w:t>
      </w:r>
    </w:p>
    <w:p>
      <w:pPr>
        <w:pStyle w:val="Normal"/>
        <w:rPr>
          <w:lang w:val="en-GB"/>
        </w:rPr>
      </w:pPr>
      <w:r>
        <w:rPr>
          <w:lang w:val="en-GB"/>
        </w:rPr>
        <w:t>3.</w:t>
        <w:tab/>
        <w:t>GlobalPharma shall not be liable for any termination fees associated with a Termination for Change of Control of the Service Provider in the event that the Service Provider is acquired by or is merged into a Prohibited Competitor of GlobalPharma.</w:t>
      </w:r>
    </w:p>
    <w:p>
      <w:pPr>
        <w:pStyle w:val="Heading2"/>
        <w:numPr>
          <w:ilvl w:val="1"/>
          <w:numId w:val="8"/>
        </w:numPr>
        <w:tabs>
          <w:tab w:val="clear" w:pos="567"/>
          <w:tab w:val="left" w:pos="1134" w:leader="none"/>
          <w:tab w:val="right" w:pos="7938" w:leader="none"/>
        </w:tabs>
        <w:ind w:hanging="567" w:start="567" w:end="0"/>
        <w:rPr>
          <w:lang w:val="en-GB"/>
        </w:rPr>
      </w:pPr>
      <w:bookmarkStart w:id="110" w:name="__RefHeading___Toc157506566"/>
      <w:r>
        <w:rPr>
          <w:lang w:val="en-GB"/>
        </w:rPr>
        <w:t xml:space="preserve">Termination for Change of Control of GlobalPharma </w:t>
      </w:r>
      <w:bookmarkEnd w:id="110"/>
      <w:r>
        <w:rPr>
          <w:lang w:val="en-GB"/>
        </w:rPr>
      </w:r>
    </w:p>
    <w:p>
      <w:pPr>
        <w:pStyle w:val="Normal"/>
        <w:rPr/>
      </w:pPr>
      <w:r>
        <w:rPr>
          <w:lang w:val="en-GB"/>
        </w:rPr>
        <w:t>1.</w:t>
        <w:tab/>
        <w:t xml:space="preserve">In the event of a Change of Control of GlobalPharma, GlobalPharma may terminate The Agreements in its sole discretion if GlobalPharma deems that The Agreements would inhibit the planned change in Control of GlobalPharma.  </w:t>
      </w:r>
    </w:p>
    <w:p>
      <w:pPr>
        <w:pStyle w:val="Normal"/>
        <w:rPr>
          <w:lang w:val="en-GB"/>
        </w:rPr>
      </w:pPr>
      <w:r>
        <w:rPr>
          <w:lang w:val="en-GB"/>
        </w:rPr>
        <w:t>2.</w:t>
        <w:tab/>
        <w:t xml:space="preserve">The termination charges for a termination for Change of Control of the Service Provider are shown in </w:t>
      </w:r>
      <w:r>
        <w:rPr>
          <w:b/>
          <w:bCs/>
          <w:lang w:val="en-GB"/>
        </w:rPr>
        <w:t>Attachment 4-A</w:t>
      </w:r>
      <w:r>
        <w:rPr>
          <w:lang w:val="en-GB"/>
        </w:rPr>
        <w:t xml:space="preserve"> (Service Provider Pricing Forms.</w:t>
      </w:r>
    </w:p>
    <w:p>
      <w:pPr>
        <w:pStyle w:val="Heading2"/>
        <w:numPr>
          <w:ilvl w:val="1"/>
          <w:numId w:val="8"/>
        </w:numPr>
        <w:tabs>
          <w:tab w:val="clear" w:pos="567"/>
          <w:tab w:val="left" w:pos="1134" w:leader="none"/>
          <w:tab w:val="right" w:pos="7938" w:leader="none"/>
        </w:tabs>
        <w:ind w:hanging="1134" w:start="1134" w:end="0"/>
        <w:rPr>
          <w:lang w:val="en-GB"/>
        </w:rPr>
      </w:pPr>
      <w:bookmarkStart w:id="111" w:name="__RefHeading___Toc157506567"/>
      <w:bookmarkEnd w:id="111"/>
      <w:r>
        <w:rPr>
          <w:lang w:val="en-GB"/>
        </w:rPr>
        <w:t>Termination of Service Provider for the Existence of a Benchmarking Condition</w:t>
      </w:r>
    </w:p>
    <w:p>
      <w:pPr>
        <w:pStyle w:val="Normal"/>
        <w:rPr>
          <w:lang w:val="en-GB"/>
        </w:rPr>
      </w:pPr>
      <w:r>
        <w:rPr>
          <w:lang w:val="en-GB"/>
        </w:rPr>
        <w:t>1.</w:t>
        <w:tab/>
        <w:t>If a Benchmarking Condition exists and Service Provider does not agree with the price adjustment to be made in accordance with Clause 8.10 of the MSA, Service Provider may terminate this Agreement, in whole but not in part, upon at least [9] [(nine)] months prior written notice to GlobalPharma and provision of the Termination Assistance Services set forth in Clause 18.9 of the MSA.</w:t>
      </w:r>
      <w:r>
        <w:rPr>
          <w:u w:val="single"/>
          <w:lang w:val="en-GB"/>
        </w:rPr>
      </w:r>
      <w:r>
        <w:rPr>
          <w:lang w:val="en-GB"/>
        </w:rPr>
      </w:r>
      <w:r>
        <w:rPr>
          <w:u w:val="single"/>
          <w:lang w:val="en-GB"/>
        </w:rPr>
      </w:r>
      <w:r>
        <w:rPr>
          <w:lang w:val="en-GB"/>
        </w:rPr>
      </w:r>
    </w:p>
    <w:p>
      <w:pPr>
        <w:pStyle w:val="Normal"/>
        <w:rPr>
          <w:u w:val="single"/>
          <w:lang w:val="en-GB"/>
        </w:rPr>
      </w:pPr>
      <w:r>
        <w:rPr>
          <w:lang w:val="en-GB"/>
        </w:rPr>
        <w:t>2.</w:t>
        <w:tab/>
        <w:t>The Termination Assistance Services to be provided by Service Provider in accordance with Clause 16.1 (1) will be capped at the equivalent of 1400 man-days of efforts.</w:t>
      </w:r>
    </w:p>
    <w:p>
      <w:pPr>
        <w:pStyle w:val="Heading2"/>
        <w:numPr>
          <w:ilvl w:val="1"/>
          <w:numId w:val="8"/>
        </w:numPr>
        <w:tabs>
          <w:tab w:val="clear" w:pos="567"/>
          <w:tab w:val="left" w:pos="1134" w:leader="none"/>
          <w:tab w:val="right" w:pos="7938" w:leader="none"/>
        </w:tabs>
        <w:ind w:hanging="567" w:start="567" w:end="0"/>
        <w:rPr>
          <w:lang w:val="en-GB"/>
        </w:rPr>
      </w:pPr>
      <w:bookmarkStart w:id="112" w:name="__RefHeading___Toc157506568"/>
      <w:bookmarkEnd w:id="112"/>
      <w:r>
        <w:rPr>
          <w:lang w:val="en-GB"/>
        </w:rPr>
        <w:t>Termination Due to Service Provider's Financial Status</w:t>
      </w:r>
    </w:p>
    <w:p>
      <w:pPr>
        <w:pStyle w:val="Normal"/>
        <w:rPr/>
      </w:pPr>
      <w:r>
        <w:rPr>
          <w:lang w:val="en-GB"/>
        </w:rPr>
        <w:t>1.</w:t>
        <w:tab/>
        <w:t>If GlobalPharma has reasonable cause to doubt the Service Provider's financial stability as indicated by either</w:t>
      </w:r>
    </w:p>
    <w:p>
      <w:pPr>
        <w:pStyle w:val="Normal"/>
        <w:rPr/>
      </w:pPr>
      <w:r>
        <w:rPr>
          <w:lang w:val="en-GB"/>
        </w:rPr>
        <w:t>(i)</w:t>
        <w:tab/>
        <w:t>a rating of ServicePro by Moody's Investors Service below Baa3 (medium-grade, moderate credit risk) or by Standard &amp; Poors below BBB- (triple B minus = medium-class, satisfactory) and/or</w:t>
      </w:r>
    </w:p>
    <w:p>
      <w:pPr>
        <w:pStyle w:val="Normal"/>
        <w:rPr>
          <w:lang w:val="en-GB"/>
        </w:rPr>
      </w:pPr>
      <w:r>
        <w:rPr>
          <w:lang w:val="en-GB"/>
        </w:rPr>
        <w:t xml:space="preserve">(ii) </w:t>
        <w:tab/>
        <w:t>an audit opinion by an independent audit firm disclosing any circumstances of financial instability (major qualifications, e.g. "going concern", negative Group Net Results for 2 or more consecutive years)</w:t>
      </w:r>
    </w:p>
    <w:p>
      <w:pPr>
        <w:pStyle w:val="Normal"/>
        <w:rPr>
          <w:lang w:val="en-GB"/>
        </w:rPr>
      </w:pPr>
      <w:r>
        <w:rPr>
          <w:lang w:val="en-GB"/>
        </w:rPr>
        <w:t>2.</w:t>
        <w:tab/>
        <w:t xml:space="preserve"> Service Provider will charge 75% of the charges for Termination for Change in Control as shown in </w:t>
      </w:r>
      <w:r>
        <w:rPr>
          <w:b/>
          <w:bCs/>
          <w:lang w:val="en-GB"/>
        </w:rPr>
        <w:t>Attachment 4-A</w:t>
      </w:r>
      <w:r>
        <w:rPr>
          <w:lang w:val="en-GB"/>
        </w:rPr>
        <w:t xml:space="preserve"> (Service Provider Pricing Forms).for a Termination for Change in Financial Status.</w:t>
      </w:r>
    </w:p>
    <w:p>
      <w:pPr>
        <w:pStyle w:val="Heading2"/>
        <w:numPr>
          <w:ilvl w:val="1"/>
          <w:numId w:val="8"/>
        </w:numPr>
        <w:tabs>
          <w:tab w:val="clear" w:pos="567"/>
          <w:tab w:val="left" w:pos="1134" w:leader="none"/>
          <w:tab w:val="right" w:pos="7938" w:leader="none"/>
        </w:tabs>
        <w:ind w:hanging="567" w:start="567" w:end="0"/>
        <w:rPr>
          <w:lang w:val="en-GB"/>
        </w:rPr>
      </w:pPr>
      <w:bookmarkStart w:id="113" w:name="__RefHeading___Toc157506569"/>
      <w:bookmarkEnd w:id="113"/>
      <w:r>
        <w:rPr>
          <w:lang w:val="en-GB"/>
        </w:rPr>
        <w:t>Extension of Termination Effective Date</w:t>
      </w:r>
    </w:p>
    <w:p>
      <w:pPr>
        <w:pStyle w:val="Normal"/>
        <w:rPr>
          <w:lang w:val="en-GB"/>
        </w:rPr>
      </w:pPr>
      <w:r>
        <w:rPr>
          <w:lang w:val="en-GB"/>
        </w:rPr>
        <w:t>GlobalPharma may extend the effective date of termination one or more times as it elects, at its sole discretion, provided that the total of all such extensions shall not exceed two extensions of ninety days each with ninety (90) days notice following the original exit completion of termination. The pricing and service levels in effect at the time of the termination will continue to be in effect during this or any extension period.</w:t>
      </w:r>
    </w:p>
    <w:p>
      <w:pPr>
        <w:pStyle w:val="Heading2"/>
        <w:numPr>
          <w:ilvl w:val="1"/>
          <w:numId w:val="8"/>
        </w:numPr>
        <w:tabs>
          <w:tab w:val="clear" w:pos="567"/>
          <w:tab w:val="left" w:pos="1134" w:leader="none"/>
          <w:tab w:val="right" w:pos="7938" w:leader="none"/>
        </w:tabs>
        <w:ind w:hanging="567" w:start="567" w:end="0"/>
        <w:rPr>
          <w:lang w:val="en-GB"/>
        </w:rPr>
      </w:pPr>
      <w:bookmarkStart w:id="114" w:name="__RefHeading___Toc157506570"/>
      <w:bookmarkEnd w:id="114"/>
      <w:r>
        <w:rPr>
          <w:lang w:val="en-GB"/>
        </w:rPr>
        <w:t>Termination/Expiration Assistance</w:t>
      </w:r>
    </w:p>
    <w:p>
      <w:pPr>
        <w:pStyle w:val="Normal"/>
        <w:rPr>
          <w:lang w:val="en-GB"/>
        </w:rPr>
      </w:pPr>
      <w:r>
        <w:rPr>
          <w:lang w:val="en-GB"/>
        </w:rPr>
        <w:t>1.</w:t>
        <w:tab/>
        <w:t>Commencing (i) six (6) months prior to the expiration of The Agreements; (ii) upon any notice of termination or non-renewal of The Agreements; or (iii) six (6) months prior to any other ceasing of Service under The Agreements and continuing through the effective date of expiration, termination or cessation, the Service Provider will provide to GlobalPharma or to its designee (collectively, "Successor"), the assistance as described in Exhibit 18 (Termination Assistance) to allow the Services to continue without interruption or adverse effect and to facilitate the orderly transfer of the Services to the Successor ("Termination/Expiration Assistance").</w:t>
      </w:r>
      <w:r>
        <w:rPr>
          <w:b/>
          <w:lang w:val="en-GB"/>
        </w:rPr>
      </w:r>
      <w:r>
        <w:rPr>
          <w:lang w:val="en-GB"/>
        </w:rPr>
      </w:r>
    </w:p>
    <w:p>
      <w:pPr>
        <w:pStyle w:val="Normal"/>
        <w:rPr>
          <w:lang w:val="en-GB"/>
        </w:rPr>
      </w:pPr>
      <w:r>
        <w:rPr>
          <w:lang w:val="en-GB"/>
        </w:rPr>
        <w:t>2.</w:t>
        <w:tab/>
        <w:t>Neither of the Parties may solicit nor hire any of the other Party's personnel for the Term of the Agreement and for one (1) year thereafter unless mutually agreed. Both Parties mutually agree to act in good faith in the execution of this provision.</w:t>
      </w:r>
    </w:p>
    <w:p>
      <w:pPr>
        <w:pStyle w:val="Normal"/>
        <w:rPr/>
      </w:pPr>
      <w:r>
        <w:rPr>
          <w:lang w:val="en-GB"/>
        </w:rPr>
        <w:t>3.</w:t>
        <w:tab/>
        <w:t xml:space="preserve">The Service Provider shall provide the Termination/Expiration Assistance regardless of the reason for termination or expiration except as otherwise provided in </w:t>
      </w:r>
      <w:r>
        <w:rPr>
          <w:b/>
          <w:lang w:val="en-GB"/>
        </w:rPr>
        <w:t>Exhibit 18</w:t>
      </w:r>
      <w:r>
        <w:rPr>
          <w:lang w:val="en-GB"/>
        </w:rPr>
        <w:t xml:space="preserve"> (Termination Existence). The costs of such Termination/Expiration Assistance are included in the Service Provider's pricing for the Services as described in </w:t>
      </w:r>
      <w:r>
        <w:rPr>
          <w:b/>
          <w:lang w:val="en-GB"/>
        </w:rPr>
        <w:t>Exhibit 4</w:t>
      </w:r>
      <w:r>
        <w:rPr>
          <w:lang w:val="en-GB"/>
        </w:rPr>
        <w:t xml:space="preserve"> (Pricing and other Financial Provisions) and the other relevant Exhibits and Attachments.</w:t>
      </w:r>
    </w:p>
    <w:p>
      <w:pPr>
        <w:pStyle w:val="Normal"/>
        <w:rPr/>
      </w:pPr>
      <w:r>
        <w:rPr>
          <w:lang w:val="en-GB"/>
        </w:rPr>
        <w:t>4.</w:t>
        <w:tab/>
        <w:t xml:space="preserve">The quality of the Services provided by the Service Provider, and the Service Provider's performance shall be in accordance with </w:t>
      </w:r>
      <w:r>
        <w:rPr>
          <w:b/>
          <w:lang w:val="en-GB"/>
        </w:rPr>
        <w:t>Exhibit 18</w:t>
      </w:r>
      <w:r>
        <w:rPr>
          <w:lang w:val="en-GB"/>
        </w:rPr>
        <w:t>.</w:t>
      </w:r>
    </w:p>
    <w:p>
      <w:pPr>
        <w:pStyle w:val="Normal"/>
        <w:rPr>
          <w:lang w:val="en-GB"/>
        </w:rPr>
      </w:pPr>
      <w:r>
        <w:rPr>
          <w:lang w:val="en-GB"/>
        </w:rPr>
        <w:t>5.</w:t>
        <w:tab/>
        <w:t>As part of Termination/Expiration Assistance, the Service Provider will not reassign the Service Provider's employees or contractors away from performance of functions under The Agreements.</w:t>
      </w:r>
    </w:p>
    <w:p>
      <w:pPr>
        <w:pStyle w:val="Normal"/>
        <w:rPr/>
      </w:pPr>
      <w:r>
        <w:rPr>
          <w:lang w:val="en-GB"/>
        </w:rPr>
        <w:t>6.</w:t>
        <w:tab/>
        <w:t>At GlobalPharma's request, the Service Provider will obtain any Required Consents from Third Parties and (i) assign to the Successor leases for some or all of the Equipment used primarily to provide the Services as of the date of termination or expiration of The Agreements; (ii) assign any contracts (or the relevant part of the contract) for services provided by Third Parties to the Service Provider and used by the Service Provider to exclusively provide Services; and (iii) sell to the Successor, at the lower of the Service Provider's then-current book value or fair market value, some or all of the Equipment owned by the Service Provider and used primarily to provide the Services.</w:t>
      </w:r>
    </w:p>
    <w:p>
      <w:pPr>
        <w:pStyle w:val="Normal"/>
        <w:rPr/>
      </w:pPr>
      <w:r>
        <w:rPr>
          <w:lang w:val="en-GB"/>
        </w:rPr>
        <w:t>7.</w:t>
        <w:tab/>
        <w:t>The Service Provider will provide GlobalPharma, at no additional cost, a perpetual, irrevocable, fully paid-up, personal license to use the proprietary Service Provider Materials used by the Service Provider to provide services to GlobalPharma, solely for the complete utilisation of the Services and not for any standalone commercial purpose.</w:t>
      </w:r>
    </w:p>
    <w:p>
      <w:pPr>
        <w:pStyle w:val="Normal"/>
        <w:rPr/>
      </w:pPr>
      <w:r>
        <w:rPr>
          <w:lang w:val="en-GB"/>
        </w:rPr>
        <w:t>8.</w:t>
        <w:tab/>
        <w:t>As part of the Termination/Expiration Assistance, for a period of twelve (12) months following the date of the termination or expiration of The Agreements, or a ceasing of Services under The Agreements, the Service Provider will provide, at GlobalPharma's request, any or all of the Services being performed by the Service Provider prior to such effective date, including Termination/Expiration Assistance. Such Services will be provided subject to the provisions of The Agreements as such provisions would have been applicable to the Services prior to the effective date of termination or expiration.</w:t>
      </w:r>
    </w:p>
    <w:p>
      <w:pPr>
        <w:pStyle w:val="Normal"/>
        <w:rPr/>
      </w:pPr>
      <w:r>
        <w:rPr>
          <w:lang w:val="en-GB"/>
        </w:rPr>
        <w:t>9.</w:t>
        <w:tab/>
        <w:t>If the Service Provider fails or threatens not to provide GlobalPharma with Termination/Expiration Assistance, GlobalPharma will be irreparably harmed and may proceed directly to Arbitration in line with Clause 15.3 of the MSA. If the Arbitration Court should find that the Service Provider has breached any of its Termination/Expiration Assistance obligations, the Service Provider agrees that it shall not oppose any order compelling its performance.</w:t>
      </w:r>
    </w:p>
    <w:p>
      <w:pPr>
        <w:pStyle w:val="Heading2"/>
        <w:numPr>
          <w:ilvl w:val="1"/>
          <w:numId w:val="8"/>
        </w:numPr>
        <w:tabs>
          <w:tab w:val="clear" w:pos="567"/>
          <w:tab w:val="left" w:pos="709" w:leader="none"/>
          <w:tab w:val="left" w:pos="1134" w:leader="none"/>
          <w:tab w:val="right" w:pos="7938" w:leader="none"/>
        </w:tabs>
        <w:ind w:hanging="567" w:start="567" w:end="0"/>
        <w:rPr>
          <w:lang w:val="en-GB"/>
        </w:rPr>
      </w:pPr>
      <w:bookmarkStart w:id="115" w:name="__RefHeading___Toc157506571"/>
      <w:bookmarkEnd w:id="115"/>
      <w:r>
        <w:rPr>
          <w:lang w:val="en-GB"/>
        </w:rPr>
        <w:t>Information regarding the Services</w:t>
      </w:r>
    </w:p>
    <w:p>
      <w:pPr>
        <w:pStyle w:val="Normal"/>
        <w:rPr/>
      </w:pPr>
      <w:r>
        <w:rPr>
          <w:lang w:val="en-GB"/>
        </w:rPr>
        <w:t xml:space="preserve">Upon request by GlobalPharma Service Provider will provide GlobalPharma with additional information related to the Services that GlobalPharma reasonably requests during the Term. </w:t>
      </w:r>
    </w:p>
    <w:p>
      <w:pPr>
        <w:pStyle w:val="Heading1"/>
        <w:numPr>
          <w:ilvl w:val="0"/>
          <w:numId w:val="8"/>
        </w:numPr>
        <w:tabs>
          <w:tab w:val="clear" w:pos="567"/>
          <w:tab w:val="left" w:pos="709" w:leader="none"/>
          <w:tab w:val="left" w:pos="1134" w:leader="none"/>
          <w:tab w:val="right" w:pos="7938" w:leader="none"/>
        </w:tabs>
        <w:ind w:hanging="567" w:start="567" w:end="0"/>
        <w:rPr>
          <w:lang w:val="en-GB"/>
        </w:rPr>
      </w:pPr>
      <w:bookmarkStart w:id="116" w:name="__RefHeading___Toc157506572"/>
      <w:bookmarkEnd w:id="116"/>
      <w:r>
        <w:rPr>
          <w:lang w:val="en-GB"/>
        </w:rPr>
        <w:t>General Terms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17" w:name="__RefHeading___Toc157506573"/>
      <w:bookmarkEnd w:id="117"/>
      <w:r>
        <w:rPr>
          <w:lang w:val="en-GB"/>
        </w:rPr>
        <w:t>Assignment</w:t>
      </w:r>
    </w:p>
    <w:p>
      <w:pPr>
        <w:pStyle w:val="Normal"/>
        <w:rPr>
          <w:lang w:val="en-GB"/>
        </w:rPr>
      </w:pPr>
      <w:r>
        <w:rPr>
          <w:lang w:val="en-GB"/>
        </w:rPr>
        <w:t>Neither Party may assign The Agreements without the prior written consent of the other, except that GlobalPharma may assign its rights and obligations under The Agreements without the approval of the Service Provider to (i) an entity which acquires all or substantially all of the assets of GlobalPharma; or (ii) to any subsidiary or Affiliate or Successor in a merger or acquisition involving GlobalPharma. GlobalPharma shall not be relieved of its obligations under The Agreements as a result of any such assignment.</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18" w:name="__RefHeading___Toc157506574"/>
      <w:bookmarkEnd w:id="118"/>
      <w:r>
        <w:rPr>
          <w:lang w:val="en-GB"/>
        </w:rPr>
        <w:t>Consent and Approvals</w:t>
      </w:r>
    </w:p>
    <w:p>
      <w:pPr>
        <w:pStyle w:val="Normal"/>
        <w:rPr/>
      </w:pPr>
      <w:r>
        <w:rPr>
          <w:lang w:val="en-GB"/>
        </w:rPr>
        <w:t>1.</w:t>
        <w:tab/>
        <w:t>The Service Provider will be responsible for obtaining, and paying all costs associated with obtaining, any and all necessary consents and governmental approvals required in the provision of the Services and/or or in the exercise of GlobalPharma's rights at termination.</w:t>
      </w:r>
    </w:p>
    <w:p>
      <w:pPr>
        <w:pStyle w:val="Normal"/>
        <w:rPr>
          <w:lang w:val="en-GB"/>
        </w:rPr>
      </w:pPr>
      <w:r>
        <w:rPr>
          <w:lang w:val="en-GB"/>
        </w:rPr>
        <w:t>2.</w:t>
        <w:tab/>
        <w:t>Consents and approvals to be given by either Party under this Agreement shall not be unreasonably withheld or delayed. Such consents and approvals will not be construed as relieving a Party of its obligations or as a waiver of its rights under The Agreements.</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19" w:name="__RefHeading___Toc157506575"/>
      <w:bookmarkEnd w:id="119"/>
      <w:r>
        <w:rPr>
          <w:lang w:val="en-GB"/>
        </w:rPr>
        <w:t>Publicity</w:t>
      </w:r>
    </w:p>
    <w:p>
      <w:pPr>
        <w:pStyle w:val="Normal"/>
        <w:rPr>
          <w:lang w:val="en-GB"/>
        </w:rPr>
      </w:pPr>
      <w:r>
        <w:rPr>
          <w:lang w:val="en-GB"/>
        </w:rPr>
        <w:t>No public disclosures by either Party relating to this Agreement, except for internal announcements or disclosures required to meet legal or regulatory requirements beyond the reasonable control of the disclosing Party, shall be made without the prior written approval of authorized representatives of the other Party.</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20" w:name="__RefHeading___Toc157506576"/>
      <w:bookmarkEnd w:id="120"/>
      <w:r>
        <w:rPr>
          <w:lang w:val="en-GB"/>
        </w:rPr>
        <w:t>Liens</w:t>
      </w:r>
    </w:p>
    <w:p>
      <w:pPr>
        <w:pStyle w:val="Normal"/>
        <w:rPr/>
      </w:pPr>
      <w:r>
        <w:rPr>
          <w:lang w:val="en-GB"/>
        </w:rPr>
        <w:t>1.</w:t>
        <w:tab/>
        <w:t>The Service Provider agrees to keep GlobalPharma, all of the real and personal property of GlobalPharma, and the Services, free and clear of all liens or lien claims.</w:t>
      </w:r>
    </w:p>
    <w:p>
      <w:pPr>
        <w:pStyle w:val="Normal"/>
        <w:rPr>
          <w:lang w:val="en-GB"/>
        </w:rPr>
      </w:pPr>
      <w:r>
        <w:rPr>
          <w:lang w:val="en-GB"/>
        </w:rPr>
        <w:t>2.</w:t>
        <w:tab/>
        <w:t>Should any lien or lien claim be asserted for any reason, GlobalPharma may at its sole discretion (i) pay the amount of such lien or lien claim; (ii) deduct such amounts from payments due to the Service Provider; and/or (iii) require the Service Provider to obtain a properly executed release of lien satisfactory to GlobalPharma.</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21" w:name="__RefHeading___Toc157506577"/>
      <w:bookmarkEnd w:id="121"/>
      <w:r>
        <w:rPr>
          <w:lang w:val="en-GB"/>
        </w:rPr>
        <w:t>Escrow</w:t>
      </w:r>
    </w:p>
    <w:p>
      <w:pPr>
        <w:pStyle w:val="Normal"/>
        <w:rPr>
          <w:lang w:val="en-GB"/>
        </w:rPr>
      </w:pPr>
      <w:r>
        <w:rPr>
          <w:lang w:val="en-GB"/>
        </w:rPr>
        <w:t>Within six (6) months of the Go Live Date, Service Provider will place all source code, and documentation related to the Service Provider Proprietary Software (the "Escrow Material") in escrow pursuant to the Escrow Agreement (Exhibit 33, Escrow Agreement). The Parties agree that the Escrow Agreements provide that the release of a copy of such Software to GlobalPharma is only allowed for maintenance and support purposes in the event that Service Provider breaches The Agreements or becomes unable or unwilling through bankruptcy or insolvency to provide any maintenance and support regarding the Service Provider's IP rights and know-how required by GlobalPharma. Furthermore, the agreement with the escrow agent includes: (i) on the occurring of the events which necessitate the release of such Software, GlobalPharma will make a written demand to the escrow agent for release of the Software, citing the "release event"; (ii) escrow agent would give notice of the demand to the Provider and an opportunity to provide the required maintenance and support to GlobalPharma, failing which the Software will be released to GlobalPharma. Notwithstanding anything to the contrary set forth in the Escrow Agreement, the Escrow Agreement will be kept in effect during the Term of this Agreement. Service Provider agrees that it shall annually update the Escrow Material to correspond with the most recent version of the Service Provider Software. All fees associated with maintenance and establishment of the Escrow Agreement shall be borne by GlobalPharma. Any Escrow Materials released to GlobalPharma pursuant to the Escrow Agreement shall remain Service Provider Intellectual Property and shall be used by GlobalPharma for GlobalPharma's internal use only.</w:t>
      </w:r>
      <w:r>
        <w:rPr>
          <w:b/>
          <w:bCs/>
          <w:lang w:val="en-GB"/>
        </w:rPr>
      </w:r>
      <w:r>
        <w:rPr>
          <w:lang w:val="en-GB"/>
        </w:rPr>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22" w:name="__RefHeading___Toc157506578"/>
      <w:bookmarkEnd w:id="122"/>
      <w:r>
        <w:rPr>
          <w:lang w:val="en-GB"/>
        </w:rPr>
        <w:t>Labor Laws and Prison Labor</w:t>
      </w:r>
    </w:p>
    <w:p>
      <w:pPr>
        <w:pStyle w:val="Normal"/>
        <w:rPr>
          <w:lang w:val="en-GB"/>
        </w:rPr>
      </w:pPr>
      <w:r>
        <w:rPr>
          <w:lang w:val="en-GB"/>
        </w:rPr>
        <w:t>Service Provider and its subcontractors will comply with all applicable laws regarding minimum wage, living conditions, overtime, working conditions, and the applicable labor and environmental laws. Service Provider and Service Provider Representatives further agree not to use any child labor, prison inmates, convicted felons or criminals, nor shall it contract with any prison system to perform any Services required under this Agreement.</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23" w:name="__RefHeading___Toc157506579"/>
      <w:bookmarkEnd w:id="123"/>
      <w:r>
        <w:rPr>
          <w:lang w:val="en-GB"/>
        </w:rPr>
        <w:t>No Association</w:t>
      </w:r>
    </w:p>
    <w:p>
      <w:pPr>
        <w:pStyle w:val="Normal"/>
        <w:rPr>
          <w:lang w:val="en-GB"/>
        </w:rPr>
      </w:pPr>
      <w:r>
        <w:rPr>
          <w:lang w:val="en-GB"/>
        </w:rPr>
        <w:t>This Agreement sets forth the understanding of the Parties relating to its subject matter. The Agreements shall not be construed as constituting GlobalPharma or Service Provider as a partner of the other or as creating any other form of legal association that would impose liability upon one for the act or failure to act of the other or as providing the other with the right, power or authority (express or implied) to create any duty or obligation of the other.</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24" w:name="__RefHeading___Toc157506580"/>
      <w:bookmarkEnd w:id="124"/>
      <w:r>
        <w:rPr>
          <w:lang w:val="en-GB"/>
        </w:rPr>
        <w:t>Non-Waiver</w:t>
      </w:r>
    </w:p>
    <w:p>
      <w:pPr>
        <w:pStyle w:val="Normal"/>
        <w:rPr>
          <w:lang w:val="en-GB"/>
        </w:rPr>
      </w:pPr>
      <w:r>
        <w:rPr>
          <w:lang w:val="en-GB"/>
        </w:rPr>
        <w:t>No exercise or waiver, in whole or in part, of any rights or remedy provided for in this Agreement shall constitute a waiver of any prior, concurrent or subsequent right or remedy of the same or any other provision hereof. A waiver of rights under this Agreement must be in writing. Unless expressly stated otherwise, a written waiver shall apply only to the specific acts or omissions described, and not to similar acts or omissions. A delay in the exercise of a right or a failure to exercise a right shall not be deemed to be a waiver of such right, unless expressly stated otherwise in this Agreement.</w:t>
      </w:r>
    </w:p>
    <w:p>
      <w:pPr>
        <w:pStyle w:val="Heading2"/>
        <w:numPr>
          <w:ilvl w:val="1"/>
          <w:numId w:val="8"/>
        </w:numPr>
        <w:tabs>
          <w:tab w:val="clear" w:pos="567"/>
          <w:tab w:val="clear" w:pos="1134"/>
          <w:tab w:val="left" w:pos="709" w:leader="none"/>
          <w:tab w:val="right" w:pos="7938" w:leader="none"/>
        </w:tabs>
        <w:ind w:hanging="567" w:start="567" w:end="0"/>
        <w:rPr>
          <w:lang w:val="en-GB"/>
        </w:rPr>
      </w:pPr>
      <w:bookmarkStart w:id="125" w:name="__RefHeading___Toc157506581"/>
      <w:bookmarkEnd w:id="125"/>
      <w:r>
        <w:rPr>
          <w:lang w:val="en-GB"/>
        </w:rPr>
        <w:t>Amendments and Revisions</w:t>
      </w:r>
    </w:p>
    <w:p>
      <w:pPr>
        <w:pStyle w:val="Normal"/>
        <w:rPr>
          <w:lang w:val="en-GB"/>
        </w:rPr>
      </w:pPr>
      <w:r>
        <w:rPr>
          <w:lang w:val="en-GB"/>
        </w:rPr>
        <w:t>Changes or modifications to this Agreement may be made only by a written amendment or revision signed by both Parties. Changes or modifications in any other form are void. Any terms and conditions varying from this Agreement on any order or written notification from either Party not signed by the other Party are void. A waiver from the requirement of the written form shall also only be valid if made in writing.</w:t>
      </w:r>
    </w:p>
    <w:p>
      <w:pPr>
        <w:pStyle w:val="Heading2"/>
        <w:numPr>
          <w:ilvl w:val="1"/>
          <w:numId w:val="8"/>
        </w:numPr>
        <w:tabs>
          <w:tab w:val="clear" w:pos="567"/>
          <w:tab w:val="clear" w:pos="1134"/>
          <w:tab w:val="left" w:pos="993" w:leader="none"/>
          <w:tab w:val="right" w:pos="7938" w:leader="none"/>
        </w:tabs>
        <w:ind w:hanging="567" w:start="567" w:end="0"/>
        <w:rPr>
          <w:lang w:val="en-GB"/>
        </w:rPr>
      </w:pPr>
      <w:bookmarkStart w:id="126" w:name="__RefHeading___Toc157506582"/>
      <w:bookmarkEnd w:id="126"/>
      <w:r>
        <w:rPr>
          <w:lang w:val="en-GB"/>
        </w:rPr>
        <w:t>No Third Party Beneficiaries</w:t>
      </w:r>
    </w:p>
    <w:p>
      <w:pPr>
        <w:pStyle w:val="Normal"/>
        <w:rPr>
          <w:lang w:val="en-GB"/>
        </w:rPr>
      </w:pPr>
      <w:r>
        <w:rPr>
          <w:lang w:val="en-GB"/>
        </w:rPr>
        <w:t>The Parties do not intend, nor will any clause be interpreted, to create for any third party any obligations to or benefit from any Party, if not expressly provided for otherwise.</w:t>
      </w:r>
    </w:p>
    <w:p>
      <w:pPr>
        <w:pStyle w:val="Heading2"/>
        <w:numPr>
          <w:ilvl w:val="1"/>
          <w:numId w:val="8"/>
        </w:numPr>
        <w:tabs>
          <w:tab w:val="clear" w:pos="567"/>
          <w:tab w:val="clear" w:pos="1134"/>
          <w:tab w:val="left" w:pos="993" w:leader="none"/>
          <w:tab w:val="right" w:pos="7938" w:leader="none"/>
        </w:tabs>
        <w:ind w:hanging="567" w:start="567" w:end="0"/>
        <w:rPr>
          <w:lang w:val="en-GB"/>
        </w:rPr>
      </w:pPr>
      <w:bookmarkStart w:id="127" w:name="__RefHeading___Toc157506583"/>
      <w:bookmarkEnd w:id="127"/>
      <w:r>
        <w:rPr>
          <w:lang w:val="en-GB"/>
        </w:rPr>
        <w:t>Principles of Co-operation</w:t>
      </w:r>
    </w:p>
    <w:p>
      <w:pPr>
        <w:pStyle w:val="Normal"/>
        <w:rPr>
          <w:lang w:val="en-GB"/>
        </w:rPr>
      </w:pPr>
      <w:r>
        <w:rPr>
          <w:lang w:val="en-GB"/>
        </w:rPr>
        <w:t>The Parties shall co-operate with each other in good faith in order to complete the transactions as envisaged hereunder and to implement the Services in a timely and effective manner.</w:t>
      </w:r>
    </w:p>
    <w:p>
      <w:pPr>
        <w:pStyle w:val="Heading2"/>
        <w:numPr>
          <w:ilvl w:val="1"/>
          <w:numId w:val="8"/>
        </w:numPr>
        <w:tabs>
          <w:tab w:val="clear" w:pos="567"/>
          <w:tab w:val="clear" w:pos="1134"/>
          <w:tab w:val="left" w:pos="993" w:leader="none"/>
          <w:tab w:val="right" w:pos="7938" w:leader="none"/>
        </w:tabs>
        <w:ind w:hanging="567" w:start="567" w:end="0"/>
        <w:rPr>
          <w:lang w:val="en-GB"/>
        </w:rPr>
      </w:pPr>
      <w:bookmarkStart w:id="128" w:name="__RefHeading___Toc157506584"/>
      <w:bookmarkEnd w:id="128"/>
      <w:r>
        <w:rPr>
          <w:lang w:val="en-GB"/>
        </w:rPr>
        <w:t>Notice</w:t>
      </w:r>
    </w:p>
    <w:p>
      <w:pPr>
        <w:pStyle w:val="Normal"/>
        <w:rPr>
          <w:lang w:val="en-GB"/>
        </w:rPr>
      </w:pPr>
      <w:r>
        <w:rPr>
          <w:lang w:val="en-GB"/>
        </w:rPr>
        <w:t>All notices, requests, demands and other communications which are required or may be given pursuant to The Agreements and shall be deemed duly served on the date delivered to the addressee if sent as follows:</w:t>
      </w:r>
    </w:p>
    <w:p>
      <w:pPr>
        <w:pStyle w:val="Normal"/>
        <w:keepNext w:val="true"/>
        <w:rPr>
          <w:lang w:val="en-GB"/>
        </w:rPr>
      </w:pPr>
      <w:r>
        <w:rPr>
          <w:lang w:val="en-GB"/>
        </w:rPr>
        <w:t>1.</w:t>
        <w:tab/>
        <w:t>If to GlobalPharma:</w:t>
      </w:r>
    </w:p>
    <w:p>
      <w:pPr>
        <w:pStyle w:val="Normal"/>
        <w:keepNext w:val="true"/>
        <w:jc w:val="start"/>
        <w:rPr>
          <w:lang w:val="en-GB"/>
        </w:rPr>
      </w:pPr>
      <w:r>
        <w:rPr>
          <w:lang w:val="en-GB"/>
        </w:rPr>
        <w:tab/>
        <w:t>-</w:t>
        <w:tab/>
        <w:t>GlobalPharma AG</w:t>
        <w:br/>
        <w:tab/>
        <w:tab/>
        <w:t>Head Shared Services</w:t>
        <w:br/>
        <w:tab/>
        <w:tab/>
        <w:t>Bahnhofstrasse 10</w:t>
        <w:br/>
        <w:tab/>
        <w:tab/>
        <w:t>CH-8001 Zurich</w:t>
      </w:r>
    </w:p>
    <w:p>
      <w:pPr>
        <w:pStyle w:val="Normal"/>
        <w:jc w:val="start"/>
        <w:rPr/>
      </w:pPr>
      <w:r>
        <w:rPr>
          <w:lang w:val="en-GB"/>
        </w:rPr>
        <w:tab/>
        <w:t>-</w:t>
        <w:tab/>
        <w:t>GlobalPharma AG</w:t>
        <w:br/>
        <w:tab/>
        <w:tab/>
        <w:t>General Counsel</w:t>
        <w:br/>
        <w:tab/>
        <w:tab/>
        <w:t>Bahnhofstrasse 10</w:t>
        <w:br/>
        <w:tab/>
        <w:tab/>
        <w:t>CH-8001 Zurich</w:t>
      </w:r>
      <w:r>
        <w:rPr/>
      </w:r>
    </w:p>
    <w:p>
      <w:pPr>
        <w:pStyle w:val="Normal"/>
        <w:jc w:val="start"/>
        <w:rPr>
          <w:lang w:val="en-GB"/>
        </w:rPr>
      </w:pPr>
      <w:r>
        <w:rPr>
          <w:lang w:val="en-GB"/>
        </w:rPr>
        <w:t>2.</w:t>
        <w:tab/>
        <w:t>If to Service Provider:</w:t>
      </w:r>
    </w:p>
    <w:p>
      <w:pPr>
        <w:pStyle w:val="Normal"/>
        <w:jc w:val="start"/>
        <w:rPr/>
      </w:pPr>
      <w:r>
        <w:rPr>
          <w:lang w:val="en-GB"/>
        </w:rPr>
        <w:tab/>
        <w:t>-</w:t>
        <w:tab/>
        <w:t>ServicePro International SaRL</w:t>
        <w:br/>
        <w:tab/>
        <w:tab/>
        <w:t>Chief Executive Officer</w:t>
        <w:br/>
        <w:tab/>
        <w:tab/>
        <w:t>25 Avenue de la Liberté</w:t>
        <w:br/>
        <w:tab/>
        <w:tab/>
        <w:t>L-1930 Luxembourg</w:t>
      </w:r>
    </w:p>
    <w:p>
      <w:pPr>
        <w:pStyle w:val="Normal"/>
        <w:jc w:val="start"/>
        <w:rPr>
          <w:lang w:val="en-GB"/>
        </w:rPr>
      </w:pPr>
      <w:r>
        <w:rPr>
          <w:lang w:val="en-GB"/>
        </w:rPr>
        <w:tab/>
        <w:t>-</w:t>
        <w:tab/>
        <w:t>ServicePro International SaRL</w:t>
        <w:br/>
        <w:tab/>
        <w:tab/>
        <w:t>General Counsel</w:t>
        <w:br/>
        <w:tab/>
        <w:tab/>
        <w:t>25 Avenue de la Liberté</w:t>
        <w:br/>
        <w:tab/>
        <w:tab/>
        <w:t>L-1930 Luxembourg</w:t>
        <w:tab/>
      </w:r>
    </w:p>
    <w:p>
      <w:pPr>
        <w:pStyle w:val="Heading2"/>
        <w:numPr>
          <w:ilvl w:val="1"/>
          <w:numId w:val="8"/>
        </w:numPr>
        <w:tabs>
          <w:tab w:val="clear" w:pos="567"/>
          <w:tab w:val="left" w:pos="1134" w:leader="none"/>
          <w:tab w:val="right" w:pos="7938" w:leader="none"/>
        </w:tabs>
        <w:ind w:hanging="567" w:start="567" w:end="0"/>
        <w:rPr>
          <w:lang w:val="en-GB"/>
        </w:rPr>
      </w:pPr>
      <w:bookmarkStart w:id="129" w:name="__RefHeading___Toc157506585"/>
      <w:bookmarkEnd w:id="129"/>
      <w:r>
        <w:rPr>
          <w:lang w:val="en-GB"/>
        </w:rPr>
        <w:t>Cost and Fees</w:t>
      </w:r>
    </w:p>
    <w:p>
      <w:pPr>
        <w:pStyle w:val="Normal"/>
        <w:rPr/>
      </w:pPr>
      <w:r>
        <w:rPr>
          <w:lang w:val="en-GB"/>
        </w:rPr>
        <w:t>Each Party shall bear its own expenses, professional advisers' fees and other costs in connection with the negotiation and preparation of this Agreement, except as otherwise expressly agreed upon by the Parties in writing.</w:t>
      </w:r>
    </w:p>
    <w:p>
      <w:pPr>
        <w:pStyle w:val="Heading2"/>
        <w:numPr>
          <w:ilvl w:val="1"/>
          <w:numId w:val="8"/>
        </w:numPr>
        <w:tabs>
          <w:tab w:val="clear" w:pos="567"/>
          <w:tab w:val="left" w:pos="1134" w:leader="none"/>
          <w:tab w:val="right" w:pos="7938" w:leader="none"/>
        </w:tabs>
        <w:ind w:hanging="567" w:start="567" w:end="0"/>
        <w:rPr>
          <w:lang w:val="en-GB"/>
        </w:rPr>
      </w:pPr>
      <w:bookmarkStart w:id="130" w:name="__RefHeading___Toc157506586"/>
      <w:bookmarkEnd w:id="130"/>
      <w:r>
        <w:rPr>
          <w:lang w:val="en-GB"/>
        </w:rPr>
        <w:t>Survival of Obligations</w:t>
      </w:r>
    </w:p>
    <w:p>
      <w:pPr>
        <w:pStyle w:val="Normal"/>
        <w:rPr>
          <w:lang w:val="en-GB"/>
        </w:rPr>
      </w:pPr>
      <w:r>
        <w:rPr>
          <w:lang w:val="en-GB"/>
        </w:rPr>
        <w:t>Any terms of this Agreement which by their nature extend beyond its expiration or termination remain in effect until fulfilled.</w:t>
      </w:r>
    </w:p>
    <w:p>
      <w:pPr>
        <w:pStyle w:val="Heading2"/>
        <w:numPr>
          <w:ilvl w:val="1"/>
          <w:numId w:val="8"/>
        </w:numPr>
        <w:tabs>
          <w:tab w:val="clear" w:pos="567"/>
          <w:tab w:val="left" w:pos="1134" w:leader="none"/>
          <w:tab w:val="right" w:pos="7938" w:leader="none"/>
        </w:tabs>
        <w:ind w:hanging="567" w:start="567" w:end="0"/>
        <w:rPr>
          <w:lang w:val="en-GB"/>
        </w:rPr>
      </w:pPr>
      <w:bookmarkStart w:id="131" w:name="__RefHeading___Toc157506587"/>
      <w:bookmarkEnd w:id="131"/>
      <w:r>
        <w:rPr>
          <w:lang w:val="en-GB"/>
        </w:rPr>
        <w:t>Severability</w:t>
      </w:r>
    </w:p>
    <w:p>
      <w:pPr>
        <w:pStyle w:val="Normal"/>
        <w:rPr/>
      </w:pPr>
      <w:r>
        <w:rPr>
          <w:lang w:val="en-GB"/>
        </w:rPr>
        <w:t>If any provision of this Agreement is held invalid, illegal or unenforceable for any reason by any court of competent jurisdiction, such provision shall be severed and the remainder of the provisions hereof shall continue in full force and effect as if this Agreement had been executed with the invalid, illegal or unenforceable provision eliminated. In the event of a holding of invalidity so fundamental as to prevent the accomplishment of the purpose of this Agreement, GlobalPharma and Service Provider shall immediately commence negotiations in good faith to remedy such invalidity.</w:t>
      </w:r>
    </w:p>
    <w:p>
      <w:pPr>
        <w:pStyle w:val="Normal"/>
        <w:rPr>
          <w:lang w:val="en-GB"/>
        </w:rPr>
      </w:pPr>
      <w:r>
        <w:rPr>
          <w:lang w:val="en-GB"/>
        </w:rPr>
      </w:r>
    </w:p>
    <w:p>
      <w:pPr>
        <w:pStyle w:val="Normal"/>
        <w:rPr>
          <w:lang w:val="en-GB"/>
        </w:rPr>
      </w:pPr>
      <w:r>
        <w:rPr>
          <w:lang w:val="en-GB"/>
        </w:rPr>
      </w:r>
    </w:p>
    <w:p>
      <w:pPr>
        <w:pStyle w:val="Normal"/>
        <w:keepNext w:val="true"/>
        <w:tabs>
          <w:tab w:val="left" w:pos="567" w:leader="none"/>
          <w:tab w:val="left" w:pos="1134" w:leader="none"/>
          <w:tab w:val="left" w:pos="4536" w:leader="none"/>
          <w:tab w:val="right" w:pos="7938" w:leader="none"/>
        </w:tabs>
        <w:rPr/>
      </w:pPr>
      <w:r>
        <w:rPr>
          <w:caps/>
          <w:lang w:val="en-GB"/>
        </w:rPr>
        <w:t>GlobalPharma Ltd.</w:t>
        <w:tab/>
        <w:t>Service Provider</w:t>
      </w:r>
    </w:p>
    <w:p>
      <w:pPr>
        <w:pStyle w:val="Gruss"/>
        <w:tabs>
          <w:tab w:val="clear" w:pos="567"/>
          <w:tab w:val="clear" w:pos="1134"/>
          <w:tab w:val="clear" w:pos="7938"/>
          <w:tab w:val="left" w:pos="709" w:leader="none"/>
          <w:tab w:val="left" w:pos="4536" w:leader="none"/>
          <w:tab w:val="left" w:pos="5245" w:leader="none"/>
        </w:tabs>
        <w:spacing w:lineRule="atLeast" w:line="360"/>
        <w:ind w:end="1"/>
        <w:rPr>
          <w:lang w:val="en-GB"/>
        </w:rPr>
      </w:pPr>
      <w:r>
        <w:rPr>
          <w:lang w:val="en-GB"/>
        </w:rPr>
        <w:t>By:</w:t>
        <w:tab/>
        <w:t>_______________________</w:t>
        <w:tab/>
        <w:t>By:</w:t>
        <w:tab/>
        <w:t>______________________</w:t>
        <w:br/>
        <w:t>Name:</w:t>
        <w:tab/>
        <w:t>Jonathan Peacock</w:t>
        <w:tab/>
        <w:t>Name:</w:t>
        <w:tab/>
        <w:t>_______________________</w:t>
        <w:br/>
        <w:t>Title:</w:t>
        <w:tab/>
        <w:t>Chief Financial &amp;</w:t>
        <w:tab/>
        <w:t>Title:</w:t>
        <w:tab/>
        <w:t>________________________</w:t>
        <w:br/>
        <w:tab/>
        <w:t>Administration Officer</w:t>
      </w:r>
    </w:p>
    <w:p>
      <w:pPr>
        <w:pStyle w:val="Normal"/>
        <w:rPr>
          <w:lang w:val="en-GB"/>
        </w:rPr>
      </w:pPr>
      <w:r>
        <w:rPr>
          <w:lang w:val="en-GB"/>
        </w:rPr>
      </w:r>
    </w:p>
    <w:p>
      <w:pPr>
        <w:pStyle w:val="Gruss"/>
        <w:tabs>
          <w:tab w:val="clear" w:pos="567"/>
          <w:tab w:val="clear" w:pos="1134"/>
          <w:tab w:val="clear" w:pos="7938"/>
          <w:tab w:val="left" w:pos="709" w:leader="none"/>
          <w:tab w:val="left" w:pos="4536" w:leader="none"/>
          <w:tab w:val="left" w:pos="5245" w:leader="none"/>
        </w:tabs>
        <w:spacing w:lineRule="atLeast" w:line="360"/>
        <w:ind w:end="1"/>
        <w:rPr>
          <w:lang w:val="en-GB"/>
        </w:rPr>
      </w:pPr>
      <w:r>
        <w:rPr>
          <w:lang w:val="en-GB"/>
        </w:rPr>
        <w:t>By:</w:t>
        <w:tab/>
        <w:t>_______________________</w:t>
        <w:tab/>
        <w:t>By:</w:t>
        <w:tab/>
        <w:t>______________________</w:t>
        <w:br/>
        <w:t>Name:</w:t>
        <w:tab/>
        <w:t>Paul Penepent</w:t>
        <w:tab/>
        <w:t>Name:</w:t>
        <w:tab/>
        <w:t>_______________________</w:t>
        <w:br/>
        <w:t>Title:</w:t>
        <w:tab/>
        <w:t>Head FRA Pharma</w:t>
        <w:tab/>
        <w:t>Title:</w:t>
        <w:tab/>
        <w:t>________________________</w:t>
      </w:r>
    </w:p>
    <w:p>
      <w:pPr>
        <w:pStyle w:val="Normal"/>
        <w:tabs>
          <w:tab w:val="clear" w:pos="567"/>
          <w:tab w:val="clear" w:pos="1134"/>
          <w:tab w:val="left" w:pos="0" w:leader="none"/>
          <w:tab w:val="right" w:pos="7938" w:leader="none"/>
        </w:tabs>
        <w:rPr>
          <w:lang w:val="en-GB"/>
        </w:rPr>
      </w:pPr>
      <w:r>
        <w:rPr>
          <w:lang w:val="en-GB"/>
        </w:rPr>
      </w:r>
    </w:p>
    <w:p>
      <w:pPr>
        <w:pStyle w:val="Gruss"/>
        <w:tabs>
          <w:tab w:val="clear" w:pos="567"/>
          <w:tab w:val="clear" w:pos="1134"/>
          <w:tab w:val="clear" w:pos="7938"/>
          <w:tab w:val="left" w:pos="709" w:leader="none"/>
          <w:tab w:val="left" w:pos="4536" w:leader="none"/>
          <w:tab w:val="left" w:pos="5245" w:leader="none"/>
        </w:tabs>
        <w:spacing w:lineRule="atLeast" w:line="360"/>
        <w:ind w:end="1"/>
        <w:rPr/>
      </w:pPr>
      <w:r>
        <w:rPr>
          <w:lang w:val="en-GB"/>
        </w:rPr>
        <w:t>By:</w:t>
        <w:tab/>
        <w:t>_______________________</w:t>
        <w:br/>
        <w:t>Name:</w:t>
        <w:tab/>
        <w:t>Lorenz Aebersold</w:t>
        <w:br/>
        <w:t>Title:</w:t>
        <w:tab/>
        <w:t>Legal Counsel</w:t>
      </w:r>
    </w:p>
    <w:p>
      <w:pPr>
        <w:pStyle w:val="Normal"/>
        <w:tabs>
          <w:tab w:val="clear" w:pos="567"/>
          <w:tab w:val="clear" w:pos="1134"/>
          <w:tab w:val="left" w:pos="0" w:leader="none"/>
          <w:tab w:val="right" w:pos="7938" w:leader="none"/>
        </w:tabs>
        <w:spacing w:before="120" w:after="120"/>
        <w:rPr>
          <w:lang w:val="en-GB"/>
        </w:rPr>
      </w:pPr>
      <w:r>
        <w:rPr>
          <w:lang w:val="en-GB"/>
        </w:rPr>
      </w:r>
    </w:p>
    <w:sectPr>
      <w:headerReference w:type="default" r:id="rId2"/>
      <w:headerReference w:type="first" r:id="rId3"/>
      <w:footerReference w:type="default" r:id="rId4"/>
      <w:footerReference w:type="first" r:id="rId5"/>
      <w:type w:val="nextPage"/>
      <w:pgSz w:w="11906" w:h="16838"/>
      <w:pgMar w:left="1701" w:right="1418" w:gutter="0" w:header="737" w:top="1701" w:footer="73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erdan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G Times (WN)">
    <w:charset w:val="00" w:characterSet="windows-1252"/>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938"/>
        <w:tab w:val="left" w:pos="567" w:leader="none"/>
        <w:tab w:val="left" w:pos="1134" w:leader="none"/>
        <w:tab w:val="center" w:pos="3969" w:leader="none"/>
        <w:tab w:val="right" w:pos="8789" w:leader="none"/>
      </w:tabs>
      <w:jc w:val="end"/>
      <w:rPr/>
    </w:pPr>
    <w:r>
      <w:rPr>
        <w:lang w:val="en-GB"/>
      </w:rPr>
      <w:tab/>
      <w:tab/>
      <w:t xml:space="preserve">Page </w:t>
    </w:r>
    <w:r>
      <w:rPr>
        <w:rStyle w:val="PageNumber"/>
        <w:lang w:val="en-GB"/>
      </w:rPr>
      <w:fldChar w:fldCharType="begin"/>
    </w:r>
    <w:r>
      <w:rPr>
        <w:rStyle w:val="PageNumber"/>
        <w:lang w:val="en-GB"/>
      </w:rPr>
      <w:instrText xml:space="preserve"> PAGE </w:instrText>
    </w:r>
    <w:r>
      <w:rPr>
        <w:rStyle w:val="PageNumber"/>
        <w:lang w:val="en-GB"/>
      </w:rPr>
      <w:fldChar w:fldCharType="separate"/>
    </w:r>
    <w:r>
      <w:rPr>
        <w:rStyle w:val="PageNumber"/>
        <w:lang w:val="en-GB"/>
      </w:rPr>
      <w:t>70</w:t>
    </w:r>
    <w:r>
      <w:rPr>
        <w:rStyle w:val="PageNumber"/>
        <w:lang w:val="en-GB"/>
      </w:rPr>
      <w:fldChar w:fldCharType="end"/>
    </w:r>
    <w:r>
      <w:rPr>
        <w:rStyle w:val="PageNumber"/>
        <w:lang w:val="en-GB"/>
      </w:rPr>
      <w:t xml:space="preserve"> of </w:t>
    </w:r>
    <w:r>
      <w:rPr>
        <w:rStyle w:val="PageNumber"/>
        <w:lang w:val="en-GB"/>
      </w:rPr>
      <w:fldChar w:fldCharType="begin"/>
    </w:r>
    <w:r>
      <w:rPr>
        <w:rStyle w:val="PageNumber"/>
        <w:lang w:val="en-GB"/>
      </w:rPr>
      <w:instrText xml:space="preserve"> NUMPAGES \* ARABIC </w:instrText>
    </w:r>
    <w:r>
      <w:rPr>
        <w:rStyle w:val="PageNumber"/>
        <w:lang w:val="en-GB"/>
      </w:rPr>
      <w:fldChar w:fldCharType="separate"/>
    </w:r>
    <w:r>
      <w:rPr>
        <w:rStyle w:val="PageNumber"/>
        <w:lang w:val="en-GB"/>
      </w:rPr>
      <w:t>70</w:t>
    </w:r>
    <w:r>
      <w:rPr>
        <w:rStyle w:val="PageNumber"/>
        <w:lang w:val="en-GB"/>
      </w:rPr>
      <w:fldChar w:fldCharType="end"/>
    </w:r>
    <w:r>
      <w:rPr>
        <w:rStyle w:val="PageNumber"/>
        <w:lang w:val="en-GB"/>
      </w:rPr>
      <w:br/>
      <w:tab/>
      <w:tab/>
    </w:r>
    <w:r>
      <w:rPr>
        <w:rStyle w:val="PageNumber"/>
        <w:b/>
        <w:bCs/>
        <w:lang w:val="en-GB"/>
      </w:rPr>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938"/>
        <w:tab w:val="left" w:pos="567" w:leader="none"/>
        <w:tab w:val="left" w:pos="1134" w:leader="none"/>
        <w:tab w:val="center" w:pos="3969" w:leader="none"/>
        <w:tab w:val="right" w:pos="8789" w:leader="none"/>
      </w:tabs>
      <w:jc w:val="end"/>
      <w:rPr>
        <w:lang w:val="en-GB"/>
      </w:rPr>
    </w:pPr>
    <w:r>
      <w:rPr>
        <w:lang w:val="en-GB"/>
      </w:rPr>
      <w:tab/>
      <w:tab/>
      <w:t xml:space="preserve">Page </w:t>
    </w:r>
    <w:r>
      <w:rPr>
        <w:rStyle w:val="PageNumber"/>
        <w:lang w:val="en-GB"/>
      </w:rPr>
      <w:fldChar w:fldCharType="begin"/>
    </w:r>
    <w:r>
      <w:rPr>
        <w:rStyle w:val="PageNumber"/>
        <w:lang w:val="en-GB"/>
      </w:rPr>
      <w:instrText xml:space="preserve"> PAGE </w:instrText>
    </w:r>
    <w:r>
      <w:rPr>
        <w:rStyle w:val="PageNumber"/>
        <w:lang w:val="en-GB"/>
      </w:rPr>
      <w:fldChar w:fldCharType="separate"/>
    </w:r>
    <w:r>
      <w:rPr>
        <w:rStyle w:val="PageNumber"/>
        <w:lang w:val="en-GB"/>
      </w:rPr>
      <w:t>1</w:t>
    </w:r>
    <w:r>
      <w:rPr>
        <w:rStyle w:val="PageNumber"/>
        <w:lang w:val="en-GB"/>
      </w:rPr>
      <w:fldChar w:fldCharType="end"/>
    </w:r>
    <w:r>
      <w:rPr>
        <w:rStyle w:val="PageNumber"/>
        <w:lang w:val="en-GB"/>
      </w:rPr>
      <w:t xml:space="preserve"> of </w:t>
    </w:r>
    <w:r>
      <w:rPr>
        <w:rStyle w:val="PageNumber"/>
        <w:lang w:val="en-GB"/>
      </w:rPr>
      <w:fldChar w:fldCharType="begin"/>
    </w:r>
    <w:r>
      <w:rPr>
        <w:rStyle w:val="PageNumber"/>
        <w:lang w:val="en-GB"/>
      </w:rPr>
      <w:instrText xml:space="preserve"> NUMPAGES \* ARABIC </w:instrText>
    </w:r>
    <w:r>
      <w:rPr>
        <w:rStyle w:val="PageNumber"/>
        <w:lang w:val="en-GB"/>
      </w:rPr>
      <w:fldChar w:fldCharType="separate"/>
    </w:r>
    <w:r>
      <w:rPr>
        <w:rStyle w:val="PageNumber"/>
        <w:lang w:val="en-GB"/>
      </w:rPr>
      <w:t>70</w:t>
    </w:r>
    <w:r>
      <w:rPr>
        <w:rStyle w:val="PageNumber"/>
        <w:lang w:val="en-GB"/>
      </w:rPr>
      <w:fldChar w:fldCharType="end"/>
    </w:r>
    <w:r>
      <w:rPr>
        <w:rStyle w:val="PageNumber"/>
        <w:lang w:val="en-GB"/>
      </w:rPr>
      <w:br/>
      <w:tab/>
    </w:r>
    <w:r>
      <w:rPr>
        <w:rStyle w:val="PageNumber"/>
        <w:b/>
        <w:bCs/>
        <w:lang w:val="en-GB"/>
      </w:rPr>
      <w:t>Confidential</w:t>
    </w:r>
  </w:p>
  <w:p>
    <w:pPr>
      <w:pStyle w:val="Footer"/>
      <w:ind w:end="360"/>
      <w:rPr>
        <w:rFonts w:ascii="Arial" w:hAnsi="Arial" w:cs="Arial"/>
        <w:sz w:val="16"/>
        <w:szCs w:val="16"/>
        <w:lang w:val="en-GB"/>
      </w:rPr>
    </w:pPr>
    <w:r>
      <w:rPr>
        <w:rFonts w:cs="Arial" w:ascii="Arial" w:hAnsi="Arial"/>
        <w:sz w:val="16"/>
        <w:szCs w:val="16"/>
        <w:lang w:val="en-GB"/>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938"/>
        <w:tab w:val="left" w:pos="567" w:leader="none"/>
        <w:tab w:val="left" w:pos="1134" w:leader="none"/>
        <w:tab w:val="center" w:pos="3969" w:leader="none"/>
        <w:tab w:val="right" w:pos="8789" w:leader="none"/>
      </w:tabs>
      <w:jc w:val="start"/>
      <w:rPr>
        <w:sz w:val="18"/>
        <w:szCs w:val="18"/>
        <w:lang w:val="en-GB"/>
      </w:rPr>
    </w:pPr>
    <w:r>
      <w:rPr>
        <w:b/>
        <w:bCs/>
        <w:sz w:val="18"/>
        <w:szCs w:val="18"/>
        <w:lang w:val="en-GB"/>
      </w:rPr>
      <w:t>Master Service Agreement</w:t>
      <w:tab/>
      <w:tab/>
      <w:t>MAXIMA</w:t>
    </w:r>
  </w:p>
  <w:p>
    <w:pPr>
      <w:pStyle w:val="Header"/>
      <w:rPr>
        <w:sz w:val="18"/>
        <w:szCs w:val="18"/>
        <w:lang w:val="en-GB"/>
      </w:rPr>
    </w:pPr>
    <w:r>
      <w:rPr>
        <w:sz w:val="18"/>
        <w:szCs w:val="18"/>
        <w:lang w:val="en-GB"/>
      </w:rPr>
    </w:r>
  </w:p>
  <w:p>
    <w:pPr>
      <w:pStyle w:val="Header"/>
      <w:rPr>
        <w:lang w:val="en-GB"/>
      </w:rPr>
    </w:pPr>
    <w:r>
      <w:rPr>
        <w:lang w:val="en-GB"/>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938"/>
        <w:tab w:val="left" w:pos="567" w:leader="none"/>
        <w:tab w:val="left" w:pos="1134" w:leader="none"/>
        <w:tab w:val="center" w:pos="3969" w:leader="none"/>
        <w:tab w:val="right" w:pos="8789" w:leader="none"/>
      </w:tabs>
      <w:jc w:val="start"/>
      <w:rPr>
        <w:b/>
        <w:bCs/>
        <w:sz w:val="18"/>
        <w:szCs w:val="18"/>
        <w:lang w:val="en-GB"/>
      </w:rPr>
    </w:pPr>
    <w:r>
      <w:drawing>
        <wp:anchor behindDoc="1" distT="0" distB="0" distL="114935" distR="114935" simplePos="0" locked="0" layoutInCell="1" allowOverlap="1" relativeHeight="3">
          <wp:simplePos x="0" y="0"/>
          <wp:positionH relativeFrom="column">
            <wp:posOffset>4572000</wp:posOffset>
          </wp:positionH>
          <wp:positionV relativeFrom="paragraph">
            <wp:posOffset>-8255</wp:posOffset>
          </wp:positionV>
          <wp:extent cx="1028700" cy="385445"/>
          <wp:effectExtent l="0" t="0" r="0" b="0"/>
          <wp:wrapNone/>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tab/>
    </w:r>
  </w:p>
  <w:p>
    <w:pPr>
      <w:pStyle w:val="Header"/>
      <w:tabs>
        <w:tab w:val="clear" w:pos="567"/>
        <w:tab w:val="clear" w:pos="1134"/>
        <w:tab w:val="clear" w:pos="3969"/>
        <w:tab w:val="clear" w:pos="7938"/>
        <w:tab w:val="left" w:pos="7371" w:leader="none"/>
      </w:tabs>
      <w:ind w:start="7371" w:end="282"/>
      <w:jc w:val="start"/>
      <w:rPr/>
    </w:pPr>
    <w:r>
      <w:rPr>
        <w:b/>
        <w:bCs/>
        <w:sz w:val="18"/>
        <w:szCs w:val="18"/>
        <w:lang w:val="en-GB"/>
      </w:rPr>
      <w:br/>
      <w:t>MAXIMA</w:t>
      <w:b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1"/>
      <w:numFmt w:val="bullet"/>
      <w:lvlText w:val=""/>
      <w:lvlJc w:val="start"/>
      <w:pPr>
        <w:tabs>
          <w:tab w:val="num" w:pos="1800"/>
        </w:tabs>
        <w:ind w:start="1800" w:hanging="360"/>
      </w:pPr>
      <w:rPr>
        <w:rFonts w:ascii="Symbol" w:hAnsi="Symbol" w:cs="Symbol" w:hint="default"/>
      </w:r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bullet"/>
      <w:lvlText w:val="–"/>
      <w:lvlJc w:val="start"/>
      <w:pPr>
        <w:tabs>
          <w:tab w:val="num" w:pos="851"/>
        </w:tabs>
        <w:ind w:start="851" w:hanging="851"/>
      </w:pPr>
      <w:rPr>
        <w:rFonts w:ascii="Times New Roman" w:hAnsi="Times New Roman" w:cs="Times New Roman" w:hint="default"/>
        <w:sz w:val="16"/>
        <w:szCs w:val="16"/>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decimal"/>
      <w:lvlText w:val="%1."/>
      <w:lvlJc w:val="start"/>
      <w:pPr>
        <w:tabs>
          <w:tab w:val="num" w:pos="851"/>
        </w:tabs>
        <w:ind w:start="851" w:hanging="851"/>
      </w:pPr>
      <w:rPr>
        <w:smallCaps w:val="false"/>
        <w:caps w:val="false"/>
        <w:outline w:val="false"/>
        <w:dstrike w:val="false"/>
        <w:strike w:val="false"/>
        <w:vertAlign w:val="baseline"/>
        <w:position w:val="0"/>
        <w:sz w:val="20"/>
        <w:sz w:val="20"/>
        <w:i w:val="false"/>
        <w:shadow w:val="false"/>
        <w:b/>
        <w:szCs w:val="20"/>
        <w:iCs w:val="false"/>
        <w:bCs/>
        <w:vanish w:val="false"/>
        <w:rFonts w:ascii="Verdana" w:hAnsi="Verdana" w:cs="Verdana"/>
        <w:color w:val="000000"/>
      </w:rPr>
    </w:lvl>
    <w:lvl w:ilvl="1">
      <w:start w:val="1"/>
      <w:numFmt w:val="decimal"/>
      <w:lvlText w:val="%1.%2"/>
      <w:lvlJc w:val="start"/>
      <w:pPr>
        <w:tabs>
          <w:tab w:val="num" w:pos="708"/>
        </w:tabs>
        <w:ind w:start="1560" w:hanging="851"/>
      </w:pPr>
      <w:rPr>
        <w:smallCaps w:val="false"/>
        <w:caps w:val="false"/>
        <w:outline w:val="false"/>
        <w:dstrike w:val="false"/>
        <w:strike w:val="false"/>
        <w:vertAlign w:val="baseline"/>
        <w:position w:val="0"/>
        <w:sz w:val="20"/>
        <w:sz w:val="20"/>
        <w:i w:val="false"/>
        <w:shadow w:val="false"/>
        <w:b/>
        <w:szCs w:val="20"/>
        <w:iCs w:val="false"/>
        <w:bCs/>
        <w:vanish w:val="false"/>
        <w:rFonts w:ascii="Verdana" w:hAnsi="Verdana" w:cs="Verdana"/>
        <w:color w:val="000000"/>
      </w:rPr>
    </w:lvl>
    <w:lvl w:ilvl="2">
      <w:start w:val="1"/>
      <w:numFmt w:val="decimal"/>
      <w:lvlText w:val="%1.%2.%3"/>
      <w:lvlJc w:val="start"/>
      <w:pPr>
        <w:tabs>
          <w:tab w:val="num" w:pos="1985"/>
        </w:tabs>
        <w:ind w:start="1985" w:hanging="1134"/>
      </w:pPr>
      <w:rPr>
        <w:sz w:val="18"/>
        <w:i w:val="false"/>
        <w:b/>
        <w:szCs w:val="18"/>
        <w:iCs w:val="false"/>
        <w:bCs/>
        <w:rFonts w:ascii="Verdana" w:hAnsi="Verdana" w:cs="Verdana"/>
      </w:rPr>
    </w:lvl>
    <w:lvl w:ilvl="3">
      <w:start w:val="1"/>
      <w:numFmt w:val="lowerLetter"/>
      <w:lvlText w:val="(%4)"/>
      <w:lvlJc w:val="start"/>
      <w:pPr>
        <w:tabs>
          <w:tab w:val="num" w:pos="1701"/>
        </w:tabs>
        <w:ind w:start="1701" w:hanging="850"/>
      </w:pPr>
      <w:rPr>
        <w:sz w:val="24"/>
        <w:i w:val="false"/>
        <w:b w:val="false"/>
        <w:szCs w:val="24"/>
        <w:iCs w:val="false"/>
        <w:bCs w:val="false"/>
        <w:rFonts w:ascii="Times New Roman" w:hAnsi="Times New Roman" w:cs="Times New Roman"/>
      </w:rPr>
    </w:lvl>
    <w:lvl w:ilvl="4">
      <w:start w:val="1"/>
      <w:numFmt w:val="lowerRoman"/>
      <w:lvlText w:val="(%5)"/>
      <w:lvlJc w:val="start"/>
      <w:pPr>
        <w:tabs>
          <w:tab w:val="num" w:pos="3686"/>
        </w:tabs>
        <w:ind w:start="3686" w:hanging="851"/>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9">
    <w:lvl w:ilvl="0">
      <w:start w:val="1"/>
      <w:numFmt w:val="bullet"/>
      <w:lvlText w:val=""/>
      <w:lvlJc w:val="start"/>
      <w:pPr>
        <w:tabs>
          <w:tab w:val="num" w:pos="1627"/>
        </w:tabs>
        <w:ind w:start="1627" w:hanging="547"/>
      </w:pPr>
      <w:rPr>
        <w:rFonts w:ascii="Symbol" w:hAnsi="Symbol" w:cs="Symbol" w:hint="default"/>
      </w:rPr>
    </w:lvl>
  </w:abstractNum>
  <w:abstractNum w:abstractNumId="10">
    <w:lvl w:ilvl="0">
      <w:start w:val="5"/>
      <w:numFmt w:val="upperRoman"/>
      <w:suff w:val="nothing"/>
      <w:lvlText w:val="Article %1"/>
      <w:lvlJc w:val="start"/>
      <w:pPr>
        <w:tabs>
          <w:tab w:val="num" w:pos="0"/>
        </w:tabs>
        <w:ind w:start="0" w:hanging="0"/>
      </w:pPr>
      <w:rPr>
        <w:caps/>
        <w:sz w:val="24"/>
        <w:spacing w:val="0"/>
        <w:i w:val="false"/>
        <w:u w:val="none"/>
        <w:b/>
        <w:szCs w:val="24"/>
        <w:iCs w:val="false"/>
        <w:bCs/>
        <w:rFonts w:ascii="Times New Roman" w:hAnsi="Times New Roman" w:cs="Times New Roman"/>
        <w:color w:val="000000"/>
      </w:rPr>
    </w:lvl>
    <w:lvl w:ilvl="1">
      <w:start w:val="1"/>
      <w:isLgl/>
      <w:numFmt w:val="decimal"/>
      <w:suff w:val="nothing"/>
      <w:lvlText w:val="%1.%2"/>
      <w:lvlJc w:val="start"/>
      <w:pPr>
        <w:tabs>
          <w:tab w:val="num" w:pos="0"/>
        </w:tabs>
        <w:ind w:start="720" w:hanging="720"/>
      </w:pPr>
      <w:rPr>
        <w:smallCaps w:val="false"/>
        <w:caps w:val="false"/>
        <w:sz w:val="24"/>
        <w:spacing w:val="0"/>
        <w:i w:val="false"/>
        <w:u w:val="none"/>
        <w:b/>
        <w:szCs w:val="24"/>
        <w:iCs w:val="false"/>
        <w:bCs/>
        <w:rFonts w:ascii="Times New Roman" w:hAnsi="Times New Roman" w:cs="Times New Roman"/>
        <w:color w:val="000000"/>
      </w:rPr>
    </w:lvl>
    <w:lvl w:ilvl="2">
      <w:start w:val="1"/>
      <w:numFmt w:val="lowerLetter"/>
      <w:suff w:val="nothing"/>
      <w:lvlText w:val="(%3)"/>
      <w:lvlJc w:val="start"/>
      <w:pPr>
        <w:tabs>
          <w:tab w:val="num" w:pos="0"/>
        </w:tabs>
        <w:ind w:start="1713" w:hanging="720"/>
      </w:pPr>
      <w:rPr>
        <w:sz w:val="20"/>
        <w:spacing w:val="0"/>
        <w:szCs w:val="20"/>
        <w:rFonts w:ascii="Verdana" w:hAnsi="Verdana" w:cs="Times New Roman"/>
      </w:rPr>
    </w:lvl>
    <w:lvl w:ilvl="3">
      <w:start w:val="1"/>
      <w:numFmt w:val="lowerRoman"/>
      <w:suff w:val="nothing"/>
      <w:lvlText w:val="(%4)"/>
      <w:lvlJc w:val="start"/>
      <w:pPr>
        <w:tabs>
          <w:tab w:val="num" w:pos="0"/>
        </w:tabs>
        <w:ind w:start="2160" w:hanging="720"/>
      </w:pPr>
    </w:lvl>
    <w:lvl w:ilvl="4">
      <w:start w:val="1"/>
      <w:numFmt w:val="decimal"/>
      <w:lvlText w:val="%5)"/>
      <w:lvlJc w:val="start"/>
      <w:pPr>
        <w:tabs>
          <w:tab w:val="num" w:pos="1008"/>
        </w:tabs>
        <w:ind w:start="1008" w:hanging="432"/>
      </w:pPr>
    </w:lvl>
    <w:lvl w:ilvl="5">
      <w:start w:val="1"/>
      <w:numFmt w:val="lowerLetter"/>
      <w:lvlText w:val="%6)"/>
      <w:lvlJc w:val="start"/>
      <w:pPr>
        <w:tabs>
          <w:tab w:val="num" w:pos="1152"/>
        </w:tabs>
        <w:ind w:start="1152" w:hanging="432"/>
      </w:pPr>
    </w:lvl>
    <w:lvl w:ilvl="6">
      <w:start w:val="1"/>
      <w:numFmt w:val="lowerRoman"/>
      <w:lvlText w:val="%7)"/>
      <w:lvlJc w:val="end"/>
      <w:pPr>
        <w:tabs>
          <w:tab w:val="num" w:pos="1296"/>
        </w:tabs>
        <w:ind w:start="1296" w:hanging="288"/>
      </w:pPr>
    </w:lvl>
    <w:lvl w:ilvl="7">
      <w:start w:val="1"/>
      <w:numFmt w:val="lowerLetter"/>
      <w:lvlText w:val="%8."/>
      <w:lvlJc w:val="start"/>
      <w:pPr>
        <w:tabs>
          <w:tab w:val="num" w:pos="1440"/>
        </w:tabs>
        <w:ind w:start="1440" w:hanging="432"/>
      </w:pPr>
    </w:lvl>
    <w:lvl w:ilvl="8">
      <w:start w:val="1"/>
      <w:numFmt w:val="lowerRoman"/>
      <w:lvlText w:val="%9."/>
      <w:lvlJc w:val="end"/>
      <w:pPr>
        <w:tabs>
          <w:tab w:val="num" w:pos="1584"/>
        </w:tabs>
        <w:ind w:start="1584" w:hanging="144"/>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tabs>
        <w:tab w:val="clear" w:pos="708"/>
        <w:tab w:val="left" w:pos="567" w:leader="none"/>
        <w:tab w:val="left" w:pos="1134" w:leader="none"/>
        <w:tab w:val="right" w:pos="7938" w:leader="none"/>
      </w:tabs>
      <w:suppressAutoHyphens w:val="false"/>
      <w:bidi w:val="0"/>
      <w:spacing w:lineRule="atLeast" w:line="360" w:before="120" w:after="120"/>
      <w:jc w:val="both"/>
    </w:pPr>
    <w:rPr>
      <w:rFonts w:ascii="Verdana" w:hAnsi="Verdana" w:eastAsia="Times New Roman" w:cs="Verdana"/>
      <w:color w:val="auto"/>
      <w:sz w:val="20"/>
      <w:szCs w:val="20"/>
      <w:lang w:val="de-CH" w:bidi="ar-SA" w:eastAsia="zh-CN"/>
    </w:rPr>
  </w:style>
  <w:style w:type="paragraph" w:styleId="Heading1">
    <w:name w:val="heading 1"/>
    <w:basedOn w:val="Normal"/>
    <w:next w:val="Normal"/>
    <w:qFormat/>
    <w:pPr>
      <w:keepNext w:val="true"/>
      <w:numPr>
        <w:ilvl w:val="0"/>
        <w:numId w:val="8"/>
      </w:numPr>
      <w:spacing w:before="480" w:after="240"/>
      <w:outlineLvl w:val="0"/>
    </w:pPr>
    <w:rPr>
      <w:b/>
      <w:bCs/>
      <w:caps/>
      <w:spacing w:val="40"/>
    </w:rPr>
  </w:style>
  <w:style w:type="paragraph" w:styleId="Heading2">
    <w:name w:val="heading 2"/>
    <w:basedOn w:val="Heading1"/>
    <w:next w:val="Normal"/>
    <w:qFormat/>
    <w:pPr>
      <w:numPr>
        <w:ilvl w:val="0"/>
        <w:numId w:val="8"/>
      </w:numPr>
      <w:spacing w:before="240" w:after="180"/>
      <w:outlineLvl w:val="1"/>
    </w:pPr>
    <w:rPr>
      <w:caps w:val="false"/>
      <w:smallCaps w:val="false"/>
      <w:spacing w:val="20"/>
    </w:rPr>
  </w:style>
  <w:style w:type="paragraph" w:styleId="Heading3">
    <w:name w:val="heading 3"/>
    <w:basedOn w:val="Heading2"/>
    <w:next w:val="Normal"/>
    <w:qFormat/>
    <w:pPr>
      <w:numPr>
        <w:ilvl w:val="0"/>
        <w:numId w:val="8"/>
      </w:numPr>
      <w:spacing w:before="240" w:after="120"/>
      <w:outlineLvl w:val="2"/>
    </w:pPr>
    <w:rPr>
      <w:spacing w:val="10"/>
      <w:sz w:val="18"/>
      <w:szCs w:val="18"/>
    </w:rPr>
  </w:style>
  <w:style w:type="paragraph" w:styleId="Heading4">
    <w:name w:val="heading 4"/>
    <w:basedOn w:val="Heading3"/>
    <w:next w:val="Normal"/>
    <w:qFormat/>
    <w:pPr>
      <w:numPr>
        <w:ilvl w:val="0"/>
        <w:numId w:val="8"/>
      </w:numPr>
      <w:tabs>
        <w:tab w:val="left" w:pos="567" w:leader="none"/>
        <w:tab w:val="left" w:pos="1134" w:leader="none"/>
        <w:tab w:val="left" w:pos="2880" w:leader="none"/>
        <w:tab w:val="right" w:pos="7938" w:leader="none"/>
      </w:tabs>
      <w:outlineLvl w:val="3"/>
    </w:pPr>
    <w:rPr>
      <w:i/>
      <w:iCs/>
      <w:spacing w:val="0"/>
    </w:rPr>
  </w:style>
  <w:style w:type="paragraph" w:styleId="Heading5">
    <w:name w:val="heading 5"/>
    <w:basedOn w:val="Heading4"/>
    <w:next w:val="Normal"/>
    <w:qFormat/>
    <w:pPr>
      <w:numPr>
        <w:ilvl w:val="0"/>
        <w:numId w:val="8"/>
      </w:numPr>
      <w:tabs>
        <w:tab w:val="left" w:pos="567" w:leader="none"/>
        <w:tab w:val="left" w:pos="1134" w:leader="none"/>
        <w:tab w:val="left" w:pos="2880" w:leader="none"/>
        <w:tab w:val="left" w:pos="3600" w:leader="none"/>
        <w:tab w:val="right" w:pos="7938" w:leader="none"/>
      </w:tabs>
      <w:spacing w:before="180" w:after="120"/>
      <w:outlineLvl w:val="4"/>
    </w:pPr>
    <w:rPr>
      <w:u w:val="single"/>
    </w:rPr>
  </w:style>
  <w:style w:type="paragraph" w:styleId="Heading6">
    <w:name w:val="heading 6"/>
    <w:basedOn w:val="Heading5"/>
    <w:next w:val="Normal"/>
    <w:qFormat/>
    <w:pPr>
      <w:numPr>
        <w:ilvl w:val="0"/>
        <w:numId w:val="8"/>
      </w:numPr>
      <w:spacing w:lineRule="atLeast" w:line="240" w:before="120" w:after="120"/>
      <w:outlineLvl w:val="5"/>
    </w:pPr>
    <w:rPr>
      <w:spacing w:val="10"/>
      <w:u w:val="none"/>
    </w:rPr>
  </w:style>
  <w:style w:type="paragraph" w:styleId="Heading7">
    <w:name w:val="heading 7"/>
    <w:basedOn w:val="Heading6"/>
    <w:next w:val="Normal"/>
    <w:qFormat/>
    <w:pPr>
      <w:numPr>
        <w:ilvl w:val="0"/>
        <w:numId w:val="8"/>
      </w:numPr>
      <w:outlineLvl w:val="6"/>
    </w:pPr>
    <w:rPr>
      <w:b w:val="false"/>
      <w:bCs w:val="false"/>
      <w:spacing w:val="0"/>
      <w:u w:val="single"/>
    </w:rPr>
  </w:style>
  <w:style w:type="paragraph" w:styleId="Heading8">
    <w:name w:val="heading 8"/>
    <w:basedOn w:val="Heading7"/>
    <w:next w:val="Normal"/>
    <w:qFormat/>
    <w:pPr>
      <w:numPr>
        <w:ilvl w:val="0"/>
        <w:numId w:val="8"/>
      </w:numPr>
      <w:outlineLvl w:val="7"/>
    </w:pPr>
    <w:rPr>
      <w:i w:val="false"/>
      <w:iCs w:val="false"/>
    </w:rPr>
  </w:style>
  <w:style w:type="paragraph" w:styleId="Heading9">
    <w:name w:val="heading 9"/>
    <w:basedOn w:val="Normal"/>
    <w:next w:val="Normal"/>
    <w:qFormat/>
    <w:pPr>
      <w:numPr>
        <w:ilvl w:val="8"/>
        <w:numId w:val="1"/>
      </w:numPr>
      <w:tabs>
        <w:tab w:val="clear" w:pos="567"/>
        <w:tab w:val="clear" w:pos="1134"/>
        <w:tab w:val="clear" w:pos="7938"/>
      </w:tabs>
      <w:spacing w:lineRule="auto" w:line="240" w:before="240" w:after="60"/>
      <w:ind w:hanging="708" w:start="6372" w:end="0"/>
      <w:jc w:val="start"/>
      <w:outlineLvl w:val="8"/>
    </w:pPr>
    <w:rPr>
      <w:rFonts w:ascii="Arial" w:hAnsi="Arial" w:cs="Arial"/>
      <w:i/>
      <w:iCs/>
      <w:sz w:val="18"/>
      <w:szCs w:val="18"/>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b w:val="false"/>
      <w:bCs w:val="false"/>
      <w:i w:val="false"/>
      <w:iCs w:val="false"/>
      <w:color w:val="000000"/>
      <w:sz w:val="22"/>
      <w:szCs w:val="22"/>
    </w:rPr>
  </w:style>
  <w:style w:type="character" w:styleId="WW8Num3z1">
    <w:name w:val="WW8Num3z1"/>
    <w:qFormat/>
    <w:rPr>
      <w:rFonts w:ascii="Times New Roman" w:hAnsi="Times New Roman" w:cs="Times New Roman"/>
      <w:b w:val="false"/>
      <w:bCs w:val="false"/>
      <w:i w:val="false"/>
      <w:iCs w:val="false"/>
      <w:sz w:val="22"/>
      <w:szCs w:val="22"/>
    </w:rPr>
  </w:style>
  <w:style w:type="character" w:styleId="WW8Num3z4">
    <w:name w:val="WW8Num3z4"/>
    <w:qFormat/>
    <w:rPr/>
  </w:style>
  <w:style w:type="character" w:styleId="WW8Num4z0">
    <w:name w:val="WW8Num4z0"/>
    <w:qFormat/>
    <w:rPr>
      <w:rFonts w:ascii="Times New Roman" w:hAnsi="Times New Roman" w:cs="Times New Roman"/>
      <w:b w:val="false"/>
      <w:bCs w:val="false"/>
      <w:i w:val="false"/>
      <w:iCs w:val="false"/>
      <w:color w:val="000000"/>
      <w:sz w:val="22"/>
      <w:szCs w:val="22"/>
    </w:rPr>
  </w:style>
  <w:style w:type="character" w:styleId="WW8Num4z1">
    <w:name w:val="WW8Num4z1"/>
    <w:qFormat/>
    <w:rPr>
      <w:rFonts w:ascii="Times New Roman" w:hAnsi="Times New Roman" w:cs="Times New Roman"/>
      <w:b w:val="false"/>
      <w:bCs w:val="false"/>
      <w:i w:val="false"/>
      <w:iCs w:val="false"/>
      <w:sz w:val="22"/>
      <w:szCs w:val="22"/>
    </w:rPr>
  </w:style>
  <w:style w:type="character" w:styleId="WW8Num4z4">
    <w:name w:val="WW8Num4z4"/>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Times New Roman" w:hAnsi="Times New Roman" w:cs="Times New Roman"/>
      <w:b w:val="false"/>
      <w:bCs w:val="false"/>
      <w:i w:val="false"/>
      <w:iCs w:val="false"/>
      <w:color w:val="000000"/>
      <w:sz w:val="22"/>
      <w:szCs w:val="22"/>
    </w:rPr>
  </w:style>
  <w:style w:type="character" w:styleId="WW8Num7z1">
    <w:name w:val="WW8Num7z1"/>
    <w:qFormat/>
    <w:rPr>
      <w:rFonts w:ascii="Times New Roman" w:hAnsi="Times New Roman" w:cs="Times New Roman"/>
      <w:b w:val="false"/>
      <w:bCs w:val="false"/>
      <w:i w:val="false"/>
      <w:iCs w:val="false"/>
      <w:sz w:val="22"/>
      <w:szCs w:val="22"/>
    </w:rPr>
  </w:style>
  <w:style w:type="character" w:styleId="WW8Num7z4">
    <w:name w:val="WW8Num7z4"/>
    <w:qFormat/>
    <w:rPr/>
  </w:style>
  <w:style w:type="character" w:styleId="WW8Num8z0">
    <w:name w:val="WW8Num8z0"/>
    <w:qFormat/>
    <w:rPr>
      <w:rFonts w:ascii="Times New Roman" w:hAnsi="Times New Roman" w:cs="Times New Roman"/>
      <w:b w:val="false"/>
      <w:bCs w:val="false"/>
      <w:i w:val="false"/>
      <w:iCs w:val="false"/>
      <w:color w:val="000000"/>
      <w:sz w:val="22"/>
      <w:szCs w:val="22"/>
    </w:rPr>
  </w:style>
  <w:style w:type="character" w:styleId="WW8Num8z1">
    <w:name w:val="WW8Num8z1"/>
    <w:qFormat/>
    <w:rPr>
      <w:rFonts w:ascii="Times New Roman" w:hAnsi="Times New Roman" w:cs="Times New Roman"/>
      <w:b w:val="false"/>
      <w:bCs w:val="false"/>
      <w:i w:val="false"/>
      <w:iCs w:val="false"/>
      <w:sz w:val="22"/>
      <w:szCs w:val="22"/>
    </w:rPr>
  </w:style>
  <w:style w:type="character" w:styleId="WW8Num8z4">
    <w:name w:val="WW8Num8z4"/>
    <w:qFormat/>
    <w:rPr/>
  </w:style>
  <w:style w:type="character" w:styleId="WW8Num9z0">
    <w:name w:val="WW8Num9z0"/>
    <w:qFormat/>
    <w:rPr>
      <w:rFonts w:ascii="Times New Roman" w:hAnsi="Times New Roman" w:cs="Times New Roman"/>
      <w:sz w:val="16"/>
      <w:szCs w:val="16"/>
    </w:rPr>
  </w:style>
  <w:style w:type="character" w:styleId="WW8Num10z0">
    <w:name w:val="WW8Num10z0"/>
    <w:qFormat/>
    <w:rPr>
      <w:rFonts w:ascii="Times New Roman" w:hAnsi="Times New Roman" w:cs="Times New Roman"/>
      <w:b w:val="false"/>
      <w:bCs w:val="false"/>
      <w:i w:val="false"/>
      <w:iCs w:val="false"/>
      <w:color w:val="000000"/>
      <w:sz w:val="22"/>
      <w:szCs w:val="22"/>
    </w:rPr>
  </w:style>
  <w:style w:type="character" w:styleId="WW8Num10z1">
    <w:name w:val="WW8Num10z1"/>
    <w:qFormat/>
    <w:rPr>
      <w:rFonts w:ascii="Times New Roman" w:hAnsi="Times New Roman" w:cs="Times New Roman"/>
      <w:b w:val="false"/>
      <w:bCs w:val="false"/>
      <w:i w:val="false"/>
      <w:iCs w:val="false"/>
      <w:sz w:val="22"/>
      <w:szCs w:val="22"/>
    </w:rPr>
  </w:style>
  <w:style w:type="character" w:styleId="WW8Num10z4">
    <w:name w:val="WW8Num10z4"/>
    <w:qFormat/>
    <w:rPr/>
  </w:style>
  <w:style w:type="character" w:styleId="WW8Num11z0">
    <w:name w:val="WW8Num11z0"/>
    <w:qFormat/>
    <w:rPr>
      <w:rFonts w:ascii="Times New Roman" w:hAnsi="Times New Roman" w:cs="Times New Roman"/>
      <w:b w:val="false"/>
      <w:bCs w:val="false"/>
      <w:i w:val="false"/>
      <w:iCs w:val="false"/>
      <w:color w:val="000000"/>
      <w:sz w:val="22"/>
      <w:szCs w:val="22"/>
    </w:rPr>
  </w:style>
  <w:style w:type="character" w:styleId="WW8Num11z1">
    <w:name w:val="WW8Num11z1"/>
    <w:qFormat/>
    <w:rPr>
      <w:rFonts w:ascii="Times New Roman" w:hAnsi="Times New Roman" w:cs="Times New Roman"/>
      <w:b w:val="false"/>
      <w:bCs w:val="false"/>
      <w:i w:val="false"/>
      <w:iCs w:val="false"/>
      <w:sz w:val="22"/>
      <w:szCs w:val="22"/>
    </w:rPr>
  </w:style>
  <w:style w:type="character" w:styleId="WW8Num11z4">
    <w:name w:val="WW8Num11z4"/>
    <w:qFormat/>
    <w:rPr/>
  </w:style>
  <w:style w:type="character" w:styleId="WW8Num12z0">
    <w:name w:val="WW8Num12z0"/>
    <w:qFormat/>
    <w:rPr>
      <w:rFonts w:ascii="Times New Roman" w:hAnsi="Times New Roman" w:cs="Times New Roman"/>
      <w:b w:val="false"/>
      <w:bCs w:val="false"/>
      <w:i w:val="false"/>
      <w:iCs w:val="false"/>
      <w:color w:val="000000"/>
      <w:sz w:val="22"/>
      <w:szCs w:val="22"/>
    </w:rPr>
  </w:style>
  <w:style w:type="character" w:styleId="WW8Num12z1">
    <w:name w:val="WW8Num12z1"/>
    <w:qFormat/>
    <w:rPr>
      <w:rFonts w:ascii="Times New Roman" w:hAnsi="Times New Roman" w:cs="Times New Roman"/>
      <w:b w:val="false"/>
      <w:bCs w:val="false"/>
      <w:i w:val="false"/>
      <w:iCs w:val="false"/>
      <w:sz w:val="22"/>
      <w:szCs w:val="22"/>
    </w:rPr>
  </w:style>
  <w:style w:type="character" w:styleId="WW8Num12z4">
    <w:name w:val="WW8Num12z4"/>
    <w:qFormat/>
    <w:rPr/>
  </w:style>
  <w:style w:type="character" w:styleId="WW8Num13z0">
    <w:name w:val="WW8Num13z0"/>
    <w:qFormat/>
    <w:rPr>
      <w:rFonts w:ascii="Times New Roman" w:hAnsi="Times New Roman" w:cs="Times New Roman"/>
      <w:b w:val="false"/>
      <w:bCs w:val="false"/>
      <w:i w:val="false"/>
      <w:iCs w:val="false"/>
      <w:color w:val="000000"/>
      <w:sz w:val="22"/>
      <w:szCs w:val="22"/>
    </w:rPr>
  </w:style>
  <w:style w:type="character" w:styleId="WW8Num13z1">
    <w:name w:val="WW8Num13z1"/>
    <w:qFormat/>
    <w:rPr>
      <w:rFonts w:ascii="Times New Roman" w:hAnsi="Times New Roman" w:cs="Times New Roman"/>
      <w:b w:val="false"/>
      <w:bCs w:val="false"/>
      <w:i w:val="false"/>
      <w:iCs w:val="false"/>
      <w:sz w:val="22"/>
      <w:szCs w:val="22"/>
    </w:rPr>
  </w:style>
  <w:style w:type="character" w:styleId="WW8Num13z4">
    <w:name w:val="WW8Num13z4"/>
    <w:qFormat/>
    <w:rPr/>
  </w:style>
  <w:style w:type="character" w:styleId="WW8Num14z0">
    <w:name w:val="WW8Num14z0"/>
    <w:qFormat/>
    <w:rPr>
      <w:rFonts w:ascii="Times New Roman" w:hAnsi="Times New Roman" w:cs="Times New Roman"/>
      <w:b w:val="false"/>
      <w:bCs w:val="false"/>
      <w:i w:val="false"/>
      <w:iCs w:val="false"/>
      <w:color w:val="000000"/>
      <w:sz w:val="22"/>
      <w:szCs w:val="22"/>
    </w:rPr>
  </w:style>
  <w:style w:type="character" w:styleId="WW8Num14z1">
    <w:name w:val="WW8Num14z1"/>
    <w:qFormat/>
    <w:rPr>
      <w:rFonts w:ascii="Times New Roman" w:hAnsi="Times New Roman" w:cs="Times New Roman"/>
      <w:b w:val="false"/>
      <w:bCs w:val="false"/>
      <w:i w:val="false"/>
      <w:iCs w:val="false"/>
      <w:sz w:val="22"/>
      <w:szCs w:val="22"/>
    </w:rPr>
  </w:style>
  <w:style w:type="character" w:styleId="WW8Num14z4">
    <w:name w:val="WW8Num14z4"/>
    <w:qFormat/>
    <w:rPr/>
  </w:style>
  <w:style w:type="character" w:styleId="WW8Num15z0">
    <w:name w:val="WW8Num15z0"/>
    <w:qFormat/>
    <w:rPr>
      <w:rFonts w:ascii="Times New Roman" w:hAnsi="Times New Roman" w:cs="Times New Roman"/>
      <w:b w:val="false"/>
      <w:bCs w:val="false"/>
      <w:i w:val="false"/>
      <w:iCs w:val="false"/>
      <w:color w:val="000000"/>
      <w:sz w:val="22"/>
      <w:szCs w:val="22"/>
    </w:rPr>
  </w:style>
  <w:style w:type="character" w:styleId="WW8Num15z1">
    <w:name w:val="WW8Num15z1"/>
    <w:qFormat/>
    <w:rPr>
      <w:rFonts w:ascii="Times New Roman" w:hAnsi="Times New Roman" w:cs="Times New Roman"/>
      <w:b w:val="false"/>
      <w:bCs w:val="false"/>
      <w:i w:val="false"/>
      <w:iCs w:val="false"/>
      <w:sz w:val="22"/>
      <w:szCs w:val="22"/>
    </w:rPr>
  </w:style>
  <w:style w:type="character" w:styleId="WW8Num15z4">
    <w:name w:val="WW8Num15z4"/>
    <w:qFormat/>
    <w:rPr/>
  </w:style>
  <w:style w:type="character" w:styleId="WW8Num16z0">
    <w:name w:val="WW8Num16z0"/>
    <w:qFormat/>
    <w:rPr>
      <w:rFonts w:ascii="Times New Roman" w:hAnsi="Times New Roman" w:cs="Times New Roman"/>
      <w:b w:val="false"/>
      <w:bCs w:val="false"/>
      <w:i w:val="false"/>
      <w:iCs w:val="false"/>
      <w:color w:val="000000"/>
      <w:sz w:val="22"/>
      <w:szCs w:val="22"/>
    </w:rPr>
  </w:style>
  <w:style w:type="character" w:styleId="WW8Num16z1">
    <w:name w:val="WW8Num16z1"/>
    <w:qFormat/>
    <w:rPr>
      <w:rFonts w:ascii="Times New Roman" w:hAnsi="Times New Roman" w:cs="Times New Roman"/>
      <w:b w:val="false"/>
      <w:bCs w:val="false"/>
      <w:i w:val="false"/>
      <w:iCs w:val="false"/>
      <w:sz w:val="22"/>
      <w:szCs w:val="22"/>
    </w:rPr>
  </w:style>
  <w:style w:type="character" w:styleId="WW8Num16z4">
    <w:name w:val="WW8Num16z4"/>
    <w:qFormat/>
    <w:rPr/>
  </w:style>
  <w:style w:type="character" w:styleId="WW8Num17z0">
    <w:name w:val="WW8Num17z0"/>
    <w:qFormat/>
    <w:rPr>
      <w:rFonts w:ascii="Times New Roman" w:hAnsi="Times New Roman" w:cs="Times New Roman"/>
      <w:b w:val="false"/>
      <w:bCs w:val="false"/>
      <w:i w:val="false"/>
      <w:iCs w:val="false"/>
      <w:color w:val="000000"/>
      <w:sz w:val="22"/>
      <w:szCs w:val="22"/>
    </w:rPr>
  </w:style>
  <w:style w:type="character" w:styleId="WW8Num17z1">
    <w:name w:val="WW8Num17z1"/>
    <w:qFormat/>
    <w:rPr>
      <w:rFonts w:ascii="Times New Roman" w:hAnsi="Times New Roman" w:cs="Times New Roman"/>
      <w:b w:val="false"/>
      <w:bCs w:val="false"/>
      <w:i w:val="false"/>
      <w:iCs w:val="false"/>
      <w:sz w:val="22"/>
      <w:szCs w:val="22"/>
    </w:rPr>
  </w:style>
  <w:style w:type="character" w:styleId="WW8Num17z4">
    <w:name w:val="WW8Num17z4"/>
    <w:qFormat/>
    <w:rPr/>
  </w:style>
  <w:style w:type="character" w:styleId="WW8Num18z0">
    <w:name w:val="WW8Num18z0"/>
    <w:qFormat/>
    <w:rPr>
      <w:rFonts w:ascii="Times New Roman" w:hAnsi="Times New Roman" w:cs="Times New Roman"/>
      <w:b w:val="false"/>
      <w:bCs w:val="false"/>
      <w:i w:val="false"/>
      <w:iCs w:val="false"/>
      <w:color w:val="000000"/>
      <w:sz w:val="22"/>
      <w:szCs w:val="22"/>
    </w:rPr>
  </w:style>
  <w:style w:type="character" w:styleId="WW8Num18z1">
    <w:name w:val="WW8Num18z1"/>
    <w:qFormat/>
    <w:rPr>
      <w:rFonts w:ascii="Times New Roman" w:hAnsi="Times New Roman" w:cs="Times New Roman"/>
      <w:b w:val="false"/>
      <w:bCs w:val="false"/>
      <w:i w:val="false"/>
      <w:iCs w:val="false"/>
      <w:sz w:val="22"/>
      <w:szCs w:val="22"/>
    </w:rPr>
  </w:style>
  <w:style w:type="character" w:styleId="WW8Num18z4">
    <w:name w:val="WW8Num18z4"/>
    <w:qFormat/>
    <w:rPr/>
  </w:style>
  <w:style w:type="character" w:styleId="WW8Num19z0">
    <w:name w:val="WW8Num19z0"/>
    <w:qFormat/>
    <w:rPr>
      <w:rFonts w:ascii="Times New Roman" w:hAnsi="Times New Roman" w:cs="Times New Roman"/>
      <w:b w:val="false"/>
      <w:bCs w:val="false"/>
      <w:i w:val="false"/>
      <w:iCs w:val="false"/>
      <w:color w:val="000000"/>
      <w:sz w:val="22"/>
      <w:szCs w:val="22"/>
    </w:rPr>
  </w:style>
  <w:style w:type="character" w:styleId="WW8Num19z1">
    <w:name w:val="WW8Num19z1"/>
    <w:qFormat/>
    <w:rPr>
      <w:rFonts w:ascii="Times New Roman" w:hAnsi="Times New Roman" w:cs="Times New Roman"/>
      <w:b w:val="false"/>
      <w:bCs w:val="false"/>
      <w:i w:val="false"/>
      <w:iCs w:val="false"/>
      <w:sz w:val="22"/>
      <w:szCs w:val="22"/>
    </w:rPr>
  </w:style>
  <w:style w:type="character" w:styleId="WW8Num19z4">
    <w:name w:val="WW8Num19z4"/>
    <w:qFormat/>
    <w:rPr/>
  </w:style>
  <w:style w:type="character" w:styleId="WW8Num20z0">
    <w:name w:val="WW8Num20z0"/>
    <w:qFormat/>
    <w:rPr>
      <w:rFonts w:ascii="Times New Roman" w:hAnsi="Times New Roman" w:cs="Times New Roman"/>
      <w:b w:val="false"/>
      <w:bCs w:val="false"/>
      <w:i w:val="false"/>
      <w:iCs w:val="false"/>
      <w:color w:val="000000"/>
      <w:sz w:val="22"/>
      <w:szCs w:val="22"/>
    </w:rPr>
  </w:style>
  <w:style w:type="character" w:styleId="WW8Num20z1">
    <w:name w:val="WW8Num20z1"/>
    <w:qFormat/>
    <w:rPr>
      <w:rFonts w:ascii="Times New Roman" w:hAnsi="Times New Roman" w:cs="Times New Roman"/>
      <w:b w:val="false"/>
      <w:bCs w:val="false"/>
      <w:i w:val="false"/>
      <w:iCs w:val="false"/>
      <w:sz w:val="22"/>
      <w:szCs w:val="22"/>
    </w:rPr>
  </w:style>
  <w:style w:type="character" w:styleId="WW8Num20z4">
    <w:name w:val="WW8Num20z4"/>
    <w:qFormat/>
    <w:rPr/>
  </w:style>
  <w:style w:type="character" w:styleId="WW8Num21z0">
    <w:name w:val="WW8Num21z0"/>
    <w:qFormat/>
    <w:rPr>
      <w:rFonts w:ascii="Times New Roman" w:hAnsi="Times New Roman" w:cs="Times New Roman"/>
      <w:b w:val="false"/>
      <w:bCs w:val="false"/>
      <w:i w:val="false"/>
      <w:iCs w:val="false"/>
      <w:color w:val="000000"/>
      <w:sz w:val="22"/>
      <w:szCs w:val="22"/>
    </w:rPr>
  </w:style>
  <w:style w:type="character" w:styleId="WW8Num21z1">
    <w:name w:val="WW8Num21z1"/>
    <w:qFormat/>
    <w:rPr>
      <w:rFonts w:ascii="Times New Roman" w:hAnsi="Times New Roman" w:cs="Times New Roman"/>
      <w:b w:val="false"/>
      <w:bCs w:val="false"/>
      <w:i w:val="false"/>
      <w:iCs w:val="false"/>
      <w:sz w:val="22"/>
      <w:szCs w:val="22"/>
    </w:rPr>
  </w:style>
  <w:style w:type="character" w:styleId="WW8Num21z4">
    <w:name w:val="WW8Num21z4"/>
    <w:qFormat/>
    <w:rPr/>
  </w:style>
  <w:style w:type="character" w:styleId="WW8Num22z0">
    <w:name w:val="WW8Num22z0"/>
    <w:qFormat/>
    <w:rPr>
      <w:rFonts w:ascii="Times New Roman" w:hAnsi="Times New Roman" w:cs="Times New Roman"/>
      <w:b w:val="false"/>
      <w:bCs w:val="false"/>
      <w:i w:val="false"/>
      <w:iCs w:val="false"/>
      <w:color w:val="000000"/>
      <w:sz w:val="22"/>
      <w:szCs w:val="22"/>
    </w:rPr>
  </w:style>
  <w:style w:type="character" w:styleId="WW8Num22z1">
    <w:name w:val="WW8Num22z1"/>
    <w:qFormat/>
    <w:rPr>
      <w:rFonts w:ascii="Times New Roman" w:hAnsi="Times New Roman" w:cs="Times New Roman"/>
      <w:b w:val="false"/>
      <w:bCs w:val="false"/>
      <w:i w:val="false"/>
      <w:iCs w:val="false"/>
      <w:sz w:val="22"/>
      <w:szCs w:val="22"/>
    </w:rPr>
  </w:style>
  <w:style w:type="character" w:styleId="WW8Num22z4">
    <w:name w:val="WW8Num22z4"/>
    <w:qFormat/>
    <w:rPr/>
  </w:style>
  <w:style w:type="character" w:styleId="WW8Num23z0">
    <w:name w:val="WW8Num23z0"/>
    <w:qFormat/>
    <w:rPr>
      <w:rFonts w:ascii="Times New Roman" w:hAnsi="Times New Roman" w:cs="Times New Roman"/>
      <w:b w:val="false"/>
      <w:bCs w:val="false"/>
      <w:i w:val="false"/>
      <w:iCs w:val="false"/>
      <w:color w:val="000000"/>
      <w:sz w:val="22"/>
      <w:szCs w:val="22"/>
    </w:rPr>
  </w:style>
  <w:style w:type="character" w:styleId="WW8Num23z1">
    <w:name w:val="WW8Num23z1"/>
    <w:qFormat/>
    <w:rPr>
      <w:rFonts w:ascii="Times New Roman" w:hAnsi="Times New Roman" w:cs="Times New Roman"/>
      <w:b w:val="false"/>
      <w:bCs w:val="false"/>
      <w:i w:val="false"/>
      <w:iCs w:val="false"/>
      <w:sz w:val="22"/>
      <w:szCs w:val="22"/>
    </w:rPr>
  </w:style>
  <w:style w:type="character" w:styleId="WW8Num23z4">
    <w:name w:val="WW8Num23z4"/>
    <w:qFormat/>
    <w:rPr/>
  </w:style>
  <w:style w:type="character" w:styleId="WW8Num24z0">
    <w:name w:val="WW8Num24z0"/>
    <w:qFormat/>
    <w:rPr>
      <w:rFonts w:ascii="Times New Roman" w:hAnsi="Times New Roman" w:cs="Times New Roman"/>
      <w:b w:val="false"/>
      <w:bCs w:val="false"/>
      <w:i w:val="false"/>
      <w:iCs w:val="false"/>
      <w:color w:val="000000"/>
      <w:sz w:val="22"/>
      <w:szCs w:val="22"/>
    </w:rPr>
  </w:style>
  <w:style w:type="character" w:styleId="WW8Num24z1">
    <w:name w:val="WW8Num24z1"/>
    <w:qFormat/>
    <w:rPr>
      <w:rFonts w:ascii="Times New Roman" w:hAnsi="Times New Roman" w:cs="Times New Roman"/>
      <w:b w:val="false"/>
      <w:bCs w:val="false"/>
      <w:i w:val="false"/>
      <w:iCs w:val="false"/>
      <w:sz w:val="22"/>
      <w:szCs w:val="22"/>
    </w:rPr>
  </w:style>
  <w:style w:type="character" w:styleId="WW8Num24z4">
    <w:name w:val="WW8Num24z4"/>
    <w:qFormat/>
    <w:rPr/>
  </w:style>
  <w:style w:type="character" w:styleId="WW8Num25z0">
    <w:name w:val="WW8Num25z0"/>
    <w:qFormat/>
    <w:rPr>
      <w:rFonts w:ascii="Times New Roman" w:hAnsi="Times New Roman" w:cs="Times New Roman"/>
      <w:b w:val="false"/>
      <w:bCs w:val="false"/>
      <w:i w:val="false"/>
      <w:iCs w:val="false"/>
      <w:color w:val="000000"/>
      <w:sz w:val="22"/>
      <w:szCs w:val="22"/>
    </w:rPr>
  </w:style>
  <w:style w:type="character" w:styleId="WW8Num25z1">
    <w:name w:val="WW8Num25z1"/>
    <w:qFormat/>
    <w:rPr>
      <w:rFonts w:ascii="Times New Roman" w:hAnsi="Times New Roman" w:cs="Times New Roman"/>
      <w:b w:val="false"/>
      <w:bCs w:val="false"/>
      <w:i w:val="false"/>
      <w:iCs w:val="false"/>
      <w:sz w:val="22"/>
      <w:szCs w:val="22"/>
    </w:rPr>
  </w:style>
  <w:style w:type="character" w:styleId="WW8Num25z4">
    <w:name w:val="WW8Num25z4"/>
    <w:qFormat/>
    <w:rPr/>
  </w:style>
  <w:style w:type="character" w:styleId="WW8Num26z0">
    <w:name w:val="WW8Num26z0"/>
    <w:qFormat/>
    <w:rPr>
      <w:rFonts w:ascii="Times New Roman" w:hAnsi="Times New Roman" w:cs="Times New Roman"/>
      <w:b w:val="false"/>
      <w:bCs w:val="false"/>
      <w:i w:val="false"/>
      <w:iCs w:val="false"/>
      <w:color w:val="000000"/>
      <w:sz w:val="22"/>
      <w:szCs w:val="22"/>
    </w:rPr>
  </w:style>
  <w:style w:type="character" w:styleId="WW8Num26z1">
    <w:name w:val="WW8Num26z1"/>
    <w:qFormat/>
    <w:rPr>
      <w:rFonts w:ascii="Times New Roman" w:hAnsi="Times New Roman" w:cs="Times New Roman"/>
      <w:b w:val="false"/>
      <w:bCs w:val="false"/>
      <w:i w:val="false"/>
      <w:iCs w:val="false"/>
      <w:sz w:val="22"/>
      <w:szCs w:val="22"/>
    </w:rPr>
  </w:style>
  <w:style w:type="character" w:styleId="WW8Num26z4">
    <w:name w:val="WW8Num26z4"/>
    <w:qFormat/>
    <w:rPr/>
  </w:style>
  <w:style w:type="character" w:styleId="WW8Num27z0">
    <w:name w:val="WW8Num27z0"/>
    <w:qFormat/>
    <w:rPr>
      <w:rFonts w:ascii="Times New Roman" w:hAnsi="Times New Roman" w:cs="Times New Roman"/>
      <w:b w:val="false"/>
      <w:bCs w:val="false"/>
      <w:i w:val="false"/>
      <w:iCs w:val="false"/>
      <w:color w:val="000000"/>
      <w:sz w:val="22"/>
      <w:szCs w:val="22"/>
    </w:rPr>
  </w:style>
  <w:style w:type="character" w:styleId="WW8Num27z1">
    <w:name w:val="WW8Num27z1"/>
    <w:qFormat/>
    <w:rPr>
      <w:rFonts w:ascii="Times New Roman" w:hAnsi="Times New Roman" w:cs="Times New Roman"/>
      <w:b w:val="false"/>
      <w:bCs w:val="false"/>
      <w:i w:val="false"/>
      <w:iCs w:val="false"/>
      <w:sz w:val="22"/>
      <w:szCs w:val="22"/>
    </w:rPr>
  </w:style>
  <w:style w:type="character" w:styleId="WW8Num27z4">
    <w:name w:val="WW8Num27z4"/>
    <w:qFormat/>
    <w:rPr/>
  </w:style>
  <w:style w:type="character" w:styleId="WW8Num28z0">
    <w:name w:val="WW8Num28z0"/>
    <w:qFormat/>
    <w:rPr>
      <w:rFonts w:ascii="Times New Roman" w:hAnsi="Times New Roman" w:cs="Times New Roman"/>
      <w:b w:val="false"/>
      <w:bCs w:val="false"/>
      <w:i w:val="false"/>
      <w:iCs w:val="false"/>
      <w:color w:val="000000"/>
      <w:sz w:val="22"/>
      <w:szCs w:val="22"/>
    </w:rPr>
  </w:style>
  <w:style w:type="character" w:styleId="WW8Num28z1">
    <w:name w:val="WW8Num28z1"/>
    <w:qFormat/>
    <w:rPr>
      <w:rFonts w:ascii="Times New Roman" w:hAnsi="Times New Roman" w:cs="Times New Roman"/>
      <w:b w:val="false"/>
      <w:bCs w:val="false"/>
      <w:i w:val="false"/>
      <w:iCs w:val="false"/>
      <w:sz w:val="22"/>
      <w:szCs w:val="22"/>
    </w:rPr>
  </w:style>
  <w:style w:type="character" w:styleId="WW8Num28z4">
    <w:name w:val="WW8Num28z4"/>
    <w:qFormat/>
    <w:rPr/>
  </w:style>
  <w:style w:type="character" w:styleId="WW8Num29z0">
    <w:name w:val="WW8Num29z0"/>
    <w:qFormat/>
    <w:rPr>
      <w:rFonts w:ascii="Times New Roman" w:hAnsi="Times New Roman" w:cs="Times New Roman"/>
      <w:b w:val="false"/>
      <w:bCs w:val="false"/>
      <w:i w:val="false"/>
      <w:iCs w:val="false"/>
      <w:color w:val="000000"/>
      <w:sz w:val="22"/>
      <w:szCs w:val="22"/>
    </w:rPr>
  </w:style>
  <w:style w:type="character" w:styleId="WW8Num29z1">
    <w:name w:val="WW8Num29z1"/>
    <w:qFormat/>
    <w:rPr>
      <w:rFonts w:ascii="Times New Roman" w:hAnsi="Times New Roman" w:cs="Times New Roman"/>
      <w:b w:val="false"/>
      <w:bCs w:val="false"/>
      <w:i w:val="false"/>
      <w:iCs w:val="false"/>
      <w:sz w:val="22"/>
      <w:szCs w:val="22"/>
    </w:rPr>
  </w:style>
  <w:style w:type="character" w:styleId="WW8Num29z4">
    <w:name w:val="WW8Num29z4"/>
    <w:qFormat/>
    <w:rPr/>
  </w:style>
  <w:style w:type="character" w:styleId="WW8Num30z0">
    <w:name w:val="WW8Num30z0"/>
    <w:qFormat/>
    <w:rPr>
      <w:rFonts w:ascii="Times New Roman" w:hAnsi="Times New Roman" w:cs="Times New Roman"/>
      <w:b w:val="false"/>
      <w:bCs w:val="false"/>
      <w:i w:val="false"/>
      <w:iCs w:val="false"/>
      <w:color w:val="000000"/>
      <w:sz w:val="22"/>
      <w:szCs w:val="22"/>
    </w:rPr>
  </w:style>
  <w:style w:type="character" w:styleId="WW8Num30z1">
    <w:name w:val="WW8Num30z1"/>
    <w:qFormat/>
    <w:rPr>
      <w:rFonts w:ascii="Times New Roman" w:hAnsi="Times New Roman" w:cs="Times New Roman"/>
      <w:b w:val="false"/>
      <w:bCs w:val="false"/>
      <w:i w:val="false"/>
      <w:iCs w:val="false"/>
      <w:sz w:val="22"/>
      <w:szCs w:val="22"/>
    </w:rPr>
  </w:style>
  <w:style w:type="character" w:styleId="WW8Num30z4">
    <w:name w:val="WW8Num30z4"/>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Times New Roman" w:hAnsi="Times New Roman" w:cs="Times New Roman"/>
      <w:b w:val="false"/>
      <w:bCs w:val="false"/>
      <w:i w:val="false"/>
      <w:iCs w:val="false"/>
      <w:color w:val="000000"/>
      <w:sz w:val="22"/>
      <w:szCs w:val="22"/>
    </w:rPr>
  </w:style>
  <w:style w:type="character" w:styleId="WW8Num32z1">
    <w:name w:val="WW8Num32z1"/>
    <w:qFormat/>
    <w:rPr>
      <w:rFonts w:ascii="Times New Roman" w:hAnsi="Times New Roman" w:cs="Times New Roman"/>
      <w:b w:val="false"/>
      <w:bCs w:val="false"/>
      <w:i w:val="false"/>
      <w:iCs w:val="false"/>
      <w:sz w:val="22"/>
      <w:szCs w:val="22"/>
    </w:rPr>
  </w:style>
  <w:style w:type="character" w:styleId="WW8Num32z4">
    <w:name w:val="WW8Num32z4"/>
    <w:qFormat/>
    <w:rPr/>
  </w:style>
  <w:style w:type="character" w:styleId="WW8Num33z0">
    <w:name w:val="WW8Num33z0"/>
    <w:qFormat/>
    <w:rPr>
      <w:rFonts w:ascii="Verdana" w:hAnsi="Verdana" w:cs="Verdana"/>
      <w:b/>
      <w:bCs/>
      <w:i w:val="false"/>
      <w:iCs w:val="false"/>
      <w:caps w:val="false"/>
      <w:smallCaps w:val="false"/>
      <w:strike w:val="false"/>
      <w:dstrike w:val="false"/>
      <w:outline w:val="false"/>
      <w:shadow w:val="false"/>
      <w:vanish w:val="false"/>
      <w:color w:val="000000"/>
      <w:position w:val="0"/>
      <w:sz w:val="20"/>
      <w:sz w:val="20"/>
      <w:szCs w:val="20"/>
      <w:vertAlign w:val="baseline"/>
    </w:rPr>
  </w:style>
  <w:style w:type="character" w:styleId="WW8Num33z2">
    <w:name w:val="WW8Num33z2"/>
    <w:qFormat/>
    <w:rPr>
      <w:rFonts w:ascii="Verdana" w:hAnsi="Verdana" w:cs="Verdana"/>
      <w:b/>
      <w:bCs/>
      <w:i w:val="false"/>
      <w:iCs w:val="false"/>
      <w:sz w:val="18"/>
      <w:szCs w:val="18"/>
    </w:rPr>
  </w:style>
  <w:style w:type="character" w:styleId="WW8Num33z3">
    <w:name w:val="WW8Num33z3"/>
    <w:qFormat/>
    <w:rPr>
      <w:rFonts w:ascii="Times New Roman" w:hAnsi="Times New Roman" w:cs="Times New Roman"/>
      <w:b w:val="false"/>
      <w:bCs w:val="false"/>
      <w:i w:val="false"/>
      <w:iCs w:val="false"/>
      <w:sz w:val="24"/>
      <w:szCs w:val="24"/>
    </w:rPr>
  </w:style>
  <w:style w:type="character" w:styleId="WW8Num33z4">
    <w:name w:val="WW8Num33z4"/>
    <w:qFormat/>
    <w:rPr/>
  </w:style>
  <w:style w:type="character" w:styleId="WW8Num34z0">
    <w:name w:val="WW8Num34z0"/>
    <w:qFormat/>
    <w:rPr>
      <w:rFonts w:ascii="Times New Roman" w:hAnsi="Times New Roman" w:cs="Times New Roman"/>
      <w:b w:val="false"/>
      <w:bCs w:val="false"/>
      <w:i w:val="false"/>
      <w:iCs w:val="false"/>
      <w:color w:val="000000"/>
      <w:sz w:val="22"/>
      <w:szCs w:val="22"/>
    </w:rPr>
  </w:style>
  <w:style w:type="character" w:styleId="WW8Num34z1">
    <w:name w:val="WW8Num34z1"/>
    <w:qFormat/>
    <w:rPr>
      <w:rFonts w:ascii="Times New Roman" w:hAnsi="Times New Roman" w:cs="Times New Roman"/>
      <w:b w:val="false"/>
      <w:bCs w:val="false"/>
      <w:i w:val="false"/>
      <w:iCs w:val="false"/>
      <w:sz w:val="22"/>
      <w:szCs w:val="22"/>
    </w:rPr>
  </w:style>
  <w:style w:type="character" w:styleId="WW8Num34z4">
    <w:name w:val="WW8Num34z4"/>
    <w:qFormat/>
    <w:rPr/>
  </w:style>
  <w:style w:type="character" w:styleId="WW8Num35z0">
    <w:name w:val="WW8Num35z0"/>
    <w:qFormat/>
    <w:rPr>
      <w:rFonts w:ascii="Times New Roman" w:hAnsi="Times New Roman" w:cs="Times New Roman"/>
      <w:b w:val="false"/>
      <w:bCs w:val="false"/>
      <w:i w:val="false"/>
      <w:iCs w:val="false"/>
      <w:color w:val="000000"/>
      <w:sz w:val="22"/>
      <w:szCs w:val="22"/>
    </w:rPr>
  </w:style>
  <w:style w:type="character" w:styleId="WW8Num35z1">
    <w:name w:val="WW8Num35z1"/>
    <w:qFormat/>
    <w:rPr>
      <w:rFonts w:ascii="Times New Roman" w:hAnsi="Times New Roman" w:cs="Times New Roman"/>
      <w:b w:val="false"/>
      <w:bCs w:val="false"/>
      <w:i w:val="false"/>
      <w:iCs w:val="false"/>
      <w:sz w:val="22"/>
      <w:szCs w:val="22"/>
    </w:rPr>
  </w:style>
  <w:style w:type="character" w:styleId="WW8Num35z4">
    <w:name w:val="WW8Num35z4"/>
    <w:qFormat/>
    <w:rPr/>
  </w:style>
  <w:style w:type="character" w:styleId="WW8Num36z0">
    <w:name w:val="WW8Num36z0"/>
    <w:qFormat/>
    <w:rPr>
      <w:rFonts w:ascii="Times New Roman" w:hAnsi="Times New Roman" w:cs="Times New Roman"/>
      <w:b w:val="false"/>
      <w:bCs w:val="false"/>
      <w:i w:val="false"/>
      <w:iCs w:val="false"/>
      <w:color w:val="000000"/>
      <w:sz w:val="22"/>
      <w:szCs w:val="22"/>
    </w:rPr>
  </w:style>
  <w:style w:type="character" w:styleId="WW8Num36z1">
    <w:name w:val="WW8Num36z1"/>
    <w:qFormat/>
    <w:rPr>
      <w:rFonts w:ascii="Times New Roman" w:hAnsi="Times New Roman" w:cs="Times New Roman"/>
      <w:b w:val="false"/>
      <w:bCs w:val="false"/>
      <w:i w:val="false"/>
      <w:iCs w:val="false"/>
      <w:sz w:val="22"/>
      <w:szCs w:val="22"/>
    </w:rPr>
  </w:style>
  <w:style w:type="character" w:styleId="WW8Num36z4">
    <w:name w:val="WW8Num36z4"/>
    <w:qFormat/>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Times New Roman" w:hAnsi="Times New Roman" w:cs="Times New Roman"/>
      <w:b w:val="false"/>
      <w:bCs w:val="false"/>
      <w:i w:val="false"/>
      <w:iCs w:val="false"/>
      <w:color w:val="000000"/>
      <w:sz w:val="22"/>
      <w:szCs w:val="22"/>
    </w:rPr>
  </w:style>
  <w:style w:type="character" w:styleId="WW8Num38z1">
    <w:name w:val="WW8Num38z1"/>
    <w:qFormat/>
    <w:rPr>
      <w:rFonts w:ascii="Times New Roman" w:hAnsi="Times New Roman" w:cs="Times New Roman"/>
      <w:b w:val="false"/>
      <w:bCs w:val="false"/>
      <w:i w:val="false"/>
      <w:iCs w:val="false"/>
      <w:sz w:val="22"/>
      <w:szCs w:val="22"/>
    </w:rPr>
  </w:style>
  <w:style w:type="character" w:styleId="WW8Num38z4">
    <w:name w:val="WW8Num38z4"/>
    <w:qFormat/>
    <w:rPr/>
  </w:style>
  <w:style w:type="character" w:styleId="WW8Num39z0">
    <w:name w:val="WW8Num39z0"/>
    <w:qFormat/>
    <w:rPr>
      <w:rFonts w:ascii="Times New Roman" w:hAnsi="Times New Roman" w:cs="Times New Roman"/>
      <w:b w:val="false"/>
      <w:bCs w:val="false"/>
      <w:i w:val="false"/>
      <w:iCs w:val="false"/>
      <w:color w:val="000000"/>
      <w:sz w:val="22"/>
      <w:szCs w:val="22"/>
    </w:rPr>
  </w:style>
  <w:style w:type="character" w:styleId="WW8Num39z1">
    <w:name w:val="WW8Num39z1"/>
    <w:qFormat/>
    <w:rPr>
      <w:rFonts w:ascii="Times New Roman" w:hAnsi="Times New Roman" w:cs="Times New Roman"/>
      <w:b w:val="false"/>
      <w:bCs w:val="false"/>
      <w:i w:val="false"/>
      <w:iCs w:val="false"/>
      <w:sz w:val="22"/>
      <w:szCs w:val="22"/>
    </w:rPr>
  </w:style>
  <w:style w:type="character" w:styleId="WW8Num39z4">
    <w:name w:val="WW8Num39z4"/>
    <w:qFormat/>
    <w:rPr/>
  </w:style>
  <w:style w:type="character" w:styleId="WW8Num40z0">
    <w:name w:val="WW8Num40z0"/>
    <w:qFormat/>
    <w:rPr>
      <w:rFonts w:ascii="Times New Roman" w:hAnsi="Times New Roman" w:cs="Times New Roman"/>
      <w:b w:val="false"/>
      <w:bCs w:val="false"/>
      <w:i w:val="false"/>
      <w:iCs w:val="false"/>
      <w:color w:val="000000"/>
      <w:sz w:val="22"/>
      <w:szCs w:val="22"/>
    </w:rPr>
  </w:style>
  <w:style w:type="character" w:styleId="WW8Num40z1">
    <w:name w:val="WW8Num40z1"/>
    <w:qFormat/>
    <w:rPr>
      <w:rFonts w:ascii="Times New Roman" w:hAnsi="Times New Roman" w:cs="Times New Roman"/>
      <w:b w:val="false"/>
      <w:bCs w:val="false"/>
      <w:i w:val="false"/>
      <w:iCs w:val="false"/>
      <w:sz w:val="22"/>
      <w:szCs w:val="22"/>
    </w:rPr>
  </w:style>
  <w:style w:type="character" w:styleId="WW8Num40z4">
    <w:name w:val="WW8Num40z4"/>
    <w:qFormat/>
    <w:rPr/>
  </w:style>
  <w:style w:type="character" w:styleId="WW8Num41z0">
    <w:name w:val="WW8Num41z0"/>
    <w:qFormat/>
    <w:rPr>
      <w:rFonts w:ascii="Times New Roman" w:hAnsi="Times New Roman" w:cs="Times New Roman"/>
      <w:b/>
      <w:bCs/>
      <w:i w:val="false"/>
      <w:iCs w:val="false"/>
      <w:caps/>
      <w:color w:val="000000"/>
      <w:spacing w:val="0"/>
      <w:sz w:val="24"/>
      <w:szCs w:val="24"/>
      <w:u w:val="none"/>
    </w:rPr>
  </w:style>
  <w:style w:type="character" w:styleId="WW8Num41z1">
    <w:name w:val="WW8Num41z1"/>
    <w:qFormat/>
    <w:rPr>
      <w:rFonts w:ascii="Times New Roman" w:hAnsi="Times New Roman" w:cs="Times New Roman"/>
      <w:b/>
      <w:bCs/>
      <w:i w:val="false"/>
      <w:iCs w:val="false"/>
      <w:caps w:val="false"/>
      <w:smallCaps w:val="false"/>
      <w:color w:val="000000"/>
      <w:spacing w:val="0"/>
      <w:sz w:val="24"/>
      <w:szCs w:val="24"/>
      <w:u w:val="none"/>
    </w:rPr>
  </w:style>
  <w:style w:type="character" w:styleId="WW8Num41z2">
    <w:name w:val="WW8Num41z2"/>
    <w:qFormat/>
    <w:rPr>
      <w:rFonts w:ascii="Verdana" w:hAnsi="Verdana" w:cs="Times New Roman"/>
      <w:spacing w:val="0"/>
      <w:sz w:val="20"/>
      <w:szCs w:val="20"/>
    </w:rPr>
  </w:style>
  <w:style w:type="character" w:styleId="WW8Num42z0">
    <w:name w:val="WW8Num42z0"/>
    <w:qFormat/>
    <w:rPr>
      <w:rFonts w:ascii="Times New Roman" w:hAnsi="Times New Roman" w:cs="Times New Roman"/>
      <w:b w:val="false"/>
      <w:bCs w:val="false"/>
      <w:i w:val="false"/>
      <w:iCs w:val="false"/>
      <w:color w:val="000000"/>
      <w:sz w:val="22"/>
      <w:szCs w:val="22"/>
    </w:rPr>
  </w:style>
  <w:style w:type="character" w:styleId="WW8Num42z1">
    <w:name w:val="WW8Num42z1"/>
    <w:qFormat/>
    <w:rPr>
      <w:rFonts w:ascii="Times New Roman" w:hAnsi="Times New Roman" w:cs="Times New Roman"/>
      <w:b w:val="false"/>
      <w:bCs w:val="false"/>
      <w:i w:val="false"/>
      <w:iCs w:val="false"/>
      <w:sz w:val="22"/>
      <w:szCs w:val="22"/>
    </w:rPr>
  </w:style>
  <w:style w:type="character" w:styleId="WW8Num42z4">
    <w:name w:val="WW8Num42z4"/>
    <w:qFormat/>
    <w:rPr/>
  </w:style>
  <w:style w:type="character" w:styleId="WW8Num43z0">
    <w:name w:val="WW8Num43z0"/>
    <w:qFormat/>
    <w:rPr>
      <w:rFonts w:ascii="Times New Roman" w:hAnsi="Times New Roman" w:cs="Times New Roman"/>
      <w:b w:val="false"/>
      <w:bCs w:val="false"/>
      <w:i w:val="false"/>
      <w:iCs w:val="false"/>
      <w:color w:val="000000"/>
      <w:sz w:val="22"/>
      <w:szCs w:val="22"/>
    </w:rPr>
  </w:style>
  <w:style w:type="character" w:styleId="WW8Num43z1">
    <w:name w:val="WW8Num43z1"/>
    <w:qFormat/>
    <w:rPr>
      <w:rFonts w:ascii="Times New Roman" w:hAnsi="Times New Roman" w:cs="Times New Roman"/>
      <w:b w:val="false"/>
      <w:bCs w:val="false"/>
      <w:i w:val="false"/>
      <w:iCs w:val="false"/>
      <w:sz w:val="22"/>
      <w:szCs w:val="22"/>
    </w:rPr>
  </w:style>
  <w:style w:type="character" w:styleId="WW8Num43z4">
    <w:name w:val="WW8Num43z4"/>
    <w:qFormat/>
    <w:rPr/>
  </w:style>
  <w:style w:type="character" w:styleId="WW8Num44z0">
    <w:name w:val="WW8Num44z0"/>
    <w:qFormat/>
    <w:rPr>
      <w:rFonts w:ascii="Times New Roman" w:hAnsi="Times New Roman" w:cs="Times New Roman"/>
      <w:b w:val="false"/>
      <w:bCs w:val="false"/>
      <w:i w:val="false"/>
      <w:iCs w:val="false"/>
      <w:color w:val="000000"/>
      <w:sz w:val="22"/>
      <w:szCs w:val="22"/>
    </w:rPr>
  </w:style>
  <w:style w:type="character" w:styleId="WW8Num44z1">
    <w:name w:val="WW8Num44z1"/>
    <w:qFormat/>
    <w:rPr>
      <w:rFonts w:ascii="Times New Roman" w:hAnsi="Times New Roman" w:cs="Times New Roman"/>
      <w:b w:val="false"/>
      <w:bCs w:val="false"/>
      <w:i w:val="false"/>
      <w:iCs w:val="false"/>
      <w:sz w:val="22"/>
      <w:szCs w:val="22"/>
    </w:rPr>
  </w:style>
  <w:style w:type="character" w:styleId="WW8Num44z4">
    <w:name w:val="WW8Num44z4"/>
    <w:qFormat/>
    <w:rPr/>
  </w:style>
  <w:style w:type="character" w:styleId="WW8Num45z0">
    <w:name w:val="WW8Num45z0"/>
    <w:qFormat/>
    <w:rPr>
      <w:rFonts w:ascii="Symbol" w:hAnsi="Symbol" w:cs="Symbol"/>
      <w:b w:val="false"/>
      <w:bCs w:val="false"/>
      <w:i w:val="false"/>
      <w:iCs w:val="false"/>
      <w:color w:val="000000"/>
      <w:sz w:val="18"/>
      <w:szCs w:val="18"/>
    </w:rPr>
  </w:style>
  <w:style w:type="character" w:styleId="WW8Num46z0">
    <w:name w:val="WW8Num46z0"/>
    <w:qFormat/>
    <w:rPr>
      <w:rFonts w:ascii="Times New Roman" w:hAnsi="Times New Roman" w:cs="Times New Roman"/>
      <w:b w:val="false"/>
      <w:bCs w:val="false"/>
      <w:i w:val="false"/>
      <w:iCs w:val="false"/>
      <w:color w:val="000000"/>
      <w:sz w:val="22"/>
      <w:szCs w:val="22"/>
    </w:rPr>
  </w:style>
  <w:style w:type="character" w:styleId="WW8Num46z1">
    <w:name w:val="WW8Num46z1"/>
    <w:qFormat/>
    <w:rPr>
      <w:rFonts w:ascii="Times New Roman" w:hAnsi="Times New Roman" w:cs="Times New Roman"/>
      <w:b w:val="false"/>
      <w:bCs w:val="false"/>
      <w:i w:val="false"/>
      <w:iCs w:val="false"/>
      <w:sz w:val="22"/>
      <w:szCs w:val="22"/>
    </w:rPr>
  </w:style>
  <w:style w:type="character" w:styleId="WW8Num46z4">
    <w:name w:val="WW8Num46z4"/>
    <w:qFormat/>
    <w:rPr/>
  </w:style>
  <w:style w:type="character" w:styleId="WW8Num47z0">
    <w:name w:val="WW8Num47z0"/>
    <w:qFormat/>
    <w:rPr>
      <w:rFonts w:ascii="Times New Roman" w:hAnsi="Times New Roman" w:cs="Times New Roman"/>
      <w:b w:val="false"/>
      <w:bCs w:val="false"/>
      <w:i w:val="false"/>
      <w:iCs w:val="false"/>
      <w:color w:val="000000"/>
      <w:sz w:val="22"/>
      <w:szCs w:val="22"/>
    </w:rPr>
  </w:style>
  <w:style w:type="character" w:styleId="WW8Num47z1">
    <w:name w:val="WW8Num47z1"/>
    <w:qFormat/>
    <w:rPr>
      <w:rFonts w:ascii="Times New Roman" w:hAnsi="Times New Roman" w:cs="Times New Roman"/>
      <w:b w:val="false"/>
      <w:bCs w:val="false"/>
      <w:i w:val="false"/>
      <w:iCs w:val="false"/>
      <w:sz w:val="22"/>
      <w:szCs w:val="22"/>
    </w:rPr>
  </w:style>
  <w:style w:type="character" w:styleId="WW8Num47z4">
    <w:name w:val="WW8Num47z4"/>
    <w:qFormat/>
    <w:rPr/>
  </w:style>
  <w:style w:type="character" w:styleId="WW8Num48z0">
    <w:name w:val="WW8Num48z0"/>
    <w:qFormat/>
    <w:rPr>
      <w:rFonts w:ascii="Times New Roman" w:hAnsi="Times New Roman" w:cs="Times New Roman"/>
      <w:b w:val="false"/>
      <w:bCs w:val="false"/>
      <w:i w:val="false"/>
      <w:iCs w:val="false"/>
      <w:color w:val="000000"/>
      <w:sz w:val="22"/>
      <w:szCs w:val="22"/>
    </w:rPr>
  </w:style>
  <w:style w:type="character" w:styleId="WW8Num48z1">
    <w:name w:val="WW8Num48z1"/>
    <w:qFormat/>
    <w:rPr>
      <w:rFonts w:ascii="Times New Roman" w:hAnsi="Times New Roman" w:cs="Times New Roman"/>
      <w:b w:val="false"/>
      <w:bCs w:val="false"/>
      <w:i w:val="false"/>
      <w:iCs w:val="false"/>
      <w:sz w:val="22"/>
      <w:szCs w:val="22"/>
    </w:rPr>
  </w:style>
  <w:style w:type="character" w:styleId="WW8Num48z4">
    <w:name w:val="WW8Num48z4"/>
    <w:qFormat/>
    <w:rPr/>
  </w:style>
  <w:style w:type="character" w:styleId="WW8Num49z0">
    <w:name w:val="WW8Num49z0"/>
    <w:qFormat/>
    <w:rPr>
      <w:rFonts w:ascii="Times New Roman" w:hAnsi="Times New Roman" w:cs="Times New Roman"/>
      <w:b w:val="false"/>
      <w:bCs w:val="false"/>
      <w:i w:val="false"/>
      <w:iCs w:val="false"/>
      <w:color w:val="000000"/>
      <w:sz w:val="22"/>
      <w:szCs w:val="22"/>
    </w:rPr>
  </w:style>
  <w:style w:type="character" w:styleId="WW8Num49z1">
    <w:name w:val="WW8Num49z1"/>
    <w:qFormat/>
    <w:rPr>
      <w:rFonts w:ascii="Times New Roman" w:hAnsi="Times New Roman" w:cs="Times New Roman"/>
      <w:b w:val="false"/>
      <w:bCs w:val="false"/>
      <w:i w:val="false"/>
      <w:iCs w:val="false"/>
      <w:sz w:val="22"/>
      <w:szCs w:val="22"/>
    </w:rPr>
  </w:style>
  <w:style w:type="character" w:styleId="WW8Num49z4">
    <w:name w:val="WW8Num49z4"/>
    <w:qFormat/>
    <w:rPr/>
  </w:style>
  <w:style w:type="character" w:styleId="WW8Num50z0">
    <w:name w:val="WW8Num50z0"/>
    <w:qFormat/>
    <w:rPr>
      <w:rFonts w:ascii="Times New Roman" w:hAnsi="Times New Roman" w:cs="Times New Roman"/>
      <w:b w:val="false"/>
      <w:bCs w:val="false"/>
      <w:i w:val="false"/>
      <w:iCs w:val="false"/>
      <w:color w:val="000000"/>
      <w:sz w:val="22"/>
      <w:szCs w:val="22"/>
    </w:rPr>
  </w:style>
  <w:style w:type="character" w:styleId="WW8Num50z1">
    <w:name w:val="WW8Num50z1"/>
    <w:qFormat/>
    <w:rPr>
      <w:rFonts w:ascii="Times New Roman" w:hAnsi="Times New Roman" w:cs="Times New Roman"/>
      <w:b w:val="false"/>
      <w:bCs w:val="false"/>
      <w:i w:val="false"/>
      <w:iCs w:val="false"/>
      <w:sz w:val="22"/>
      <w:szCs w:val="22"/>
    </w:rPr>
  </w:style>
  <w:style w:type="character" w:styleId="WW8Num50z4">
    <w:name w:val="WW8Num50z4"/>
    <w:qFormat/>
    <w:rPr/>
  </w:style>
  <w:style w:type="character" w:styleId="WW8Num51z0">
    <w:name w:val="WW8Num51z0"/>
    <w:qFormat/>
    <w:rPr>
      <w:rFonts w:ascii="Times New Roman" w:hAnsi="Times New Roman" w:cs="Times New Roman"/>
      <w:b w:val="false"/>
      <w:bCs w:val="false"/>
      <w:i w:val="false"/>
      <w:iCs w:val="false"/>
      <w:color w:val="000000"/>
      <w:sz w:val="22"/>
      <w:szCs w:val="22"/>
    </w:rPr>
  </w:style>
  <w:style w:type="character" w:styleId="WW8Num51z1">
    <w:name w:val="WW8Num51z1"/>
    <w:qFormat/>
    <w:rPr>
      <w:rFonts w:ascii="Times New Roman" w:hAnsi="Times New Roman" w:cs="Times New Roman"/>
      <w:b w:val="false"/>
      <w:bCs w:val="false"/>
      <w:i w:val="false"/>
      <w:iCs w:val="false"/>
      <w:sz w:val="22"/>
      <w:szCs w:val="22"/>
    </w:rPr>
  </w:style>
  <w:style w:type="character" w:styleId="WW8Num51z4">
    <w:name w:val="WW8Num51z4"/>
    <w:qFormat/>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rFonts w:ascii="Times New Roman" w:hAnsi="Times New Roman" w:cs="Times New Roman"/>
      <w:b w:val="false"/>
      <w:bCs w:val="false"/>
      <w:i w:val="false"/>
      <w:iCs w:val="false"/>
      <w:color w:val="000000"/>
      <w:sz w:val="22"/>
      <w:szCs w:val="22"/>
    </w:rPr>
  </w:style>
  <w:style w:type="character" w:styleId="WW8Num53z1">
    <w:name w:val="WW8Num53z1"/>
    <w:qFormat/>
    <w:rPr>
      <w:rFonts w:ascii="Times New Roman" w:hAnsi="Times New Roman" w:cs="Times New Roman"/>
      <w:b w:val="false"/>
      <w:bCs w:val="false"/>
      <w:i w:val="false"/>
      <w:iCs w:val="false"/>
      <w:sz w:val="22"/>
      <w:szCs w:val="22"/>
    </w:rPr>
  </w:style>
  <w:style w:type="character" w:styleId="WW8Num53z4">
    <w:name w:val="WW8Num53z4"/>
    <w:qFormat/>
    <w:rPr/>
  </w:style>
  <w:style w:type="character" w:styleId="WW8Num54z0">
    <w:name w:val="WW8Num54z0"/>
    <w:qFormat/>
    <w:rPr>
      <w:rFonts w:ascii="Times New Roman" w:hAnsi="Times New Roman" w:cs="Times New Roman"/>
      <w:b w:val="false"/>
      <w:bCs w:val="false"/>
      <w:i w:val="false"/>
      <w:iCs w:val="false"/>
      <w:color w:val="000000"/>
      <w:sz w:val="22"/>
      <w:szCs w:val="22"/>
    </w:rPr>
  </w:style>
  <w:style w:type="character" w:styleId="WW8Num54z1">
    <w:name w:val="WW8Num54z1"/>
    <w:qFormat/>
    <w:rPr>
      <w:rFonts w:ascii="Times New Roman" w:hAnsi="Times New Roman" w:cs="Times New Roman"/>
      <w:b w:val="false"/>
      <w:bCs w:val="false"/>
      <w:i w:val="false"/>
      <w:iCs w:val="false"/>
      <w:sz w:val="22"/>
      <w:szCs w:val="22"/>
    </w:rPr>
  </w:style>
  <w:style w:type="character" w:styleId="WW8Num54z3">
    <w:name w:val="WW8Num54z3"/>
    <w:qFormat/>
    <w:rPr>
      <w:b w:val="false"/>
      <w:bCs w:val="false"/>
      <w:i w:val="false"/>
      <w:iCs w:val="false"/>
      <w:color w:val="000000"/>
      <w:sz w:val="22"/>
      <w:szCs w:val="22"/>
    </w:rPr>
  </w:style>
  <w:style w:type="character" w:styleId="WW8Num54z4">
    <w:name w:val="WW8Num54z4"/>
    <w:qFormat/>
    <w:rPr/>
  </w:style>
  <w:style w:type="character" w:styleId="WW8Num55z0">
    <w:name w:val="WW8Num55z0"/>
    <w:qFormat/>
    <w:rPr>
      <w:rFonts w:ascii="Times New Roman" w:hAnsi="Times New Roman" w:cs="Times New Roman"/>
      <w:b w:val="false"/>
      <w:bCs w:val="false"/>
      <w:i w:val="false"/>
      <w:iCs w:val="false"/>
      <w:color w:val="000000"/>
      <w:sz w:val="22"/>
      <w:szCs w:val="22"/>
    </w:rPr>
  </w:style>
  <w:style w:type="character" w:styleId="WW8Num55z1">
    <w:name w:val="WW8Num55z1"/>
    <w:qFormat/>
    <w:rPr>
      <w:rFonts w:ascii="Times New Roman" w:hAnsi="Times New Roman" w:cs="Times New Roman"/>
      <w:b w:val="false"/>
      <w:bCs w:val="false"/>
      <w:i w:val="false"/>
      <w:iCs w:val="false"/>
      <w:sz w:val="22"/>
      <w:szCs w:val="22"/>
    </w:rPr>
  </w:style>
  <w:style w:type="character" w:styleId="WW8Num55z4">
    <w:name w:val="WW8Num55z4"/>
    <w:qFormat/>
    <w:rPr/>
  </w:style>
  <w:style w:type="character" w:styleId="WW8Num56z0">
    <w:name w:val="WW8Num56z0"/>
    <w:qFormat/>
    <w:rPr>
      <w:rFonts w:ascii="Times New Roman" w:hAnsi="Times New Roman" w:cs="Times New Roman"/>
      <w:b w:val="false"/>
      <w:bCs w:val="false"/>
      <w:i w:val="false"/>
      <w:iCs w:val="false"/>
      <w:color w:val="000000"/>
      <w:sz w:val="22"/>
      <w:szCs w:val="22"/>
    </w:rPr>
  </w:style>
  <w:style w:type="character" w:styleId="WW8Num56z1">
    <w:name w:val="WW8Num56z1"/>
    <w:qFormat/>
    <w:rPr>
      <w:rFonts w:ascii="Times New Roman" w:hAnsi="Times New Roman" w:cs="Times New Roman"/>
      <w:b w:val="false"/>
      <w:bCs w:val="false"/>
      <w:i w:val="false"/>
      <w:iCs w:val="false"/>
      <w:sz w:val="22"/>
      <w:szCs w:val="22"/>
    </w:rPr>
  </w:style>
  <w:style w:type="character" w:styleId="WW8Num56z4">
    <w:name w:val="WW8Num56z4"/>
    <w:qFormat/>
    <w:rPr/>
  </w:style>
  <w:style w:type="character" w:styleId="WW8Num57z0">
    <w:name w:val="WW8Num57z0"/>
    <w:qFormat/>
    <w:rPr>
      <w:rFonts w:ascii="Times New Roman" w:hAnsi="Times New Roman" w:cs="Times New Roman"/>
      <w:b w:val="false"/>
      <w:bCs w:val="false"/>
      <w:i w:val="false"/>
      <w:iCs w:val="false"/>
      <w:color w:val="000000"/>
      <w:sz w:val="22"/>
      <w:szCs w:val="22"/>
    </w:rPr>
  </w:style>
  <w:style w:type="character" w:styleId="WW8Num57z1">
    <w:name w:val="WW8Num57z1"/>
    <w:qFormat/>
    <w:rPr>
      <w:rFonts w:ascii="Times New Roman" w:hAnsi="Times New Roman" w:cs="Times New Roman"/>
      <w:b w:val="false"/>
      <w:bCs w:val="false"/>
      <w:i w:val="false"/>
      <w:iCs w:val="false"/>
      <w:sz w:val="22"/>
      <w:szCs w:val="22"/>
    </w:rPr>
  </w:style>
  <w:style w:type="character" w:styleId="WW8Num57z4">
    <w:name w:val="WW8Num57z4"/>
    <w:qFormat/>
    <w:rPr/>
  </w:style>
  <w:style w:type="character" w:styleId="WW8Num58z0">
    <w:name w:val="WW8Num58z0"/>
    <w:qFormat/>
    <w:rPr>
      <w:rFonts w:ascii="Times New Roman" w:hAnsi="Times New Roman" w:cs="Times New Roman"/>
      <w:b w:val="false"/>
      <w:bCs w:val="false"/>
      <w:i w:val="false"/>
      <w:iCs w:val="false"/>
      <w:color w:val="000000"/>
      <w:sz w:val="22"/>
      <w:szCs w:val="22"/>
    </w:rPr>
  </w:style>
  <w:style w:type="character" w:styleId="WW8Num58z1">
    <w:name w:val="WW8Num58z1"/>
    <w:qFormat/>
    <w:rPr>
      <w:rFonts w:ascii="Times New Roman" w:hAnsi="Times New Roman" w:cs="Times New Roman"/>
      <w:b w:val="false"/>
      <w:bCs w:val="false"/>
      <w:i w:val="false"/>
      <w:iCs w:val="false"/>
      <w:sz w:val="22"/>
      <w:szCs w:val="22"/>
    </w:rPr>
  </w:style>
  <w:style w:type="character" w:styleId="WW8Num58z4">
    <w:name w:val="WW8Num58z4"/>
    <w:qFormat/>
    <w:rPr/>
  </w:style>
  <w:style w:type="character" w:styleId="Absatz-Standardschriftart">
    <w:name w:val="Absatz-Standardschriftart"/>
    <w:qFormat/>
    <w:rPr/>
  </w:style>
  <w:style w:type="character" w:styleId="OrtDatumChar">
    <w:name w:val="Ort_Datum Char"/>
    <w:basedOn w:val="Absatz-Standardschriftart"/>
    <w:qFormat/>
    <w:rPr>
      <w:rFonts w:ascii="Verdana" w:hAnsi="Verdana" w:cs="Verdana"/>
      <w:lang w:val="de-CH"/>
    </w:rPr>
  </w:style>
  <w:style w:type="character" w:styleId="PageNumber">
    <w:name w:val="page number"/>
    <w:basedOn w:val="Absatz-Standardschriftart"/>
    <w:rPr/>
  </w:style>
  <w:style w:type="character" w:styleId="FootnoteCharacters">
    <w:name w:val="Footnote Characters"/>
    <w:basedOn w:val="Absatz-Standardschriftart"/>
    <w:qFormat/>
    <w:rPr>
      <w:vertAlign w:val="superscript"/>
    </w:rPr>
  </w:style>
  <w:style w:type="character" w:styleId="StyleOrtDatum8ptChar">
    <w:name w:val="Style Ort_Datum + 8 pt Char"/>
    <w:basedOn w:val="OrtDatumChar"/>
    <w:qFormat/>
    <w:rPr>
      <w:sz w:val="16"/>
      <w:szCs w:val="16"/>
    </w:rPr>
  </w:style>
  <w:style w:type="character" w:styleId="EmailaddressChar">
    <w:name w:val="Emailaddress Char"/>
    <w:basedOn w:val="OrtDatumChar"/>
    <w:qFormat/>
    <w:rPr>
      <w:sz w:val="16"/>
      <w:szCs w:val="16"/>
    </w:rPr>
  </w:style>
  <w:style w:type="character" w:styleId="Hyperlink">
    <w:name w:val="Hyperlink"/>
    <w:basedOn w:val="Absatz-Standardschriftart"/>
    <w:rPr>
      <w:color w:val="0000FF"/>
      <w:u w:val="single"/>
    </w:rPr>
  </w:style>
  <w:style w:type="character" w:styleId="Kommentarzeichen">
    <w:name w:val="Kommentarzeichen"/>
    <w:basedOn w:val="Absatz-Standardschriftart"/>
    <w:qFormat/>
    <w:rPr>
      <w:sz w:val="16"/>
      <w:szCs w:val="16"/>
    </w:rPr>
  </w:style>
  <w:style w:type="character" w:styleId="FollowedHyperlink">
    <w:name w:val="FollowedHyperlink"/>
    <w:basedOn w:val="Absatz-Standardschriftart"/>
    <w:rPr>
      <w:color w:val="800080"/>
      <w:u w:val="single"/>
    </w:rPr>
  </w:style>
  <w:style w:type="character" w:styleId="IndexLink">
    <w:name w:val="Index Link"/>
    <w:qFormat/>
    <w:rPr/>
  </w:style>
  <w:style w:type="paragraph" w:styleId="Heading">
    <w:name w:val="Heading"/>
    <w:basedOn w:val="Normal"/>
    <w:next w:val="BodyText"/>
    <w:qFormat/>
    <w:pPr>
      <w:keepNext w:val="true"/>
      <w:spacing w:lineRule="atLeast" w:line="240" w:before="480" w:after="240"/>
      <w:jc w:val="center"/>
    </w:pPr>
    <w:rPr>
      <w:b/>
      <w:bCs/>
      <w:caps/>
      <w:spacing w:val="40"/>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0">
    <w:name w:val="A0"/>
    <w:basedOn w:val="Normal"/>
    <w:qFormat/>
    <w:pPr>
      <w:ind w:hanging="454" w:start="0" w:end="0"/>
    </w:pPr>
    <w:rPr/>
  </w:style>
  <w:style w:type="paragraph" w:styleId="A1">
    <w:name w:val="A1"/>
    <w:basedOn w:val="Normal"/>
    <w:qFormat/>
    <w:pPr>
      <w:ind w:hanging="567" w:start="567" w:end="0"/>
    </w:pPr>
    <w:rPr/>
  </w:style>
  <w:style w:type="paragraph" w:styleId="A2">
    <w:name w:val="A2"/>
    <w:basedOn w:val="A1"/>
    <w:qFormat/>
    <w:pPr>
      <w:ind w:hanging="567" w:start="1134" w:end="0"/>
    </w:pPr>
    <w:rPr/>
  </w:style>
  <w:style w:type="paragraph" w:styleId="A3">
    <w:name w:val="A3"/>
    <w:basedOn w:val="A2"/>
    <w:qFormat/>
    <w:pPr>
      <w:ind w:hanging="567" w:start="1701" w:end="0"/>
    </w:pPr>
    <w:rPr/>
  </w:style>
  <w:style w:type="paragraph" w:styleId="Adresse">
    <w:name w:val="Adresse"/>
    <w:basedOn w:val="Normal"/>
    <w:qFormat/>
    <w:pPr>
      <w:spacing w:lineRule="atLeast" w:line="240" w:before="0" w:after="0"/>
      <w:ind w:hanging="0" w:start="4423" w:end="0"/>
      <w:jc w:val="start"/>
    </w:pPr>
    <w:rPr/>
  </w:style>
  <w:style w:type="paragraph" w:styleId="Anlage">
    <w:name w:val="Anlage"/>
    <w:basedOn w:val="Normal"/>
    <w:qFormat/>
    <w:pPr>
      <w:spacing w:lineRule="atLeast" w:line="240" w:before="0" w:after="0"/>
      <w:ind w:hanging="851" w:start="851" w:end="0"/>
      <w:jc w:val="start"/>
    </w:pPr>
    <w:rPr>
      <w:sz w:val="18"/>
      <w:szCs w:val="18"/>
    </w:rPr>
  </w:style>
  <w:style w:type="paragraph" w:styleId="B0">
    <w:name w:val="B0"/>
    <w:basedOn w:val="Normal"/>
    <w:qFormat/>
    <w:pPr>
      <w:spacing w:lineRule="atLeast" w:line="240"/>
      <w:ind w:hanging="454" w:start="0" w:end="0"/>
    </w:pPr>
    <w:rPr/>
  </w:style>
  <w:style w:type="paragraph" w:styleId="B1">
    <w:name w:val="B1"/>
    <w:basedOn w:val="A1"/>
    <w:qFormat/>
    <w:pPr>
      <w:spacing w:lineRule="atLeast" w:line="240"/>
    </w:pPr>
    <w:rPr/>
  </w:style>
  <w:style w:type="paragraph" w:styleId="B2">
    <w:name w:val="B2"/>
    <w:basedOn w:val="A2"/>
    <w:qFormat/>
    <w:pPr>
      <w:spacing w:lineRule="atLeast" w:line="240"/>
    </w:pPr>
    <w:rPr/>
  </w:style>
  <w:style w:type="paragraph" w:styleId="B3">
    <w:name w:val="B3"/>
    <w:basedOn w:val="A3"/>
    <w:qFormat/>
    <w:pPr>
      <w:spacing w:lineRule="atLeast" w:line="240"/>
    </w:pPr>
    <w:rPr/>
  </w:style>
  <w:style w:type="paragraph" w:styleId="Begleittext">
    <w:name w:val="Begleittext"/>
    <w:basedOn w:val="Adresse"/>
    <w:qFormat/>
    <w:pPr>
      <w:ind w:hanging="0" w:start="0" w:end="0"/>
    </w:pPr>
    <w:rPr/>
  </w:style>
  <w:style w:type="paragraph" w:styleId="Briefanrede">
    <w:name w:val="Briefanrede"/>
    <w:basedOn w:val="Normal"/>
    <w:next w:val="Normal"/>
    <w:qFormat/>
    <w:pPr>
      <w:spacing w:before="120" w:after="240"/>
    </w:pPr>
    <w:rPr/>
  </w:style>
  <w:style w:type="paragraph" w:styleId="Einzug1">
    <w:name w:val="Einzug 1"/>
    <w:basedOn w:val="A1"/>
    <w:qFormat/>
    <w:pPr/>
    <w:rPr/>
  </w:style>
  <w:style w:type="paragraph" w:styleId="Einzug2">
    <w:name w:val="Einzug2"/>
    <w:basedOn w:val="Normal"/>
    <w:qFormat/>
    <w:pPr>
      <w:ind w:hanging="567" w:start="1134" w:end="0"/>
    </w:pPr>
    <w:rPr>
      <w:rFonts w:ascii="Times New Roman" w:hAnsi="Times New Roman" w:cs="Times New Roman"/>
      <w:lang w:val="en-US"/>
    </w:rPr>
  </w:style>
  <w:style w:type="paragraph" w:styleId="FootnoteText">
    <w:name w:val="footnote text"/>
    <w:basedOn w:val="Normal"/>
    <w:pPr>
      <w:tabs>
        <w:tab w:val="clear" w:pos="567"/>
        <w:tab w:val="clear" w:pos="1134"/>
        <w:tab w:val="clear" w:pos="7938"/>
        <w:tab w:val="left" w:pos="284" w:leader="none"/>
      </w:tabs>
      <w:spacing w:lineRule="atLeast" w:line="240" w:before="0" w:after="120"/>
      <w:ind w:hanging="284" w:start="284" w:end="0"/>
    </w:pPr>
    <w:rPr>
      <w:sz w:val="16"/>
      <w:szCs w:val="16"/>
    </w:rPr>
  </w:style>
  <w:style w:type="paragraph" w:styleId="EndnoteText">
    <w:name w:val="endnote text"/>
    <w:basedOn w:val="FootnoteText"/>
    <w:pPr/>
    <w:rPr/>
  </w:style>
  <w:style w:type="paragraph" w:styleId="HeaderandFooter">
    <w:name w:val="Header and Footer"/>
    <w:basedOn w:val="Normal"/>
    <w:qFormat/>
    <w:pPr>
      <w:suppressLineNumbers/>
      <w:tabs>
        <w:tab w:val="clear" w:pos="567"/>
        <w:tab w:val="clear" w:pos="1134"/>
        <w:tab w:val="clear" w:pos="7938"/>
        <w:tab w:val="center" w:pos="4819" w:leader="none"/>
        <w:tab w:val="right" w:pos="9638" w:leader="none"/>
      </w:tabs>
    </w:pPr>
    <w:rPr/>
  </w:style>
  <w:style w:type="paragraph" w:styleId="Header">
    <w:name w:val="header"/>
    <w:basedOn w:val="Normal"/>
    <w:pPr>
      <w:tabs>
        <w:tab w:val="left" w:pos="567" w:leader="none"/>
        <w:tab w:val="left" w:pos="1134" w:leader="none"/>
        <w:tab w:val="center" w:pos="3969" w:leader="none"/>
        <w:tab w:val="right" w:pos="7938" w:leader="none"/>
      </w:tabs>
      <w:spacing w:lineRule="atLeast" w:line="240" w:before="0" w:after="0"/>
    </w:pPr>
    <w:rPr/>
  </w:style>
  <w:style w:type="paragraph" w:styleId="Footer">
    <w:name w:val="footer"/>
    <w:basedOn w:val="Header"/>
    <w:pPr/>
    <w:rPr/>
  </w:style>
  <w:style w:type="paragraph" w:styleId="Gruformel">
    <w:name w:val="Grußformel"/>
    <w:basedOn w:val="Normal"/>
    <w:qFormat/>
    <w:pPr>
      <w:keepNext w:val="true"/>
      <w:spacing w:lineRule="atLeast" w:line="240" w:before="240" w:after="120"/>
      <w:jc w:val="start"/>
    </w:pPr>
    <w:rPr/>
  </w:style>
  <w:style w:type="paragraph" w:styleId="Gruss">
    <w:name w:val="Gruss"/>
    <w:basedOn w:val="Gruformel"/>
    <w:qFormat/>
    <w:pPr/>
    <w:rPr/>
  </w:style>
  <w:style w:type="paragraph" w:styleId="Index1">
    <w:name w:val="index 1"/>
    <w:basedOn w:val="Normal"/>
    <w:next w:val="Normal"/>
    <w:pPr>
      <w:tabs>
        <w:tab w:val="clear" w:pos="567"/>
        <w:tab w:val="clear" w:pos="1134"/>
        <w:tab w:val="right" w:pos="7938" w:leader="none"/>
      </w:tabs>
      <w:spacing w:lineRule="atLeast" w:line="240" w:before="120" w:after="0"/>
      <w:ind w:hanging="238" w:start="238" w:end="0"/>
      <w:jc w:val="start"/>
    </w:pPr>
    <w:rPr/>
  </w:style>
  <w:style w:type="paragraph" w:styleId="Index2">
    <w:name w:val="index 2"/>
    <w:basedOn w:val="Index1"/>
    <w:next w:val="Normal"/>
    <w:pPr>
      <w:ind w:hanging="238" w:start="480" w:end="0"/>
    </w:pPr>
    <w:rPr/>
  </w:style>
  <w:style w:type="paragraph" w:styleId="Index3">
    <w:name w:val="index 3"/>
    <w:basedOn w:val="Index2"/>
    <w:next w:val="Normal"/>
    <w:pPr>
      <w:ind w:hanging="238" w:start="720" w:end="0"/>
    </w:pPr>
    <w:rPr/>
  </w:style>
  <w:style w:type="paragraph" w:styleId="Index4">
    <w:name w:val="Index 4"/>
    <w:basedOn w:val="Index3"/>
    <w:next w:val="Normal"/>
    <w:qFormat/>
    <w:pPr>
      <w:ind w:hanging="240" w:start="960" w:end="0"/>
    </w:pPr>
    <w:rPr/>
  </w:style>
  <w:style w:type="paragraph" w:styleId="Index5">
    <w:name w:val="Index 5"/>
    <w:basedOn w:val="Index4"/>
    <w:next w:val="Normal"/>
    <w:qFormat/>
    <w:pPr>
      <w:ind w:hanging="240" w:start="1200" w:end="0"/>
    </w:pPr>
    <w:rPr/>
  </w:style>
  <w:style w:type="paragraph" w:styleId="IndexHeading">
    <w:name w:val="index heading"/>
    <w:basedOn w:val="Normal"/>
    <w:next w:val="Index1"/>
    <w:pPr/>
    <w:rPr>
      <w:b/>
      <w:bCs/>
      <w:spacing w:val="20"/>
    </w:rPr>
  </w:style>
  <w:style w:type="paragraph" w:styleId="Kommentartext">
    <w:name w:val="Kommentartext"/>
    <w:basedOn w:val="FootnoteText"/>
    <w:qFormat/>
    <w:pPr/>
    <w:rPr/>
  </w:style>
  <w:style w:type="paragraph" w:styleId="Leerraum">
    <w:name w:val="Leerraum"/>
    <w:basedOn w:val="Normal"/>
    <w:qFormat/>
    <w:pPr/>
    <w:rPr/>
  </w:style>
  <w:style w:type="paragraph" w:styleId="Makrotext">
    <w:name w:val="Makrotext"/>
    <w:qFormat/>
    <w:pPr>
      <w:widowControl/>
      <w:tabs>
        <w:tab w:val="clear" w:pos="708"/>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jc w:val="both"/>
    </w:pPr>
    <w:rPr>
      <w:rFonts w:ascii="Courier New" w:hAnsi="Courier New" w:eastAsia="Times New Roman" w:cs="Courier New"/>
      <w:color w:val="auto"/>
      <w:sz w:val="22"/>
      <w:szCs w:val="22"/>
      <w:lang w:val="de-DE" w:bidi="ar-SA" w:eastAsia="zh-CN"/>
    </w:rPr>
  </w:style>
  <w:style w:type="paragraph" w:styleId="Nachrichtenkopf">
    <w:name w:val="Nachrichtenkopf"/>
    <w:basedOn w:val="Normal"/>
    <w:qFormat/>
    <w:pPr>
      <w:spacing w:before="0" w:after="240"/>
    </w:pPr>
    <w:rPr>
      <w:b/>
      <w:bCs/>
    </w:rPr>
  </w:style>
  <w:style w:type="paragraph" w:styleId="OrtDatum">
    <w:name w:val="Ort_Datum"/>
    <w:basedOn w:val="Normal"/>
    <w:next w:val="Nachrichtenkopf"/>
    <w:qFormat/>
    <w:pPr>
      <w:spacing w:lineRule="atLeast" w:line="240" w:before="720" w:after="960"/>
      <w:ind w:hanging="0" w:start="4423" w:end="0"/>
    </w:pPr>
    <w:rPr/>
  </w:style>
  <w:style w:type="paragraph" w:styleId="Standardeinzug">
    <w:name w:val="Standardeinzug"/>
    <w:basedOn w:val="Normal"/>
    <w:qFormat/>
    <w:pPr>
      <w:ind w:hanging="0" w:start="567" w:end="0"/>
    </w:pPr>
    <w:rPr/>
  </w:style>
  <w:style w:type="paragraph" w:styleId="Text">
    <w:name w:val="Text"/>
    <w:basedOn w:val="Normal"/>
    <w:qFormat/>
    <w:pPr/>
    <w:rPr/>
  </w:style>
  <w:style w:type="paragraph" w:styleId="Titellinks">
    <w:name w:val="Titel links"/>
    <w:basedOn w:val="Heading"/>
    <w:next w:val="Text"/>
    <w:qFormat/>
    <w:pPr>
      <w:jc w:val="start"/>
    </w:pPr>
    <w:rPr/>
  </w:style>
  <w:style w:type="paragraph" w:styleId="TitelQ">
    <w:name w:val="Titel Q"/>
    <w:basedOn w:val="Normal"/>
    <w:next w:val="Text"/>
    <w:qFormat/>
    <w:pPr>
      <w:spacing w:lineRule="atLeast" w:line="240" w:before="0" w:after="240"/>
      <w:jc w:val="start"/>
    </w:pPr>
    <w:rPr>
      <w:rFonts w:ascii="Times New Roman" w:hAnsi="Times New Roman" w:cs="Times New Roman"/>
      <w:smallCaps/>
      <w:lang w:val="en-US"/>
    </w:rPr>
  </w:style>
  <w:style w:type="paragraph" w:styleId="EnvelopeAddress">
    <w:name w:val="envelope address"/>
    <w:basedOn w:val="Normal"/>
    <w:pPr>
      <w:spacing w:lineRule="auto" w:line="240" w:before="0" w:after="0"/>
      <w:jc w:val="start"/>
    </w:pPr>
    <w:rPr/>
  </w:style>
  <w:style w:type="paragraph" w:styleId="Signature">
    <w:name w:val="Signature"/>
    <w:basedOn w:val="Normal"/>
    <w:pPr>
      <w:spacing w:lineRule="atLeast" w:line="240" w:before="960" w:after="0"/>
      <w:jc w:val="start"/>
    </w:pPr>
    <w:rPr/>
  </w:style>
  <w:style w:type="paragraph" w:styleId="TOC1">
    <w:name w:val="toc 1"/>
    <w:basedOn w:val="Normal"/>
    <w:next w:val="Normal"/>
    <w:pPr>
      <w:tabs>
        <w:tab w:val="clear" w:pos="567"/>
        <w:tab w:val="clear" w:pos="1134"/>
        <w:tab w:val="clear" w:pos="7938"/>
      </w:tabs>
      <w:jc w:val="start"/>
    </w:pPr>
    <w:rPr>
      <w:rFonts w:ascii="Times New Roman" w:hAnsi="Times New Roman" w:cs="Times New Roman"/>
      <w:b/>
      <w:bCs/>
      <w:caps/>
    </w:rPr>
  </w:style>
  <w:style w:type="paragraph" w:styleId="TOC2">
    <w:name w:val="toc 2"/>
    <w:basedOn w:val="TOC1"/>
    <w:next w:val="Normal"/>
    <w:pPr>
      <w:spacing w:before="0" w:after="0"/>
      <w:ind w:hanging="0" w:start="200" w:end="0"/>
    </w:pPr>
    <w:rPr>
      <w:b w:val="false"/>
      <w:bCs w:val="false"/>
      <w:caps w:val="false"/>
      <w:smallCaps w:val="false"/>
    </w:rPr>
  </w:style>
  <w:style w:type="paragraph" w:styleId="TOC3">
    <w:name w:val="toc 3"/>
    <w:basedOn w:val="TOC2"/>
    <w:next w:val="Normal"/>
    <w:pPr>
      <w:ind w:hanging="0" w:start="400" w:end="0"/>
    </w:pPr>
    <w:rPr>
      <w:i/>
      <w:iCs/>
      <w:caps w:val="false"/>
      <w:smallCaps w:val="false"/>
    </w:rPr>
  </w:style>
  <w:style w:type="paragraph" w:styleId="TOC4">
    <w:name w:val="toc 4"/>
    <w:basedOn w:val="TOC3"/>
    <w:next w:val="Normal"/>
    <w:pPr>
      <w:ind w:hanging="0" w:start="600" w:end="0"/>
    </w:pPr>
    <w:rPr>
      <w:i w:val="false"/>
      <w:iCs w:val="false"/>
      <w:sz w:val="18"/>
      <w:szCs w:val="18"/>
    </w:rPr>
  </w:style>
  <w:style w:type="paragraph" w:styleId="TOC5">
    <w:name w:val="toc 5"/>
    <w:basedOn w:val="TOC4"/>
    <w:next w:val="Normal"/>
    <w:pPr>
      <w:ind w:hanging="0" w:start="800" w:end="0"/>
    </w:pPr>
    <w:rPr/>
  </w:style>
  <w:style w:type="paragraph" w:styleId="TOC6">
    <w:name w:val="toc 6"/>
    <w:basedOn w:val="TOC5"/>
    <w:next w:val="Normal"/>
    <w:pPr>
      <w:ind w:hanging="0" w:start="1000" w:end="0"/>
    </w:pPr>
    <w:rPr/>
  </w:style>
  <w:style w:type="paragraph" w:styleId="NotarSig">
    <w:name w:val="NotarSig"/>
    <w:basedOn w:val="Normal"/>
    <w:next w:val="Normal"/>
    <w:qFormat/>
    <w:pPr>
      <w:tabs>
        <w:tab w:val="clear" w:pos="567"/>
        <w:tab w:val="clear" w:pos="1134"/>
        <w:tab w:val="clear" w:pos="7938"/>
      </w:tabs>
      <w:spacing w:lineRule="exact" w:line="360" w:before="1200" w:after="120"/>
      <w:ind w:hanging="0" w:start="4820" w:end="0"/>
      <w:jc w:val="start"/>
    </w:pPr>
    <w:rPr>
      <w:lang w:val="de-DE"/>
    </w:rPr>
  </w:style>
  <w:style w:type="paragraph" w:styleId="text1">
    <w:name w:val="text1"/>
    <w:basedOn w:val="Normal"/>
    <w:qFormat/>
    <w:pPr>
      <w:tabs>
        <w:tab w:val="clear" w:pos="567"/>
        <w:tab w:val="clear" w:pos="1134"/>
        <w:tab w:val="clear" w:pos="7938"/>
      </w:tabs>
    </w:pPr>
    <w:rPr>
      <w:lang w:val="de-DE"/>
    </w:rPr>
  </w:style>
  <w:style w:type="paragraph" w:styleId="StyleOrtDatum8pt">
    <w:name w:val="Style Ort_Datum + 8 pt"/>
    <w:basedOn w:val="OrtDatum"/>
    <w:qFormat/>
    <w:pPr>
      <w:tabs>
        <w:tab w:val="clear" w:pos="567"/>
        <w:tab w:val="clear" w:pos="1134"/>
        <w:tab w:val="clear" w:pos="7938"/>
      </w:tabs>
      <w:jc w:val="start"/>
    </w:pPr>
    <w:rPr>
      <w:sz w:val="16"/>
      <w:szCs w:val="16"/>
    </w:rPr>
  </w:style>
  <w:style w:type="paragraph" w:styleId="Emailaddress">
    <w:name w:val="Emailaddress"/>
    <w:basedOn w:val="OrtDatum"/>
    <w:qFormat/>
    <w:pPr>
      <w:tabs>
        <w:tab w:val="clear" w:pos="567"/>
        <w:tab w:val="clear" w:pos="1134"/>
        <w:tab w:val="clear" w:pos="7938"/>
        <w:tab w:val="right" w:pos="8789" w:leader="none"/>
      </w:tabs>
      <w:spacing w:before="0" w:after="960"/>
      <w:ind w:hanging="0" w:start="4111" w:end="-851"/>
      <w:jc w:val="start"/>
    </w:pPr>
    <w:rPr>
      <w:sz w:val="16"/>
      <w:szCs w:val="16"/>
    </w:rPr>
  </w:style>
  <w:style w:type="paragraph" w:styleId="StyleOrtDatumLeftLeft725cmRight-15cm">
    <w:name w:val="Style Ort_Datum + Left Left:  7.25 cm Right:  -1.5 cm"/>
    <w:basedOn w:val="OrtDatum"/>
    <w:qFormat/>
    <w:pPr>
      <w:tabs>
        <w:tab w:val="clear" w:pos="567"/>
        <w:tab w:val="clear" w:pos="1134"/>
        <w:tab w:val="clear" w:pos="7938"/>
      </w:tabs>
      <w:spacing w:before="720" w:after="0"/>
      <w:ind w:hanging="0" w:start="4111" w:end="-851"/>
      <w:jc w:val="start"/>
    </w:pPr>
    <w:rPr/>
  </w:style>
  <w:style w:type="paragraph" w:styleId="StyleOrtDatumLeftLeft725cmRight-15cm1">
    <w:name w:val="Style Ort_Datum + Left Left:  7.25 cm Right:  -1.5 cm1"/>
    <w:basedOn w:val="OrtDatum"/>
    <w:qFormat/>
    <w:pPr>
      <w:tabs>
        <w:tab w:val="clear" w:pos="567"/>
        <w:tab w:val="clear" w:pos="1134"/>
        <w:tab w:val="clear" w:pos="7938"/>
      </w:tabs>
      <w:spacing w:before="720" w:after="0"/>
      <w:ind w:hanging="0" w:start="4111" w:end="-851"/>
      <w:jc w:val="start"/>
    </w:pPr>
    <w:rPr/>
  </w:style>
  <w:style w:type="paragraph" w:styleId="Email">
    <w:name w:val="Email"/>
    <w:basedOn w:val="Normal"/>
    <w:next w:val="Nachrichtenkopf"/>
    <w:qFormat/>
    <w:pPr>
      <w:tabs>
        <w:tab w:val="clear" w:pos="567"/>
        <w:tab w:val="clear" w:pos="1134"/>
        <w:tab w:val="clear" w:pos="7938"/>
      </w:tabs>
      <w:spacing w:lineRule="atLeast" w:line="240" w:before="0" w:after="960"/>
      <w:jc w:val="start"/>
    </w:pPr>
    <w:rPr>
      <w:sz w:val="16"/>
      <w:szCs w:val="16"/>
    </w:rPr>
  </w:style>
  <w:style w:type="paragraph" w:styleId="Textkrper2">
    <w:name w:val="Textkörper 2"/>
    <w:basedOn w:val="Normal"/>
    <w:qFormat/>
    <w:pPr>
      <w:tabs>
        <w:tab w:val="clear" w:pos="567"/>
        <w:tab w:val="clear" w:pos="1134"/>
        <w:tab w:val="clear" w:pos="7938"/>
      </w:tabs>
      <w:spacing w:lineRule="exact" w:line="300" w:before="0" w:after="120"/>
      <w:ind w:hanging="0" w:start="1702" w:end="0"/>
    </w:pPr>
    <w:rPr>
      <w:lang w:val="en-US" w:eastAsia="en-US"/>
    </w:rPr>
  </w:style>
  <w:style w:type="paragraph" w:styleId="TOC7">
    <w:name w:val="toc 7"/>
    <w:basedOn w:val="Normal"/>
    <w:next w:val="Normal"/>
    <w:pPr>
      <w:tabs>
        <w:tab w:val="clear" w:pos="567"/>
        <w:tab w:val="clear" w:pos="1134"/>
        <w:tab w:val="clear" w:pos="7938"/>
      </w:tabs>
      <w:spacing w:before="0" w:after="0"/>
      <w:ind w:hanging="0" w:start="1200" w:end="0"/>
      <w:jc w:val="start"/>
    </w:pPr>
    <w:rPr>
      <w:rFonts w:ascii="Times New Roman" w:hAnsi="Times New Roman" w:cs="Times New Roman"/>
      <w:sz w:val="18"/>
      <w:szCs w:val="18"/>
    </w:rPr>
  </w:style>
  <w:style w:type="paragraph" w:styleId="TOC8">
    <w:name w:val="toc 8"/>
    <w:basedOn w:val="Normal"/>
    <w:next w:val="Normal"/>
    <w:pPr>
      <w:tabs>
        <w:tab w:val="clear" w:pos="567"/>
        <w:tab w:val="clear" w:pos="1134"/>
        <w:tab w:val="clear" w:pos="7938"/>
      </w:tabs>
      <w:spacing w:before="0" w:after="0"/>
      <w:ind w:hanging="0" w:start="1400" w:end="0"/>
      <w:jc w:val="start"/>
    </w:pPr>
    <w:rPr>
      <w:rFonts w:ascii="Times New Roman" w:hAnsi="Times New Roman" w:cs="Times New Roman"/>
      <w:sz w:val="18"/>
      <w:szCs w:val="18"/>
    </w:rPr>
  </w:style>
  <w:style w:type="paragraph" w:styleId="TOC9">
    <w:name w:val="toc 9"/>
    <w:basedOn w:val="Normal"/>
    <w:next w:val="Normal"/>
    <w:pPr>
      <w:tabs>
        <w:tab w:val="clear" w:pos="567"/>
        <w:tab w:val="clear" w:pos="1134"/>
        <w:tab w:val="clear" w:pos="7938"/>
      </w:tabs>
      <w:spacing w:before="0" w:after="0"/>
      <w:ind w:hanging="0" w:start="1600" w:end="0"/>
      <w:jc w:val="start"/>
    </w:pPr>
    <w:rPr>
      <w:rFonts w:ascii="Times New Roman" w:hAnsi="Times New Roman" w:cs="Times New Roman"/>
      <w:sz w:val="18"/>
      <w:szCs w:val="18"/>
    </w:rPr>
  </w:style>
  <w:style w:type="paragraph" w:styleId="Dokumentstruktur">
    <w:name w:val="Dokumentstruktur"/>
    <w:basedOn w:val="Normal"/>
    <w:qFormat/>
    <w:pPr>
      <w:shd w:fill="000080" w:val="clear"/>
      <w:tabs>
        <w:tab w:val="clear" w:pos="567"/>
        <w:tab w:val="clear" w:pos="1134"/>
        <w:tab w:val="clear" w:pos="7938"/>
      </w:tabs>
      <w:spacing w:lineRule="auto" w:line="240" w:before="0" w:after="0"/>
      <w:jc w:val="start"/>
    </w:pPr>
    <w:rPr>
      <w:rFonts w:ascii="Tahoma" w:hAnsi="Tahoma" w:cs="Tahoma"/>
    </w:rPr>
  </w:style>
  <w:style w:type="paragraph" w:styleId="Formatvorlageberschrift1ZeilenabstandGenau15pt">
    <w:name w:val="Formatvorlage Überschrift 1 + Zeilenabstand:  Genau 15 pt"/>
    <w:basedOn w:val="Heading1"/>
    <w:qFormat/>
    <w:pPr>
      <w:numPr>
        <w:ilvl w:val="0"/>
        <w:numId w:val="6"/>
      </w:numPr>
      <w:tabs>
        <w:tab w:val="clear" w:pos="567"/>
        <w:tab w:val="clear" w:pos="1134"/>
        <w:tab w:val="clear" w:pos="7938"/>
        <w:tab w:val="left" w:pos="570" w:leader="none"/>
      </w:tabs>
      <w:spacing w:lineRule="exact" w:line="300"/>
      <w:ind w:hanging="570" w:start="0" w:end="0"/>
      <w:jc w:val="start"/>
    </w:pPr>
    <w:rPr/>
  </w:style>
  <w:style w:type="paragraph" w:styleId="Normal0">
    <w:name w:val="Normal 0"/>
    <w:basedOn w:val="Normal"/>
    <w:qFormat/>
    <w:pPr>
      <w:tabs>
        <w:tab w:val="clear" w:pos="567"/>
        <w:tab w:val="clear" w:pos="1134"/>
        <w:tab w:val="clear" w:pos="7938"/>
        <w:tab w:val="left" w:pos="0" w:leader="none"/>
        <w:tab w:val="left" w:pos="851" w:leader="none"/>
        <w:tab w:val="left" w:pos="1418" w:leader="none"/>
        <w:tab w:val="left" w:pos="1985" w:leader="none"/>
        <w:tab w:val="left" w:pos="2552" w:leader="none"/>
        <w:tab w:val="left" w:pos="3119" w:leader="none"/>
      </w:tabs>
      <w:spacing w:lineRule="atLeast" w:line="290"/>
    </w:pPr>
    <w:rPr/>
  </w:style>
  <w:style w:type="paragraph" w:styleId="OmniPage1">
    <w:name w:val="OmniPage #1"/>
    <w:qFormat/>
    <w:pPr>
      <w:widowControl/>
      <w:tabs>
        <w:tab w:val="clear" w:pos="708"/>
        <w:tab w:val="left" w:pos="100" w:leader="none"/>
        <w:tab w:val="right" w:pos="8740" w:leader="none"/>
      </w:tabs>
      <w:bidi w:val="0"/>
      <w:ind w:hanging="0" w:start="100" w:end="100"/>
    </w:pPr>
    <w:rPr>
      <w:rFonts w:ascii="CG Times (WN)" w:hAnsi="CG Times (WN)" w:eastAsia="Times New Roman" w:cs="CG Times (WN)"/>
      <w:color w:val="auto"/>
      <w:sz w:val="20"/>
      <w:szCs w:val="20"/>
      <w:lang w:val="en-US" w:bidi="ar-SA" w:eastAsia="zh-CN"/>
    </w:rPr>
  </w:style>
  <w:style w:type="paragraph" w:styleId="OmniPage2">
    <w:name w:val="OmniPage #2"/>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3">
    <w:name w:val="OmniPage #3"/>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4">
    <w:name w:val="OmniPage #4"/>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5">
    <w:name w:val="OmniPage #5"/>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6">
    <w:name w:val="OmniPage #6"/>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7">
    <w:name w:val="OmniPage #7"/>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8">
    <w:name w:val="OmniPage #8"/>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9">
    <w:name w:val="OmniPage #9"/>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0">
    <w:name w:val="OmniPage #10"/>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1">
    <w:name w:val="OmniPage #11"/>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2">
    <w:name w:val="OmniPage #12"/>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3">
    <w:name w:val="OmniPage #13"/>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4">
    <w:name w:val="OmniPage #14"/>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5">
    <w:name w:val="OmniPage #15"/>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257">
    <w:name w:val="OmniPage #257"/>
    <w:qFormat/>
    <w:pPr>
      <w:widowControl/>
      <w:tabs>
        <w:tab w:val="clear" w:pos="708"/>
        <w:tab w:val="left" w:pos="100" w:leader="none"/>
        <w:tab w:val="right" w:pos="8740" w:leader="none"/>
      </w:tabs>
      <w:bidi w:val="0"/>
      <w:ind w:hanging="0" w:start="100" w:end="100"/>
    </w:pPr>
    <w:rPr>
      <w:rFonts w:ascii="Arial" w:hAnsi="Arial" w:eastAsia="Times New Roman" w:cs="Arial"/>
      <w:color w:val="auto"/>
      <w:sz w:val="20"/>
      <w:szCs w:val="20"/>
      <w:lang w:val="en-US" w:bidi="ar-SA" w:eastAsia="zh-CN"/>
    </w:rPr>
  </w:style>
  <w:style w:type="paragraph" w:styleId="OmniPage258">
    <w:name w:val="OmniPage #25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9">
    <w:name w:val="OmniPage #25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60">
    <w:name w:val="OmniPage #26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61">
    <w:name w:val="OmniPage #26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62">
    <w:name w:val="OmniPage #26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63">
    <w:name w:val="OmniPage #26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3">
    <w:name w:val="OmniPage #51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4">
    <w:name w:val="OmniPage #51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5">
    <w:name w:val="OmniPage #51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6">
    <w:name w:val="OmniPage #51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7">
    <w:name w:val="OmniPage #51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8">
    <w:name w:val="OmniPage #51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9">
    <w:name w:val="OmniPage #51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69">
    <w:name w:val="OmniPage #76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0">
    <w:name w:val="OmniPage #77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1">
    <w:name w:val="OmniPage #77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2">
    <w:name w:val="OmniPage #77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3">
    <w:name w:val="OmniPage #77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4">
    <w:name w:val="OmniPage #77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5">
    <w:name w:val="OmniPage #77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6">
    <w:name w:val="OmniPage #77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7">
    <w:name w:val="OmniPage #77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5">
    <w:name w:val="OmniPage #102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6">
    <w:name w:val="OmniPage #102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7">
    <w:name w:val="OmniPage #102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8">
    <w:name w:val="OmniPage #102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9">
    <w:name w:val="OmniPage #102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0">
    <w:name w:val="OmniPage #103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1">
    <w:name w:val="OmniPage #103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2">
    <w:name w:val="OmniPage #103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3">
    <w:name w:val="OmniPage #103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4">
    <w:name w:val="OmniPage #103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5">
    <w:name w:val="OmniPage #103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6">
    <w:name w:val="OmniPage #103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7">
    <w:name w:val="OmniPage #103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1">
    <w:name w:val="OmniPage #128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2">
    <w:name w:val="OmniPage #128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3">
    <w:name w:val="OmniPage #128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4">
    <w:name w:val="OmniPage #128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5">
    <w:name w:val="OmniPage #128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6">
    <w:name w:val="OmniPage #128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7">
    <w:name w:val="OmniPage #128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8">
    <w:name w:val="OmniPage #128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9">
    <w:name w:val="OmniPage #128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0">
    <w:name w:val="OmniPage #129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1">
    <w:name w:val="OmniPage #129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2">
    <w:name w:val="OmniPage #129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3">
    <w:name w:val="OmniPage #129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4">
    <w:name w:val="OmniPage #129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37">
    <w:name w:val="OmniPage #153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38">
    <w:name w:val="OmniPage #153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39">
    <w:name w:val="OmniPage #153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0">
    <w:name w:val="OmniPage #154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1">
    <w:name w:val="OmniPage #154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2">
    <w:name w:val="OmniPage #154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3">
    <w:name w:val="OmniPage #154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4">
    <w:name w:val="OmniPage #154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5">
    <w:name w:val="OmniPage #154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6">
    <w:name w:val="OmniPage #154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7">
    <w:name w:val="OmniPage #154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8">
    <w:name w:val="OmniPage #154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9">
    <w:name w:val="OmniPage #154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50">
    <w:name w:val="OmniPage #155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51">
    <w:name w:val="OmniPage #155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52">
    <w:name w:val="OmniPage #155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3">
    <w:name w:val="OmniPage #179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4">
    <w:name w:val="OmniPage #179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5">
    <w:name w:val="OmniPage #179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6">
    <w:name w:val="OmniPage #179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7">
    <w:name w:val="OmniPage #179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8">
    <w:name w:val="OmniPage #179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9">
    <w:name w:val="OmniPage #179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800">
    <w:name w:val="OmniPage #180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801">
    <w:name w:val="OmniPage #180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049">
    <w:name w:val="OmniPage #204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050">
    <w:name w:val="OmniPage #205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051">
    <w:name w:val="OmniPage #205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052">
    <w:name w:val="OmniPage #205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5">
    <w:name w:val="OmniPage #230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6">
    <w:name w:val="OmniPage #230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7">
    <w:name w:val="OmniPage #230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8">
    <w:name w:val="OmniPage #230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9">
    <w:name w:val="OmniPage #230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10">
    <w:name w:val="OmniPage #231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11">
    <w:name w:val="OmniPage #231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12">
    <w:name w:val="OmniPage #231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13">
    <w:name w:val="OmniPage #231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1">
    <w:name w:val="OmniPage #256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2">
    <w:name w:val="OmniPage #256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3">
    <w:name w:val="OmniPage #256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4">
    <w:name w:val="OmniPage #256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5">
    <w:name w:val="OmniPage #256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6">
    <w:name w:val="OmniPage #256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17">
    <w:name w:val="OmniPage #281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18">
    <w:name w:val="OmniPage #281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19">
    <w:name w:val="OmniPage #281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0">
    <w:name w:val="OmniPage #282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1">
    <w:name w:val="OmniPage #282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2">
    <w:name w:val="OmniPage #282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3">
    <w:name w:val="OmniPage #282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4">
    <w:name w:val="OmniPage #282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5">
    <w:name w:val="OmniPage #282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3">
    <w:name w:val="OmniPage #307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4">
    <w:name w:val="OmniPage #307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5">
    <w:name w:val="OmniPage #307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6">
    <w:name w:val="OmniPage #307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7">
    <w:name w:val="OmniPage #307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8">
    <w:name w:val="OmniPage #307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9">
    <w:name w:val="OmniPage #307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80">
    <w:name w:val="OmniPage #308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81">
    <w:name w:val="OmniPage #308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29">
    <w:name w:val="OmniPage #332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0">
    <w:name w:val="OmniPage #333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1">
    <w:name w:val="OmniPage #333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2">
    <w:name w:val="OmniPage #333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3">
    <w:name w:val="OmniPage #333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4">
    <w:name w:val="OmniPage #333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5">
    <w:name w:val="OmniPage #333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6">
    <w:name w:val="OmniPage #333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7">
    <w:name w:val="OmniPage #333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8">
    <w:name w:val="OmniPage #333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5">
    <w:name w:val="OmniPage #358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6">
    <w:name w:val="OmniPage #358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7">
    <w:name w:val="OmniPage #358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8">
    <w:name w:val="OmniPage #358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9">
    <w:name w:val="OmniPage #358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90">
    <w:name w:val="OmniPage #359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91">
    <w:name w:val="OmniPage #359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92">
    <w:name w:val="OmniPage #359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841">
    <w:name w:val="OmniPage #384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842">
    <w:name w:val="OmniPage #384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843">
    <w:name w:val="OmniPage #384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844">
    <w:name w:val="OmniPage #384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097">
    <w:name w:val="OmniPage #4097"/>
    <w:qFormat/>
    <w:pPr>
      <w:widowControl/>
      <w:tabs>
        <w:tab w:val="clear" w:pos="708"/>
        <w:tab w:val="left" w:pos="100" w:leader="none"/>
        <w:tab w:val="right" w:pos="8740" w:leader="none"/>
      </w:tabs>
      <w:bidi w:val="0"/>
      <w:ind w:hanging="0" w:start="100" w:end="100"/>
    </w:pPr>
    <w:rPr>
      <w:rFonts w:ascii="Arial" w:hAnsi="Arial" w:eastAsia="Times New Roman" w:cs="Arial"/>
      <w:color w:val="auto"/>
      <w:sz w:val="20"/>
      <w:szCs w:val="20"/>
      <w:lang w:val="en-US" w:bidi="ar-SA" w:eastAsia="zh-CN"/>
    </w:rPr>
  </w:style>
  <w:style w:type="paragraph" w:styleId="OmniPage4098">
    <w:name w:val="OmniPage #409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099">
    <w:name w:val="OmniPage #409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100">
    <w:name w:val="OmniPage #410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3">
    <w:name w:val="OmniPage #4353"/>
    <w:qFormat/>
    <w:pPr>
      <w:widowControl/>
      <w:tabs>
        <w:tab w:val="clear" w:pos="708"/>
        <w:tab w:val="left" w:pos="100" w:leader="none"/>
        <w:tab w:val="right" w:pos="8740" w:leader="none"/>
      </w:tabs>
      <w:bidi w:val="0"/>
      <w:ind w:hanging="0" w:start="100" w:end="100"/>
    </w:pPr>
    <w:rPr>
      <w:rFonts w:ascii="Arial" w:hAnsi="Arial" w:eastAsia="Times New Roman" w:cs="Arial"/>
      <w:color w:val="auto"/>
      <w:sz w:val="20"/>
      <w:szCs w:val="20"/>
      <w:lang w:val="en-US" w:bidi="ar-SA" w:eastAsia="zh-CN"/>
    </w:rPr>
  </w:style>
  <w:style w:type="paragraph" w:styleId="OmniPage4354">
    <w:name w:val="OmniPage #435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5">
    <w:name w:val="OmniPage #435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6">
    <w:name w:val="OmniPage #435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7">
    <w:name w:val="OmniPage #435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8">
    <w:name w:val="OmniPage #435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9">
    <w:name w:val="OmniPage #435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60">
    <w:name w:val="OmniPage #436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1">
    <w:name w:val="1"/>
    <w:basedOn w:val="Normal"/>
    <w:qFormat/>
    <w:pPr>
      <w:tabs>
        <w:tab w:val="clear" w:pos="1134"/>
        <w:tab w:val="clear" w:pos="7938"/>
        <w:tab w:val="left" w:pos="567" w:leader="none"/>
      </w:tabs>
      <w:spacing w:lineRule="auto" w:line="312" w:before="120" w:after="240"/>
      <w:ind w:hanging="720" w:start="720" w:end="0"/>
    </w:pPr>
    <w:rPr>
      <w:rFonts w:ascii="Times New Roman" w:hAnsi="Times New Roman" w:cs="Times New Roman"/>
      <w:b/>
      <w:bCs/>
      <w:sz w:val="24"/>
      <w:szCs w:val="24"/>
    </w:rPr>
  </w:style>
  <w:style w:type="paragraph" w:styleId="BodyTextIndent">
    <w:name w:val="Body Text Indent"/>
    <w:basedOn w:val="Normal"/>
    <w:pPr>
      <w:widowControl w:val="false"/>
      <w:tabs>
        <w:tab w:val="clear" w:pos="567"/>
        <w:tab w:val="clear" w:pos="1134"/>
        <w:tab w:val="clear" w:pos="7938"/>
      </w:tabs>
      <w:spacing w:lineRule="atLeast" w:line="240"/>
      <w:ind w:hanging="0" w:start="851" w:end="0"/>
    </w:pPr>
    <w:rPr>
      <w:rFonts w:ascii="Times New Roman" w:hAnsi="Times New Roman" w:cs="Times New Roman"/>
      <w:sz w:val="24"/>
      <w:szCs w:val="24"/>
    </w:rPr>
  </w:style>
  <w:style w:type="paragraph" w:styleId="Aufzhlungszeichen">
    <w:name w:val="Aufzählungszeichen"/>
    <w:basedOn w:val="Normal"/>
    <w:qFormat/>
    <w:pPr>
      <w:numPr>
        <w:ilvl w:val="0"/>
        <w:numId w:val="12"/>
      </w:numPr>
      <w:tabs>
        <w:tab w:val="clear" w:pos="567"/>
        <w:tab w:val="clear" w:pos="1134"/>
        <w:tab w:val="clear" w:pos="7938"/>
      </w:tabs>
      <w:spacing w:lineRule="auto" w:line="240" w:before="0" w:after="0"/>
      <w:ind w:hanging="283" w:start="283" w:end="0"/>
      <w:jc w:val="start"/>
    </w:pPr>
    <w:rPr>
      <w:rFonts w:ascii="CG Times (WN)" w:hAnsi="CG Times (WN)" w:cs="CG Times (WN)"/>
    </w:rPr>
  </w:style>
  <w:style w:type="paragraph" w:styleId="standart">
    <w:name w:val="standart"/>
    <w:basedOn w:val="Heading2"/>
    <w:qFormat/>
    <w:pPr>
      <w:keepNext w:val="false"/>
      <w:widowControl w:val="false"/>
      <w:numPr>
        <w:ilvl w:val="0"/>
        <w:numId w:val="0"/>
      </w:numPr>
      <w:tabs>
        <w:tab w:val="clear" w:pos="567"/>
        <w:tab w:val="clear" w:pos="7938"/>
        <w:tab w:val="left" w:pos="1134" w:leader="none"/>
      </w:tabs>
      <w:spacing w:lineRule="exact" w:line="300" w:before="0" w:after="360"/>
      <w:ind w:hanging="720" w:start="720" w:end="0"/>
    </w:pPr>
    <w:rPr>
      <w:rFonts w:ascii="Times New Roman" w:hAnsi="Times New Roman" w:cs="Times New Roman"/>
      <w:spacing w:val="0"/>
      <w:sz w:val="24"/>
      <w:szCs w:val="24"/>
    </w:rPr>
  </w:style>
  <w:style w:type="paragraph" w:styleId="Textkrper-Einzug2">
    <w:name w:val="Textkörper-Einzug 2"/>
    <w:basedOn w:val="Normal"/>
    <w:qFormat/>
    <w:pPr>
      <w:tabs>
        <w:tab w:val="clear" w:pos="567"/>
        <w:tab w:val="clear" w:pos="1134"/>
        <w:tab w:val="clear" w:pos="7938"/>
      </w:tabs>
      <w:spacing w:lineRule="auto" w:line="240" w:before="0" w:after="0"/>
      <w:ind w:hanging="720" w:start="720" w:end="0"/>
      <w:jc w:val="start"/>
    </w:pPr>
    <w:rPr>
      <w:rFonts w:ascii="Times New Roman" w:hAnsi="Times New Roman" w:cs="Times New Roman"/>
      <w:sz w:val="24"/>
      <w:szCs w:val="24"/>
    </w:rPr>
  </w:style>
  <w:style w:type="paragraph" w:styleId="Textkrper-Einzug3">
    <w:name w:val="Textkörper-Einzug 3"/>
    <w:basedOn w:val="Normal"/>
    <w:qFormat/>
    <w:pPr>
      <w:tabs>
        <w:tab w:val="clear" w:pos="567"/>
        <w:tab w:val="clear" w:pos="1134"/>
        <w:tab w:val="clear" w:pos="7938"/>
      </w:tabs>
      <w:spacing w:lineRule="auto" w:line="240" w:before="0" w:after="0"/>
      <w:ind w:hanging="0" w:start="720" w:end="0"/>
    </w:pPr>
    <w:rPr>
      <w:rFonts w:ascii="Times New Roman" w:hAnsi="Times New Roman" w:cs="Times New Roman"/>
      <w:sz w:val="24"/>
      <w:szCs w:val="24"/>
    </w:rPr>
  </w:style>
  <w:style w:type="paragraph" w:styleId="Textkrper3">
    <w:name w:val="Textkörper 3"/>
    <w:basedOn w:val="Normal"/>
    <w:qFormat/>
    <w:pPr>
      <w:tabs>
        <w:tab w:val="clear" w:pos="567"/>
        <w:tab w:val="clear" w:pos="1134"/>
        <w:tab w:val="clear" w:pos="7938"/>
      </w:tabs>
      <w:spacing w:lineRule="auto" w:line="240" w:before="0" w:after="0"/>
      <w:jc w:val="start"/>
    </w:pPr>
    <w:rPr>
      <w:rFonts w:ascii="Times New Roman" w:hAnsi="Times New Roman" w:cs="Times New Roman"/>
      <w:sz w:val="24"/>
      <w:szCs w:val="24"/>
    </w:rPr>
  </w:style>
  <w:style w:type="paragraph" w:styleId="Sprechblasentext">
    <w:name w:val="Sprechblasentext"/>
    <w:basedOn w:val="Normal"/>
    <w:qFormat/>
    <w:pPr/>
    <w:rPr>
      <w:rFonts w:ascii="Tahoma" w:hAnsi="Tahoma" w:cs="Tahoma"/>
      <w:sz w:val="16"/>
      <w:szCs w:val="16"/>
    </w:rPr>
  </w:style>
  <w:style w:type="paragraph" w:styleId="Level1Numbered">
    <w:name w:val="Level 1 Numbered"/>
    <w:basedOn w:val="Normal"/>
    <w:qFormat/>
    <w:pPr>
      <w:numPr>
        <w:ilvl w:val="0"/>
        <w:numId w:val="6"/>
      </w:numPr>
      <w:tabs>
        <w:tab w:val="clear" w:pos="567"/>
        <w:tab w:val="clear" w:pos="1134"/>
        <w:tab w:val="clear" w:pos="7938"/>
      </w:tabs>
      <w:spacing w:lineRule="auto" w:line="240"/>
      <w:jc w:val="start"/>
    </w:pPr>
    <w:rPr>
      <w:rFonts w:ascii="Times New Roman" w:hAnsi="Times New Roman" w:cs="Times New Roman"/>
      <w:sz w:val="22"/>
      <w:szCs w:val="22"/>
      <w:lang w:val="en-US"/>
    </w:rPr>
  </w:style>
  <w:style w:type="paragraph" w:styleId="TableLevel1Numbered">
    <w:name w:val="Table Level 1 Numbered"/>
    <w:basedOn w:val="Normal"/>
    <w:qFormat/>
    <w:pPr>
      <w:numPr>
        <w:ilvl w:val="0"/>
        <w:numId w:val="3"/>
      </w:numPr>
      <w:tabs>
        <w:tab w:val="clear" w:pos="567"/>
        <w:tab w:val="clear" w:pos="1134"/>
        <w:tab w:val="clear" w:pos="7938"/>
      </w:tabs>
      <w:spacing w:lineRule="auto" w:line="240"/>
      <w:jc w:val="start"/>
    </w:pPr>
    <w:rPr>
      <w:rFonts w:ascii="Times New Roman" w:hAnsi="Times New Roman" w:cs="Times New Roman"/>
      <w:sz w:val="22"/>
      <w:szCs w:val="22"/>
      <w:lang w:val="en-US"/>
    </w:rPr>
  </w:style>
  <w:style w:type="paragraph" w:styleId="TableLevel2Numbered">
    <w:name w:val="Table Level 2 Numbered"/>
    <w:basedOn w:val="Normal"/>
    <w:qFormat/>
    <w:pPr>
      <w:numPr>
        <w:ilvl w:val="0"/>
        <w:numId w:val="3"/>
      </w:numPr>
      <w:tabs>
        <w:tab w:val="clear" w:pos="567"/>
        <w:tab w:val="clear" w:pos="1134"/>
        <w:tab w:val="clear" w:pos="7938"/>
      </w:tabs>
      <w:spacing w:lineRule="auto" w:line="240"/>
      <w:ind w:hanging="619" w:start="1008" w:end="0"/>
      <w:jc w:val="start"/>
    </w:pPr>
    <w:rPr>
      <w:rFonts w:ascii="Times New Roman" w:hAnsi="Times New Roman" w:cs="Times New Roman"/>
      <w:sz w:val="22"/>
      <w:szCs w:val="22"/>
      <w:lang w:val="en-US"/>
    </w:rPr>
  </w:style>
  <w:style w:type="paragraph" w:styleId="TableLevel3Numbered">
    <w:name w:val="Table Level 3 Numbered"/>
    <w:basedOn w:val="Normal"/>
    <w:qFormat/>
    <w:pPr>
      <w:numPr>
        <w:ilvl w:val="0"/>
        <w:numId w:val="3"/>
      </w:numPr>
      <w:tabs>
        <w:tab w:val="clear" w:pos="567"/>
        <w:tab w:val="clear" w:pos="1134"/>
        <w:tab w:val="clear" w:pos="7938"/>
      </w:tabs>
      <w:spacing w:lineRule="auto" w:line="240"/>
      <w:ind w:hanging="878" w:start="1296" w:end="0"/>
      <w:jc w:val="start"/>
    </w:pPr>
    <w:rPr>
      <w:rFonts w:ascii="Times New Roman" w:hAnsi="Times New Roman" w:cs="Times New Roman"/>
      <w:sz w:val="22"/>
      <w:szCs w:val="22"/>
      <w:lang w:val="en-US"/>
    </w:rPr>
  </w:style>
  <w:style w:type="paragraph" w:styleId="TableLevel4Numbered">
    <w:name w:val="Table Level 4 Numbered"/>
    <w:basedOn w:val="Normal"/>
    <w:qFormat/>
    <w:pPr>
      <w:numPr>
        <w:ilvl w:val="0"/>
        <w:numId w:val="3"/>
      </w:numPr>
      <w:tabs>
        <w:tab w:val="clear" w:pos="567"/>
        <w:tab w:val="clear" w:pos="1134"/>
        <w:tab w:val="clear" w:pos="7938"/>
      </w:tabs>
      <w:spacing w:lineRule="auto" w:line="240"/>
      <w:ind w:hanging="994" w:start="1440" w:end="0"/>
      <w:jc w:val="start"/>
    </w:pPr>
    <w:rPr>
      <w:rFonts w:ascii="Times New Roman" w:hAnsi="Times New Roman" w:cs="Times New Roman"/>
      <w:sz w:val="22"/>
      <w:szCs w:val="22"/>
      <w:lang w:val="en-US"/>
    </w:rPr>
  </w:style>
  <w:style w:type="paragraph" w:styleId="StandardWeb">
    <w:name w:val="Standard (Web)"/>
    <w:basedOn w:val="Normal"/>
    <w:qFormat/>
    <w:pPr>
      <w:tabs>
        <w:tab w:val="clear" w:pos="567"/>
        <w:tab w:val="clear" w:pos="1134"/>
        <w:tab w:val="clear" w:pos="7938"/>
      </w:tabs>
      <w:spacing w:lineRule="auto" w:line="240" w:before="100" w:after="100"/>
      <w:jc w:val="start"/>
    </w:pPr>
    <w:rPr>
      <w:rFonts w:ascii="Times New Roman" w:hAnsi="Times New Roman" w:cs="Times New Roman"/>
      <w:sz w:val="24"/>
      <w:szCs w:val="24"/>
      <w:lang w:val="en-US"/>
    </w:rPr>
  </w:style>
  <w:style w:type="paragraph" w:styleId="Bullet1Table">
    <w:name w:val="Bullet 1 Table"/>
    <w:basedOn w:val="Normal"/>
    <w:qFormat/>
    <w:pPr>
      <w:numPr>
        <w:ilvl w:val="0"/>
        <w:numId w:val="11"/>
      </w:numPr>
      <w:tabs>
        <w:tab w:val="clear" w:pos="567"/>
        <w:tab w:val="clear" w:pos="1134"/>
        <w:tab w:val="clear" w:pos="7938"/>
      </w:tabs>
      <w:spacing w:lineRule="auto" w:line="360"/>
      <w:jc w:val="start"/>
    </w:pPr>
    <w:rPr>
      <w:lang w:val="en-US"/>
    </w:rPr>
  </w:style>
  <w:style w:type="paragraph" w:styleId="TableText">
    <w:name w:val="Table Text"/>
    <w:basedOn w:val="Normal"/>
    <w:qFormat/>
    <w:pPr>
      <w:tabs>
        <w:tab w:val="clear" w:pos="567"/>
        <w:tab w:val="clear" w:pos="1134"/>
        <w:tab w:val="clear" w:pos="7938"/>
      </w:tabs>
      <w:spacing w:lineRule="auto" w:line="240"/>
      <w:jc w:val="start"/>
    </w:pPr>
    <w:rPr>
      <w:rFonts w:ascii="Times New Roman" w:hAnsi="Times New Roman" w:cs="Times New Roman"/>
      <w:sz w:val="22"/>
      <w:szCs w:val="22"/>
      <w:lang w:val="en-US"/>
    </w:rPr>
  </w:style>
  <w:style w:type="paragraph" w:styleId="Level2Numbered">
    <w:name w:val="Level 2 Numbered"/>
    <w:basedOn w:val="Normal"/>
    <w:qFormat/>
    <w:pPr>
      <w:numPr>
        <w:ilvl w:val="0"/>
        <w:numId w:val="2"/>
      </w:numPr>
      <w:tabs>
        <w:tab w:val="clear" w:pos="567"/>
        <w:tab w:val="clear" w:pos="1134"/>
        <w:tab w:val="clear" w:pos="7938"/>
        <w:tab w:val="left" w:pos="851" w:leader="none"/>
      </w:tabs>
      <w:spacing w:lineRule="auto" w:line="240"/>
      <w:ind w:hanging="851" w:start="851" w:end="0"/>
      <w:jc w:val="start"/>
    </w:pPr>
    <w:rPr>
      <w:rFonts w:ascii="Times New Roman" w:hAnsi="Times New Roman" w:cs="Times New Roman"/>
      <w:sz w:val="22"/>
      <w:szCs w:val="22"/>
      <w:lang w:val="en-US"/>
    </w:rPr>
  </w:style>
  <w:style w:type="paragraph" w:styleId="Kommentarthema">
    <w:name w:val="Kommentarthema"/>
    <w:basedOn w:val="Kommentartext"/>
    <w:next w:val="Kommentartext"/>
    <w:qFormat/>
    <w:pPr>
      <w:tabs>
        <w:tab w:val="clear" w:pos="284"/>
        <w:tab w:val="left" w:pos="567" w:leader="none"/>
        <w:tab w:val="left" w:pos="1134" w:leader="none"/>
        <w:tab w:val="right" w:pos="7938" w:leader="none"/>
      </w:tabs>
      <w:spacing w:lineRule="atLeast" w:line="360" w:before="120" w:after="120"/>
      <w:ind w:hanging="0" w:start="0" w:end="0"/>
    </w:pPr>
    <w:rPr>
      <w:b/>
      <w:bCs/>
      <w:sz w:val="20"/>
      <w:szCs w:val="20"/>
    </w:rPr>
  </w:style>
  <w:style w:type="paragraph" w:styleId="Heading1Numbered">
    <w:name w:val="Heading 1 Numbered"/>
    <w:basedOn w:val="Normal"/>
    <w:qFormat/>
    <w:pPr>
      <w:tabs>
        <w:tab w:val="clear" w:pos="567"/>
        <w:tab w:val="clear" w:pos="1134"/>
        <w:tab w:val="clear" w:pos="7938"/>
      </w:tabs>
      <w:spacing w:lineRule="auto" w:line="240" w:before="240" w:after="240"/>
      <w:jc w:val="start"/>
    </w:pPr>
    <w:rPr>
      <w:rFonts w:ascii="Times New Roman Bold;Times New Roman" w:hAnsi="Times New Roman Bold;Times New Roman" w:cs="Times New Roman Bold;Times New Roman"/>
      <w:b/>
      <w:bCs/>
      <w:caps/>
      <w:sz w:val="28"/>
      <w:szCs w:val="28"/>
      <w:lang w:val="en-US"/>
    </w:rPr>
  </w:style>
  <w:style w:type="paragraph" w:styleId="Heading2Numbered">
    <w:name w:val="Heading 2 Numbered"/>
    <w:basedOn w:val="Normal"/>
    <w:qFormat/>
    <w:pPr>
      <w:tabs>
        <w:tab w:val="clear" w:pos="567"/>
        <w:tab w:val="clear" w:pos="1134"/>
        <w:tab w:val="clear" w:pos="7938"/>
      </w:tabs>
      <w:spacing w:lineRule="auto" w:line="240" w:before="240" w:after="240"/>
      <w:jc w:val="start"/>
    </w:pPr>
    <w:rPr>
      <w:rFonts w:ascii="Times New Roman Bold;Times New Roman" w:hAnsi="Times New Roman Bold;Times New Roman" w:cs="Times New Roman Bold;Times New Roman"/>
      <w:b/>
      <w:bCs/>
      <w:sz w:val="28"/>
      <w:szCs w:val="28"/>
      <w:lang w:val="en-US"/>
    </w:rPr>
  </w:style>
  <w:style w:type="paragraph" w:styleId="Heading3Numbered">
    <w:name w:val="Heading 3 Numbered"/>
    <w:basedOn w:val="Normal"/>
    <w:qFormat/>
    <w:pPr>
      <w:tabs>
        <w:tab w:val="clear" w:pos="567"/>
        <w:tab w:val="clear" w:pos="1134"/>
        <w:tab w:val="clear" w:pos="7938"/>
      </w:tabs>
      <w:spacing w:lineRule="auto" w:line="240" w:before="240" w:after="240"/>
      <w:jc w:val="start"/>
    </w:pPr>
    <w:rPr>
      <w:rFonts w:ascii="Times New Roman Bold;Times New Roman" w:hAnsi="Times New Roman Bold;Times New Roman" w:cs="Times New Roman Bold;Times New Roman"/>
      <w:b/>
      <w:bCs/>
      <w:sz w:val="24"/>
      <w:szCs w:val="24"/>
      <w:lang w:val="en-US"/>
    </w:rPr>
  </w:style>
  <w:style w:type="paragraph" w:styleId="Heading4Numbered">
    <w:name w:val="Heading 4 Numbered"/>
    <w:basedOn w:val="Normal"/>
    <w:qFormat/>
    <w:pPr>
      <w:tabs>
        <w:tab w:val="clear" w:pos="567"/>
        <w:tab w:val="clear" w:pos="1134"/>
        <w:tab w:val="clear" w:pos="7938"/>
      </w:tabs>
      <w:spacing w:lineRule="auto" w:line="240" w:before="240" w:after="240"/>
      <w:jc w:val="start"/>
    </w:pPr>
    <w:rPr>
      <w:rFonts w:ascii="Times New Roman Bold;Times New Roman" w:hAnsi="Times New Roman Bold;Times New Roman" w:cs="Times New Roman Bold;Times New Roman"/>
      <w:b/>
      <w:bCs/>
      <w:sz w:val="24"/>
      <w:szCs w:val="24"/>
      <w:lang w:val="en-US"/>
    </w:rPr>
  </w:style>
  <w:style w:type="paragraph" w:styleId="Level1Text">
    <w:name w:val="Level 1 Text"/>
    <w:basedOn w:val="BodyText"/>
    <w:qFormat/>
    <w:pPr>
      <w:numPr>
        <w:ilvl w:val="0"/>
        <w:numId w:val="5"/>
      </w:numPr>
      <w:tabs>
        <w:tab w:val="clear" w:pos="567"/>
        <w:tab w:val="clear" w:pos="1134"/>
        <w:tab w:val="clear" w:pos="7938"/>
      </w:tabs>
      <w:spacing w:lineRule="auto" w:line="240" w:before="360" w:after="360"/>
      <w:jc w:val="start"/>
    </w:pPr>
    <w:rPr>
      <w:rFonts w:ascii="Times New Roman" w:hAnsi="Times New Roman" w:cs="Times New Roman"/>
      <w:sz w:val="22"/>
      <w:szCs w:val="22"/>
      <w:lang w:val="en-US"/>
    </w:rPr>
  </w:style>
  <w:style w:type="paragraph" w:styleId="BodyTextBullet">
    <w:name w:val="Body Text Bullet"/>
    <w:basedOn w:val="Normal"/>
    <w:qFormat/>
    <w:pPr>
      <w:numPr>
        <w:ilvl w:val="0"/>
        <w:numId w:val="9"/>
      </w:numPr>
      <w:tabs>
        <w:tab w:val="clear" w:pos="567"/>
        <w:tab w:val="clear" w:pos="1134"/>
        <w:tab w:val="clear" w:pos="7938"/>
        <w:tab w:val="left" w:pos="1440" w:leader="none"/>
      </w:tabs>
      <w:spacing w:lineRule="auto" w:line="240"/>
      <w:ind w:hanging="360" w:start="1440" w:end="0"/>
      <w:jc w:val="start"/>
    </w:pPr>
    <w:rPr>
      <w:rFonts w:ascii="Times New Roman" w:hAnsi="Times New Roman" w:cs="Times New Roman"/>
      <w:sz w:val="22"/>
      <w:szCs w:val="22"/>
      <w:lang w:val="en-US"/>
    </w:rPr>
  </w:style>
  <w:style w:type="paragraph" w:styleId="Bullet1BodyText">
    <w:name w:val="Bullet 1 Body Text"/>
    <w:basedOn w:val="Normal"/>
    <w:qFormat/>
    <w:pPr>
      <w:numPr>
        <w:ilvl w:val="0"/>
        <w:numId w:val="4"/>
      </w:numPr>
      <w:tabs>
        <w:tab w:val="clear" w:pos="567"/>
        <w:tab w:val="clear" w:pos="1134"/>
        <w:tab w:val="clear" w:pos="7938"/>
      </w:tabs>
      <w:spacing w:lineRule="auto" w:line="240" w:before="240" w:after="240"/>
      <w:jc w:val="start"/>
    </w:pPr>
    <w:rPr>
      <w:rFonts w:ascii="Times New Roman" w:hAnsi="Times New Roman" w:cs="Times New Roman"/>
      <w:sz w:val="22"/>
      <w:szCs w:val="22"/>
      <w:lang w:val="en-US"/>
    </w:rPr>
  </w:style>
  <w:style w:type="paragraph" w:styleId="Char1CharCharCharCharChar">
    <w:name w:val="Char1 Char Char Char Char Char"/>
    <w:basedOn w:val="Normal"/>
    <w:qFormat/>
    <w:pPr>
      <w:tabs>
        <w:tab w:val="clear" w:pos="567"/>
        <w:tab w:val="clear" w:pos="1134"/>
        <w:tab w:val="clear" w:pos="7938"/>
      </w:tabs>
      <w:spacing w:lineRule="exact" w:line="240" w:before="0" w:after="160"/>
    </w:pPr>
    <w:rPr>
      <w:rFonts w:ascii="Arial" w:hAnsi="Arial" w:cs="Arial"/>
      <w:lang w:val="en-US"/>
    </w:rPr>
  </w:style>
  <w:style w:type="paragraph" w:styleId="RPF-BodyText">
    <w:name w:val="RPF-BodyText"/>
    <w:qFormat/>
    <w:pPr>
      <w:widowControl/>
      <w:bidi w:val="0"/>
      <w:spacing w:before="60" w:after="60"/>
    </w:pPr>
    <w:rPr>
      <w:rFonts w:ascii="Arial" w:hAnsi="Arial" w:eastAsia="SimSun;宋体" w:cs="Arial"/>
      <w:color w:val="auto"/>
      <w:sz w:val="20"/>
      <w:szCs w:val="20"/>
      <w:lang w:val="en-US" w:bidi="ar-SA" w:eastAsia="zh-CN"/>
    </w:rPr>
  </w:style>
  <w:style w:type="paragraph" w:styleId="RPF-BulletList">
    <w:name w:val="RPF-BulletList"/>
    <w:qFormat/>
    <w:pPr>
      <w:widowControl/>
      <w:bidi w:val="0"/>
      <w:spacing w:before="60" w:after="60"/>
      <w:jc w:val="both"/>
    </w:pPr>
    <w:rPr>
      <w:rFonts w:ascii="Arial" w:hAnsi="Arial" w:eastAsia="SimSun;宋体" w:cs="Arial"/>
      <w:color w:val="0000FF"/>
      <w:sz w:val="20"/>
      <w:szCs w:val="20"/>
      <w:lang w:val="en-GB" w:eastAsia="zh-CN" w:bidi="ar-SA"/>
    </w:rPr>
  </w:style>
  <w:style w:type="paragraph" w:styleId="CharChar">
    <w:name w:val=" Char Char"/>
    <w:basedOn w:val="Normal"/>
    <w:qFormat/>
    <w:pPr>
      <w:tabs>
        <w:tab w:val="clear" w:pos="567"/>
        <w:tab w:val="clear" w:pos="1134"/>
        <w:tab w:val="clear" w:pos="7938"/>
      </w:tabs>
      <w:spacing w:lineRule="exact" w:line="240" w:before="0" w:after="160"/>
    </w:pPr>
    <w:rPr>
      <w:rFonts w:ascii="Arial" w:hAnsi="Arial" w:cs="Times New Roman"/>
      <w:lang w:val="en-US"/>
    </w:rPr>
  </w:style>
  <w:style w:type="paragraph" w:styleId="Char1CharChar">
    <w:name w:val=" Char1 Char Char"/>
    <w:basedOn w:val="Normal"/>
    <w:qFormat/>
    <w:pPr>
      <w:tabs>
        <w:tab w:val="clear" w:pos="567"/>
        <w:tab w:val="clear" w:pos="1134"/>
        <w:tab w:val="clear" w:pos="7938"/>
      </w:tabs>
      <w:spacing w:lineRule="exact" w:line="240" w:before="0" w:after="160"/>
    </w:pPr>
    <w:rPr>
      <w:rFonts w:ascii="Arial" w:hAnsi="Arial" w:cs="Times New Roman"/>
      <w:lang w:val="en-US"/>
    </w:rPr>
  </w:style>
  <w:style w:type="paragraph" w:styleId="Char1CharChar1">
    <w:name w:val="Char1 Char Char"/>
    <w:basedOn w:val="Normal"/>
    <w:qFormat/>
    <w:pPr>
      <w:tabs>
        <w:tab w:val="clear" w:pos="567"/>
        <w:tab w:val="clear" w:pos="1134"/>
        <w:tab w:val="clear" w:pos="7938"/>
      </w:tabs>
      <w:spacing w:lineRule="exact" w:line="240" w:before="0" w:after="160"/>
    </w:pPr>
    <w:rPr>
      <w:rFonts w:ascii="Arial" w:hAnsi="Arial" w:cs="Arial"/>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2007-01-26T22:04:00Z</dcterms:created>
  <dc:creator>WP</dc:creator>
  <dc:description/>
  <dc:language>en-US</dc:language>
  <cp:lastModifiedBy>Wenger Plattner</cp:lastModifiedBy>
  <cp:lastPrinted>2007-01-31T10:50:00Z</cp:lastPrinted>
  <dcterms:modified xsi:type="dcterms:W3CDTF">2007-01-31T15:21:00Z</dcterms:modified>
  <cp:revision>34</cp:revision>
  <dc:subject/>
  <dc:title>MSA</dc:title>
</cp:coreProperties>
</file>