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jc w:val="center"/>
        <w:rPr/>
      </w:pPr>
      <w:r>
        <w:rPr/>
      </w:r>
    </w:p>
    <w:p>
      <w:pPr>
        <w:pStyle w:val="Title"/>
        <w:rPr/>
      </w:pPr>
      <w:r>
        <w:rPr/>
      </w:r>
    </w:p>
    <w:p>
      <w:pPr>
        <w:pStyle w:val="Title"/>
        <w:rPr/>
      </w:pPr>
      <w:r>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4</w:t>
      </w:r>
    </w:p>
    <w:p>
      <w:pPr>
        <w:pStyle w:val="Title"/>
        <w:rPr>
          <w:lang w:val="en-GB"/>
        </w:rPr>
      </w:pPr>
      <w:r>
        <w:rPr>
          <w:lang w:val="en-GB"/>
        </w:rPr>
      </w:r>
    </w:p>
    <w:p>
      <w:pPr>
        <w:pStyle w:val="Title"/>
        <w:rPr>
          <w:lang w:val="en-GB"/>
        </w:rPr>
      </w:pPr>
      <w:r>
        <w:rPr>
          <w:lang w:val="en-GB"/>
        </w:rPr>
        <w:t>Pricing &amp; Financial Provisions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\o "3-3" \t "Heading 1 Numbered,1,Heading 2 Numbered,2,Heading 3 Numbered,3"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GENERAL</w:t>
          </w:r>
          <w:r>
            <w:rPr>
              <w:sz w:val="18"/>
              <w:szCs w:val="18"/>
              <w:lang w:val="en-US" w:eastAsia="en-US"/>
            </w:rPr>
            <w:tab/>
          </w:r>
          <w:hyperlink w:anchor="__RefHeading___Toc153769586">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w:t>
          </w:r>
          <w:r>
            <w:rPr>
              <w:b w:val="false"/>
              <w:sz w:val="18"/>
              <w:szCs w:val="18"/>
              <w:lang w:val="en-US" w:eastAsia="en-US"/>
            </w:rPr>
            <w:tab/>
          </w:r>
          <w:r>
            <w:rPr>
              <w:sz w:val="18"/>
              <w:szCs w:val="18"/>
              <w:lang w:val="en-GB" w:eastAsia="en-US"/>
            </w:rPr>
            <w:t>Attachments</w:t>
          </w:r>
          <w:r>
            <w:rPr>
              <w:sz w:val="18"/>
              <w:szCs w:val="18"/>
              <w:lang w:val="en-US" w:eastAsia="en-US"/>
            </w:rPr>
            <w:tab/>
          </w:r>
          <w:hyperlink w:anchor="__RefHeading___Toc153769587">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1.2</w:t>
          </w:r>
          <w:r>
            <w:rPr>
              <w:b w:val="false"/>
              <w:sz w:val="18"/>
              <w:szCs w:val="18"/>
              <w:lang w:val="en-US" w:eastAsia="en-US"/>
            </w:rPr>
            <w:tab/>
          </w:r>
          <w:r>
            <w:rPr>
              <w:bCs/>
              <w:sz w:val="18"/>
              <w:szCs w:val="18"/>
              <w:lang w:val="en-GB" w:eastAsia="en-US"/>
            </w:rPr>
            <w:t>Starting Points</w:t>
          </w:r>
          <w:r>
            <w:rPr>
              <w:sz w:val="18"/>
              <w:szCs w:val="18"/>
              <w:lang w:val="en-US" w:eastAsia="en-US"/>
            </w:rPr>
            <w:tab/>
          </w:r>
          <w:hyperlink w:anchor="__RefHeading___Toc153769588">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1.3</w:t>
          </w:r>
          <w:r>
            <w:rPr>
              <w:b w:val="false"/>
              <w:sz w:val="18"/>
              <w:szCs w:val="18"/>
              <w:lang w:val="en-US" w:eastAsia="en-US"/>
            </w:rPr>
            <w:tab/>
          </w:r>
          <w:r>
            <w:rPr>
              <w:bCs/>
              <w:sz w:val="18"/>
              <w:szCs w:val="18"/>
              <w:lang w:val="en-GB" w:eastAsia="en-US"/>
            </w:rPr>
            <w:t>Service Charges Structure</w:t>
          </w:r>
          <w:r>
            <w:rPr>
              <w:sz w:val="18"/>
              <w:szCs w:val="18"/>
              <w:lang w:val="en-US" w:eastAsia="en-US"/>
            </w:rPr>
            <w:tab/>
          </w:r>
          <w:hyperlink w:anchor="__RefHeading___Toc153769589">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1.4</w:t>
          </w:r>
          <w:r>
            <w:rPr>
              <w:b w:val="false"/>
              <w:sz w:val="18"/>
              <w:szCs w:val="18"/>
              <w:lang w:val="en-US" w:eastAsia="en-US"/>
            </w:rPr>
            <w:tab/>
          </w:r>
          <w:r>
            <w:rPr>
              <w:bCs/>
              <w:sz w:val="18"/>
              <w:szCs w:val="18"/>
              <w:lang w:val="en-GB" w:eastAsia="en-US"/>
            </w:rPr>
            <w:t>Harmonisation</w:t>
          </w:r>
          <w:r>
            <w:rPr>
              <w:sz w:val="18"/>
              <w:szCs w:val="18"/>
              <w:lang w:val="en-US" w:eastAsia="en-US"/>
            </w:rPr>
            <w:tab/>
          </w:r>
          <w:hyperlink w:anchor="__RefHeading___Toc153769590">
            <w:r>
              <w:rPr>
                <w:rStyle w:val="IndexLink"/>
                <w:sz w:val="18"/>
                <w:szCs w:val="18"/>
                <w:lang w:val="en-US" w:eastAsia="en-US"/>
              </w:rPr>
              <w:t>3</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ONE TIME CHARGES</w:t>
          </w:r>
          <w:r>
            <w:rPr>
              <w:sz w:val="18"/>
              <w:szCs w:val="18"/>
              <w:lang w:val="en-US" w:eastAsia="en-US"/>
            </w:rPr>
            <w:tab/>
          </w:r>
          <w:hyperlink w:anchor="__RefHeading___Toc153769591">
            <w:r>
              <w:rPr>
                <w:rStyle w:val="IndexLink"/>
                <w:sz w:val="18"/>
                <w:szCs w:val="18"/>
                <w:lang w:val="en-US" w:eastAsia="en-US"/>
              </w:rPr>
              <w:t>3</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2.1</w:t>
          </w:r>
          <w:r>
            <w:rPr>
              <w:b w:val="false"/>
              <w:sz w:val="18"/>
              <w:szCs w:val="18"/>
              <w:lang w:val="en-US" w:eastAsia="en-US"/>
            </w:rPr>
            <w:tab/>
          </w:r>
          <w:r>
            <w:rPr>
              <w:bCs/>
              <w:sz w:val="18"/>
              <w:szCs w:val="18"/>
              <w:lang w:val="en-GB" w:eastAsia="en-US"/>
            </w:rPr>
            <w:t>One-Time Charges: Transition &amp; Transformation</w:t>
          </w:r>
          <w:r>
            <w:rPr>
              <w:sz w:val="18"/>
              <w:szCs w:val="18"/>
              <w:lang w:val="en-US" w:eastAsia="en-US"/>
            </w:rPr>
            <w:tab/>
          </w:r>
          <w:hyperlink w:anchor="__RefHeading___Toc153769592">
            <w:r>
              <w:rPr>
                <w:rStyle w:val="IndexLink"/>
                <w:sz w:val="18"/>
                <w:szCs w:val="18"/>
                <w:lang w:val="en-US" w:eastAsia="en-US"/>
              </w:rPr>
              <w:t>3</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2.2</w:t>
          </w:r>
          <w:r>
            <w:rPr>
              <w:b w:val="false"/>
              <w:sz w:val="18"/>
              <w:szCs w:val="18"/>
              <w:lang w:val="en-US" w:eastAsia="en-US"/>
            </w:rPr>
            <w:tab/>
          </w:r>
          <w:r>
            <w:rPr>
              <w:bCs/>
              <w:sz w:val="18"/>
              <w:szCs w:val="18"/>
              <w:lang w:val="en-GB" w:eastAsia="en-US"/>
            </w:rPr>
            <w:t>Timing of Specific One-Time Charges</w:t>
          </w:r>
          <w:r>
            <w:rPr>
              <w:sz w:val="18"/>
              <w:szCs w:val="18"/>
              <w:lang w:val="en-US" w:eastAsia="en-US"/>
            </w:rPr>
            <w:tab/>
          </w:r>
          <w:hyperlink w:anchor="__RefHeading___Toc153769593">
            <w:r>
              <w:rPr>
                <w:rStyle w:val="IndexLink"/>
                <w:sz w:val="18"/>
                <w:szCs w:val="18"/>
                <w:lang w:val="en-US" w:eastAsia="en-US"/>
              </w:rPr>
              <w:t>3</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2.3</w:t>
          </w:r>
          <w:r>
            <w:rPr>
              <w:b w:val="false"/>
              <w:sz w:val="18"/>
              <w:szCs w:val="18"/>
              <w:lang w:val="en-US" w:eastAsia="en-US"/>
            </w:rPr>
            <w:tab/>
          </w:r>
          <w:r>
            <w:rPr>
              <w:bCs/>
              <w:sz w:val="18"/>
              <w:szCs w:val="18"/>
              <w:lang w:val="en-GB" w:eastAsia="en-US"/>
            </w:rPr>
            <w:t>2IM Projects</w:t>
          </w:r>
          <w:r>
            <w:rPr>
              <w:sz w:val="18"/>
              <w:szCs w:val="18"/>
              <w:lang w:val="en-US" w:eastAsia="en-US"/>
            </w:rPr>
            <w:tab/>
          </w:r>
          <w:hyperlink w:anchor="__RefHeading___Toc153769594">
            <w:r>
              <w:rPr>
                <w:rStyle w:val="IndexLink"/>
                <w:sz w:val="18"/>
                <w:szCs w:val="18"/>
                <w:lang w:val="en-US" w:eastAsia="en-US"/>
              </w:rPr>
              <w:t>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2.4</w:t>
          </w:r>
          <w:r>
            <w:rPr>
              <w:b w:val="false"/>
              <w:sz w:val="18"/>
              <w:szCs w:val="18"/>
              <w:lang w:val="en-US" w:eastAsia="en-US"/>
            </w:rPr>
            <w:tab/>
          </w:r>
          <w:r>
            <w:rPr>
              <w:bCs/>
              <w:sz w:val="18"/>
              <w:szCs w:val="18"/>
              <w:lang w:val="en-GB" w:eastAsia="en-US"/>
            </w:rPr>
            <w:t>Other One-Time Charges</w:t>
          </w:r>
          <w:r>
            <w:rPr>
              <w:sz w:val="18"/>
              <w:szCs w:val="18"/>
              <w:lang w:val="en-US" w:eastAsia="en-US"/>
            </w:rPr>
            <w:tab/>
          </w:r>
          <w:hyperlink w:anchor="__RefHeading___Toc153769595">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BASE CHARGE</w:t>
          </w:r>
          <w:r>
            <w:rPr>
              <w:sz w:val="18"/>
              <w:szCs w:val="18"/>
              <w:lang w:val="en-US" w:eastAsia="en-US"/>
            </w:rPr>
            <w:tab/>
          </w:r>
          <w:hyperlink w:anchor="__RefHeading___Toc153769596">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3.1</w:t>
          </w:r>
          <w:r>
            <w:rPr>
              <w:b w:val="false"/>
              <w:sz w:val="18"/>
              <w:szCs w:val="18"/>
              <w:lang w:val="en-US" w:eastAsia="en-US"/>
            </w:rPr>
            <w:tab/>
          </w:r>
          <w:r>
            <w:rPr>
              <w:bCs/>
              <w:sz w:val="18"/>
              <w:szCs w:val="18"/>
              <w:lang w:val="en-GB" w:eastAsia="en-US"/>
            </w:rPr>
            <w:t>End User Computing Services</w:t>
          </w:r>
          <w:r>
            <w:rPr>
              <w:sz w:val="18"/>
              <w:szCs w:val="18"/>
              <w:lang w:val="en-US" w:eastAsia="en-US"/>
            </w:rPr>
            <w:tab/>
          </w:r>
          <w:hyperlink w:anchor="__RefHeading___Toc153769597">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3.2</w:t>
          </w:r>
          <w:r>
            <w:rPr>
              <w:b w:val="false"/>
              <w:sz w:val="18"/>
              <w:szCs w:val="18"/>
              <w:lang w:val="en-US" w:eastAsia="en-US"/>
            </w:rPr>
            <w:tab/>
          </w:r>
          <w:r>
            <w:rPr>
              <w:bCs/>
              <w:sz w:val="18"/>
              <w:szCs w:val="18"/>
              <w:lang w:val="en-GB" w:eastAsia="en-US"/>
            </w:rPr>
            <w:t>Service Desk Services</w:t>
          </w:r>
          <w:r>
            <w:rPr>
              <w:sz w:val="18"/>
              <w:szCs w:val="18"/>
              <w:lang w:val="en-US" w:eastAsia="en-US"/>
            </w:rPr>
            <w:tab/>
          </w:r>
          <w:hyperlink w:anchor="__RefHeading___Toc153769598">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3.3</w:t>
          </w:r>
          <w:r>
            <w:rPr>
              <w:b w:val="false"/>
              <w:sz w:val="18"/>
              <w:szCs w:val="18"/>
              <w:lang w:val="en-US" w:eastAsia="en-US"/>
            </w:rPr>
            <w:tab/>
          </w:r>
          <w:r>
            <w:rPr>
              <w:bCs/>
              <w:sz w:val="18"/>
              <w:szCs w:val="18"/>
              <w:lang w:val="en-GB" w:eastAsia="en-US"/>
            </w:rPr>
            <w:t>LAN Services</w:t>
          </w:r>
          <w:r>
            <w:rPr>
              <w:sz w:val="18"/>
              <w:szCs w:val="18"/>
              <w:lang w:val="en-US" w:eastAsia="en-US"/>
            </w:rPr>
            <w:tab/>
          </w:r>
          <w:hyperlink w:anchor="__RefHeading___Toc153769599">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3.4</w:t>
          </w:r>
          <w:r>
            <w:rPr>
              <w:b w:val="false"/>
              <w:sz w:val="18"/>
              <w:szCs w:val="18"/>
              <w:lang w:val="en-US" w:eastAsia="en-US"/>
            </w:rPr>
            <w:tab/>
          </w:r>
          <w:r>
            <w:rPr>
              <w:bCs/>
              <w:sz w:val="18"/>
              <w:szCs w:val="18"/>
              <w:lang w:val="en-GB" w:eastAsia="en-US"/>
            </w:rPr>
            <w:t>Voice Services</w:t>
          </w:r>
          <w:r>
            <w:rPr>
              <w:sz w:val="18"/>
              <w:szCs w:val="18"/>
              <w:lang w:val="en-US" w:eastAsia="en-US"/>
            </w:rPr>
            <w:tab/>
          </w:r>
          <w:hyperlink w:anchor="__RefHeading___Toc153769600">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3.5</w:t>
          </w:r>
          <w:r>
            <w:rPr>
              <w:b w:val="false"/>
              <w:sz w:val="18"/>
              <w:szCs w:val="18"/>
              <w:lang w:val="en-US" w:eastAsia="en-US"/>
            </w:rPr>
            <w:tab/>
          </w:r>
          <w:r>
            <w:rPr>
              <w:bCs/>
              <w:sz w:val="18"/>
              <w:szCs w:val="18"/>
              <w:lang w:val="en-GB" w:eastAsia="en-US"/>
            </w:rPr>
            <w:t>Desktop Hardware Services</w:t>
          </w:r>
          <w:r>
            <w:rPr>
              <w:sz w:val="18"/>
              <w:szCs w:val="18"/>
              <w:lang w:val="en-US" w:eastAsia="en-US"/>
            </w:rPr>
            <w:tab/>
          </w:r>
          <w:hyperlink w:anchor="__RefHeading___Toc153769601">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3.6</w:t>
          </w:r>
          <w:r>
            <w:rPr>
              <w:b w:val="false"/>
              <w:sz w:val="18"/>
              <w:szCs w:val="18"/>
              <w:lang w:val="en-US" w:eastAsia="en-US"/>
            </w:rPr>
            <w:tab/>
          </w:r>
          <w:r>
            <w:rPr>
              <w:bCs/>
              <w:sz w:val="18"/>
              <w:szCs w:val="18"/>
              <w:lang w:val="en-GB" w:eastAsia="en-US"/>
            </w:rPr>
            <w:t>Server Management Services</w:t>
          </w:r>
          <w:r>
            <w:rPr>
              <w:sz w:val="18"/>
              <w:szCs w:val="18"/>
              <w:lang w:val="en-US" w:eastAsia="en-US"/>
            </w:rPr>
            <w:tab/>
          </w:r>
          <w:hyperlink w:anchor="__RefHeading___Toc153769602">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3.7</w:t>
          </w:r>
          <w:r>
            <w:rPr>
              <w:b w:val="false"/>
              <w:sz w:val="18"/>
              <w:szCs w:val="18"/>
              <w:lang w:val="en-US" w:eastAsia="en-US"/>
            </w:rPr>
            <w:tab/>
          </w:r>
          <w:r>
            <w:rPr>
              <w:bCs/>
              <w:sz w:val="18"/>
              <w:szCs w:val="18"/>
              <w:lang w:val="en-GB" w:eastAsia="en-US"/>
            </w:rPr>
            <w:t>2IM Services</w:t>
          </w:r>
          <w:r>
            <w:rPr>
              <w:sz w:val="18"/>
              <w:szCs w:val="18"/>
              <w:lang w:val="en-US" w:eastAsia="en-US"/>
            </w:rPr>
            <w:tab/>
          </w:r>
          <w:hyperlink w:anchor="__RefHeading___Toc153769603">
            <w:r>
              <w:rPr>
                <w:rStyle w:val="IndexLink"/>
                <w:sz w:val="18"/>
                <w:szCs w:val="18"/>
                <w:lang w:val="en-US" w:eastAsia="en-US"/>
              </w:rPr>
              <w:t>6</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ADDITIONAL &amp; REDUCED RESOURCE CHARGES (“ARC’S &amp; RRC’S”)</w:t>
          </w:r>
          <w:r>
            <w:rPr>
              <w:sz w:val="18"/>
              <w:szCs w:val="18"/>
              <w:lang w:val="en-US" w:eastAsia="en-US"/>
            </w:rPr>
            <w:tab/>
          </w:r>
          <w:hyperlink w:anchor="__RefHeading___Toc153769604">
            <w:r>
              <w:rPr>
                <w:rStyle w:val="IndexLink"/>
                <w:sz w:val="18"/>
                <w:szCs w:val="18"/>
                <w:lang w:val="en-US" w:eastAsia="en-US"/>
              </w:rPr>
              <w:t>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4.1</w:t>
          </w:r>
          <w:r>
            <w:rPr>
              <w:b w:val="false"/>
              <w:sz w:val="18"/>
              <w:szCs w:val="18"/>
              <w:lang w:val="en-US" w:eastAsia="en-US"/>
            </w:rPr>
            <w:tab/>
          </w:r>
          <w:r>
            <w:rPr>
              <w:bCs/>
              <w:sz w:val="18"/>
              <w:szCs w:val="18"/>
              <w:lang w:val="en-GB" w:eastAsia="en-US"/>
            </w:rPr>
            <w:t>Revision of Resource Baseline, ARC &amp; RRC Thresholds, ARC &amp; RRC Rates</w:t>
          </w:r>
          <w:r>
            <w:rPr>
              <w:sz w:val="18"/>
              <w:szCs w:val="18"/>
              <w:lang w:val="en-US" w:eastAsia="en-US"/>
            </w:rPr>
            <w:tab/>
          </w:r>
          <w:hyperlink w:anchor="__RefHeading___Toc153769605">
            <w:r>
              <w:rPr>
                <w:rStyle w:val="IndexLink"/>
                <w:sz w:val="18"/>
                <w:szCs w:val="18"/>
                <w:lang w:val="en-US" w:eastAsia="en-US"/>
              </w:rPr>
              <w:t>7</w:t>
            </w:r>
          </w:hyperlink>
        </w:p>
        <w:p>
          <w:pPr>
            <w:pStyle w:val="TOC3"/>
            <w:tabs>
              <w:tab w:val="clear" w:pos="720"/>
              <w:tab w:val="left" w:pos="1320" w:leader="none"/>
              <w:tab w:val="right" w:pos="8441" w:leader="dot"/>
            </w:tabs>
            <w:rPr>
              <w:sz w:val="18"/>
              <w:szCs w:val="18"/>
              <w:lang w:val="en-US" w:eastAsia="en-US"/>
            </w:rPr>
          </w:pPr>
          <w:r>
            <w:rPr>
              <w:sz w:val="18"/>
              <w:szCs w:val="18"/>
              <w:lang w:val="en-GB" w:eastAsia="en-US"/>
            </w:rPr>
            <w:t>4.1.1</w:t>
          </w:r>
          <w:r>
            <w:rPr>
              <w:sz w:val="18"/>
              <w:szCs w:val="18"/>
              <w:lang w:val="en-US" w:eastAsia="en-US"/>
            </w:rPr>
            <w:tab/>
          </w:r>
          <w:r>
            <w:rPr>
              <w:sz w:val="18"/>
              <w:szCs w:val="18"/>
              <w:lang w:val="en-GB" w:eastAsia="en-US"/>
            </w:rPr>
            <w:t>Increase in the use of Services</w:t>
          </w:r>
          <w:r>
            <w:rPr>
              <w:sz w:val="18"/>
              <w:szCs w:val="18"/>
              <w:lang w:val="en-US" w:eastAsia="en-US"/>
            </w:rPr>
            <w:tab/>
          </w:r>
          <w:hyperlink w:anchor="__RefHeading___Toc153769606">
            <w:r>
              <w:rPr>
                <w:rStyle w:val="IndexLink"/>
                <w:sz w:val="18"/>
                <w:szCs w:val="18"/>
                <w:lang w:val="en-US" w:eastAsia="en-US"/>
              </w:rPr>
              <w:t>7</w:t>
            </w:r>
          </w:hyperlink>
        </w:p>
        <w:p>
          <w:pPr>
            <w:pStyle w:val="TOC3"/>
            <w:tabs>
              <w:tab w:val="clear" w:pos="720"/>
              <w:tab w:val="left" w:pos="1320" w:leader="none"/>
              <w:tab w:val="right" w:pos="8441" w:leader="dot"/>
            </w:tabs>
            <w:rPr>
              <w:sz w:val="18"/>
              <w:szCs w:val="18"/>
              <w:lang w:val="en-US" w:eastAsia="en-US"/>
            </w:rPr>
          </w:pPr>
          <w:r>
            <w:rPr>
              <w:bCs/>
              <w:sz w:val="18"/>
              <w:szCs w:val="18"/>
              <w:lang w:val="en-GB" w:eastAsia="en-US"/>
            </w:rPr>
            <w:t>4.1.2</w:t>
          </w:r>
          <w:r>
            <w:rPr>
              <w:sz w:val="18"/>
              <w:szCs w:val="18"/>
              <w:lang w:val="en-US" w:eastAsia="en-US"/>
            </w:rPr>
            <w:tab/>
          </w:r>
          <w:r>
            <w:rPr>
              <w:bCs/>
              <w:sz w:val="18"/>
              <w:szCs w:val="18"/>
              <w:lang w:val="en-GB" w:eastAsia="en-US"/>
            </w:rPr>
            <w:t>Decrease in the use of Services</w:t>
          </w:r>
          <w:r>
            <w:rPr>
              <w:sz w:val="18"/>
              <w:szCs w:val="18"/>
              <w:lang w:val="en-US" w:eastAsia="en-US"/>
            </w:rPr>
            <w:tab/>
          </w:r>
          <w:hyperlink w:anchor="__RefHeading___Toc153769607">
            <w:r>
              <w:rPr>
                <w:rStyle w:val="IndexLink"/>
                <w:sz w:val="18"/>
                <w:szCs w:val="18"/>
                <w:lang w:val="en-US" w:eastAsia="en-US"/>
              </w:rPr>
              <w:t>7</w:t>
            </w:r>
          </w:hyperlink>
        </w:p>
        <w:p>
          <w:pPr>
            <w:pStyle w:val="TOC3"/>
            <w:tabs>
              <w:tab w:val="clear" w:pos="720"/>
              <w:tab w:val="left" w:pos="1320" w:leader="none"/>
              <w:tab w:val="right" w:pos="8441" w:leader="dot"/>
            </w:tabs>
            <w:rPr>
              <w:sz w:val="18"/>
              <w:szCs w:val="18"/>
              <w:lang w:val="en-US" w:eastAsia="en-US"/>
            </w:rPr>
          </w:pPr>
          <w:r>
            <w:rPr>
              <w:bCs/>
              <w:sz w:val="18"/>
              <w:szCs w:val="18"/>
              <w:lang w:val="en-GB" w:eastAsia="en-US"/>
            </w:rPr>
            <w:t>4.1.3</w:t>
          </w:r>
          <w:r>
            <w:rPr>
              <w:sz w:val="18"/>
              <w:szCs w:val="18"/>
              <w:lang w:val="en-US" w:eastAsia="en-US"/>
            </w:rPr>
            <w:tab/>
          </w:r>
          <w:r>
            <w:rPr>
              <w:bCs/>
              <w:sz w:val="18"/>
              <w:szCs w:val="18"/>
              <w:lang w:val="en-GB" w:eastAsia="en-US"/>
            </w:rPr>
            <w:t>Significant Decreases and Increases in the use of the Services</w:t>
          </w:r>
          <w:r>
            <w:rPr>
              <w:sz w:val="18"/>
              <w:szCs w:val="18"/>
              <w:lang w:val="en-US" w:eastAsia="en-US"/>
            </w:rPr>
            <w:tab/>
          </w:r>
          <w:hyperlink w:anchor="__RefHeading___Toc153769608">
            <w:r>
              <w:rPr>
                <w:rStyle w:val="IndexLink"/>
                <w:sz w:val="18"/>
                <w:szCs w:val="18"/>
                <w:lang w:val="en-US" w:eastAsia="en-US"/>
              </w:rPr>
              <w:t>7</w:t>
            </w:r>
          </w:hyperlink>
        </w:p>
        <w:p>
          <w:pPr>
            <w:pStyle w:val="TOC3"/>
            <w:tabs>
              <w:tab w:val="clear" w:pos="720"/>
              <w:tab w:val="left" w:pos="1320" w:leader="none"/>
              <w:tab w:val="right" w:pos="8441" w:leader="dot"/>
            </w:tabs>
            <w:rPr>
              <w:sz w:val="18"/>
              <w:szCs w:val="18"/>
              <w:lang w:val="en-US" w:eastAsia="en-US"/>
            </w:rPr>
          </w:pPr>
          <w:r>
            <w:rPr>
              <w:bCs/>
              <w:sz w:val="18"/>
              <w:szCs w:val="18"/>
              <w:lang w:val="en-GB" w:eastAsia="en-US"/>
            </w:rPr>
            <w:t>4.1.4</w:t>
          </w:r>
          <w:r>
            <w:rPr>
              <w:sz w:val="18"/>
              <w:szCs w:val="18"/>
              <w:lang w:val="en-US" w:eastAsia="en-US"/>
            </w:rPr>
            <w:tab/>
          </w:r>
          <w:r>
            <w:rPr>
              <w:bCs/>
              <w:sz w:val="18"/>
              <w:szCs w:val="18"/>
              <w:lang w:val="en-GB" w:eastAsia="en-US"/>
            </w:rPr>
            <w:t>Significant Resource Baseline increases beyond the ARC Band</w:t>
          </w:r>
          <w:r>
            <w:rPr>
              <w:sz w:val="18"/>
              <w:szCs w:val="18"/>
              <w:lang w:val="en-US" w:eastAsia="en-US"/>
            </w:rPr>
            <w:tab/>
          </w:r>
          <w:hyperlink w:anchor="__RefHeading___Toc153769609">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4.2</w:t>
          </w:r>
          <w:r>
            <w:rPr>
              <w:b w:val="false"/>
              <w:sz w:val="18"/>
              <w:szCs w:val="18"/>
              <w:lang w:val="en-US" w:eastAsia="en-US"/>
            </w:rPr>
            <w:tab/>
          </w:r>
          <w:r>
            <w:rPr>
              <w:bCs/>
              <w:sz w:val="18"/>
              <w:szCs w:val="18"/>
              <w:lang w:val="en-GB" w:eastAsia="en-US"/>
            </w:rPr>
            <w:t>PST logging solution</w:t>
          </w:r>
          <w:r>
            <w:rPr>
              <w:sz w:val="18"/>
              <w:szCs w:val="18"/>
              <w:lang w:val="en-US" w:eastAsia="en-US"/>
            </w:rPr>
            <w:tab/>
          </w:r>
          <w:hyperlink w:anchor="__RefHeading___Toc153769610">
            <w:r>
              <w:rPr>
                <w:rStyle w:val="IndexLink"/>
                <w:sz w:val="18"/>
                <w:szCs w:val="18"/>
                <w:lang w:val="en-US" w:eastAsia="en-US"/>
              </w:rPr>
              <w:t>8</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5.</w:t>
          </w:r>
          <w:r>
            <w:rPr>
              <w:b w:val="false"/>
              <w:sz w:val="18"/>
              <w:szCs w:val="18"/>
              <w:lang w:val="en-US" w:eastAsia="en-US"/>
            </w:rPr>
            <w:tab/>
          </w:r>
          <w:r>
            <w:rPr>
              <w:bCs/>
              <w:sz w:val="18"/>
              <w:szCs w:val="18"/>
              <w:lang w:val="en-GB" w:eastAsia="en-US"/>
            </w:rPr>
            <w:t>INVOICING AND PAYMENT</w:t>
          </w:r>
          <w:r>
            <w:rPr>
              <w:sz w:val="18"/>
              <w:szCs w:val="18"/>
              <w:lang w:val="en-US" w:eastAsia="en-US"/>
            </w:rPr>
            <w:tab/>
          </w:r>
          <w:hyperlink w:anchor="__RefHeading___Toc153769611">
            <w:r>
              <w:rPr>
                <w:rStyle w:val="IndexLink"/>
                <w:sz w:val="18"/>
                <w:szCs w:val="18"/>
                <w:lang w:val="en-US" w:eastAsia="en-US"/>
              </w:rPr>
              <w:t>8</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6.</w:t>
          </w:r>
          <w:r>
            <w:rPr>
              <w:b w:val="false"/>
              <w:sz w:val="18"/>
              <w:szCs w:val="18"/>
              <w:lang w:val="en-US" w:eastAsia="en-US"/>
            </w:rPr>
            <w:tab/>
          </w:r>
          <w:r>
            <w:rPr>
              <w:bCs/>
              <w:sz w:val="18"/>
              <w:szCs w:val="18"/>
              <w:lang w:val="en-GB" w:eastAsia="en-US"/>
            </w:rPr>
            <w:t>CHARGEBACK</w:t>
          </w:r>
          <w:r>
            <w:rPr>
              <w:sz w:val="18"/>
              <w:szCs w:val="18"/>
              <w:lang w:val="en-US" w:eastAsia="en-US"/>
            </w:rPr>
            <w:tab/>
          </w:r>
          <w:hyperlink w:anchor="__RefHeading___Toc153769612">
            <w:r>
              <w:rPr>
                <w:rStyle w:val="IndexLink"/>
                <w:sz w:val="18"/>
                <w:szCs w:val="18"/>
                <w:lang w:val="en-US" w:eastAsia="en-US"/>
              </w:rPr>
              <w:t>10</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7.</w:t>
          </w:r>
          <w:r>
            <w:rPr>
              <w:b w:val="false"/>
              <w:sz w:val="18"/>
              <w:szCs w:val="18"/>
              <w:lang w:val="en-US" w:eastAsia="en-US"/>
            </w:rPr>
            <w:tab/>
          </w:r>
          <w:r>
            <w:rPr>
              <w:bCs/>
              <w:sz w:val="18"/>
              <w:szCs w:val="18"/>
              <w:lang w:val="en-GB" w:eastAsia="en-US"/>
            </w:rPr>
            <w:t>THIRD PARTY CONTRACTS</w:t>
          </w:r>
          <w:r>
            <w:rPr>
              <w:sz w:val="18"/>
              <w:szCs w:val="18"/>
              <w:lang w:val="en-US" w:eastAsia="en-US"/>
            </w:rPr>
            <w:tab/>
          </w:r>
          <w:hyperlink w:anchor="__RefHeading___Toc153769613">
            <w:r>
              <w:rPr>
                <w:rStyle w:val="IndexLink"/>
                <w:sz w:val="18"/>
                <w:szCs w:val="18"/>
                <w:lang w:val="en-US" w:eastAsia="en-US"/>
              </w:rPr>
              <w:t>10</w:t>
            </w:r>
          </w:hyperlink>
        </w:p>
        <w:p>
          <w:pPr>
            <w:pStyle w:val="TOC2"/>
            <w:tabs>
              <w:tab w:val="clear" w:pos="720"/>
              <w:tab w:val="left" w:pos="880" w:leader="none"/>
              <w:tab w:val="right" w:pos="8441" w:leader="dot"/>
            </w:tabs>
            <w:rPr>
              <w:b w:val="false"/>
              <w:sz w:val="18"/>
              <w:szCs w:val="18"/>
              <w:lang w:val="en-US" w:eastAsia="en-US"/>
            </w:rPr>
          </w:pPr>
          <w:r>
            <w:rPr>
              <w:bCs/>
              <w:sz w:val="18"/>
              <w:szCs w:val="18"/>
              <w:lang w:val="en-US" w:eastAsia="en-US"/>
            </w:rPr>
            <w:t>7.1</w:t>
          </w:r>
          <w:r>
            <w:rPr>
              <w:b w:val="false"/>
              <w:sz w:val="18"/>
              <w:szCs w:val="18"/>
              <w:lang w:val="en-US" w:eastAsia="en-US"/>
            </w:rPr>
            <w:tab/>
          </w:r>
          <w:r>
            <w:rPr>
              <w:bCs/>
              <w:sz w:val="18"/>
              <w:szCs w:val="18"/>
              <w:lang w:val="en-US" w:eastAsia="en-US"/>
            </w:rPr>
            <w:t>ING Technics</w:t>
          </w:r>
          <w:r>
            <w:rPr>
              <w:sz w:val="18"/>
              <w:szCs w:val="18"/>
              <w:lang w:val="en-US" w:eastAsia="en-US"/>
            </w:rPr>
            <w:tab/>
          </w:r>
          <w:hyperlink w:anchor="__RefHeading___Toc153769614">
            <w:r>
              <w:rPr>
                <w:rStyle w:val="IndexLink"/>
                <w:sz w:val="18"/>
                <w:szCs w:val="18"/>
                <w:lang w:val="en-US" w:eastAsia="en-US"/>
              </w:rPr>
              <w:t>10</w:t>
            </w:r>
          </w:hyperlink>
        </w:p>
        <w:p>
          <w:pPr>
            <w:pStyle w:val="TOC2"/>
            <w:tabs>
              <w:tab w:val="clear" w:pos="720"/>
              <w:tab w:val="left" w:pos="880" w:leader="none"/>
              <w:tab w:val="right" w:pos="8441" w:leader="dot"/>
            </w:tabs>
            <w:rPr>
              <w:b w:val="false"/>
              <w:sz w:val="18"/>
              <w:szCs w:val="18"/>
              <w:lang w:val="en-US" w:eastAsia="en-US"/>
            </w:rPr>
          </w:pPr>
          <w:r>
            <w:rPr>
              <w:bCs/>
              <w:sz w:val="18"/>
              <w:szCs w:val="18"/>
              <w:lang w:val="en-US" w:eastAsia="en-US"/>
            </w:rPr>
            <w:t>7.2</w:t>
          </w:r>
          <w:r>
            <w:rPr>
              <w:b w:val="false"/>
              <w:sz w:val="18"/>
              <w:szCs w:val="18"/>
              <w:lang w:val="en-US" w:eastAsia="en-US"/>
            </w:rPr>
            <w:tab/>
          </w:r>
          <w:r>
            <w:rPr>
              <w:bCs/>
              <w:sz w:val="18"/>
              <w:szCs w:val="18"/>
              <w:lang w:val="en-US" w:eastAsia="en-US"/>
            </w:rPr>
            <w:t>AmsIT</w:t>
          </w:r>
          <w:r>
            <w:rPr>
              <w:sz w:val="18"/>
              <w:szCs w:val="18"/>
              <w:lang w:val="en-US" w:eastAsia="en-US"/>
            </w:rPr>
            <w:tab/>
          </w:r>
          <w:hyperlink w:anchor="__RefHeading___Toc153769615">
            <w:r>
              <w:rPr>
                <w:rStyle w:val="IndexLink"/>
                <w:sz w:val="18"/>
                <w:szCs w:val="18"/>
                <w:lang w:val="en-US" w:eastAsia="en-US"/>
              </w:rPr>
              <w:t>11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8.</w:t>
          </w:r>
          <w:r>
            <w:rPr>
              <w:b w:val="false"/>
              <w:sz w:val="18"/>
              <w:szCs w:val="18"/>
              <w:lang w:val="en-US" w:eastAsia="en-US"/>
            </w:rPr>
            <w:tab/>
          </w:r>
          <w:r>
            <w:rPr>
              <w:bCs/>
              <w:sz w:val="18"/>
              <w:szCs w:val="18"/>
              <w:lang w:val="en-GB" w:eastAsia="en-US"/>
            </w:rPr>
            <w:t>PASS THROUGH Expenses</w:t>
          </w:r>
          <w:r>
            <w:rPr>
              <w:sz w:val="18"/>
              <w:szCs w:val="18"/>
              <w:lang w:val="en-US" w:eastAsia="en-US"/>
            </w:rPr>
            <w:tab/>
          </w:r>
          <w:hyperlink w:anchor="__RefHeading___Toc153769616">
            <w:r>
              <w:rPr>
                <w:rStyle w:val="IndexLink"/>
                <w:sz w:val="18"/>
                <w:szCs w:val="18"/>
                <w:lang w:val="en-US" w:eastAsia="en-US"/>
              </w:rPr>
              <w:t>11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9.</w:t>
          </w:r>
          <w:r>
            <w:rPr>
              <w:b w:val="false"/>
              <w:sz w:val="18"/>
              <w:szCs w:val="18"/>
              <w:lang w:val="en-US" w:eastAsia="en-US"/>
            </w:rPr>
            <w:tab/>
          </w:r>
          <w:r>
            <w:rPr>
              <w:bCs/>
              <w:sz w:val="18"/>
              <w:szCs w:val="18"/>
              <w:lang w:val="en-GB" w:eastAsia="en-US"/>
            </w:rPr>
            <w:t>INCENTIVES TO REDUCE COSTS (“Gain Sharing”)</w:t>
          </w:r>
          <w:r>
            <w:rPr>
              <w:sz w:val="18"/>
              <w:szCs w:val="18"/>
              <w:lang w:val="en-US" w:eastAsia="en-US"/>
            </w:rPr>
            <w:tab/>
          </w:r>
          <w:hyperlink w:anchor="__RefHeading___Toc153769617">
            <w:r>
              <w:rPr>
                <w:rStyle w:val="IndexLink"/>
                <w:sz w:val="18"/>
                <w:szCs w:val="18"/>
                <w:lang w:val="en-US" w:eastAsia="en-US"/>
              </w:rPr>
              <w:t>12</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10.</w:t>
          </w:r>
          <w:r>
            <w:rPr>
              <w:b w:val="false"/>
              <w:sz w:val="18"/>
              <w:szCs w:val="18"/>
              <w:lang w:val="en-US" w:eastAsia="en-US"/>
            </w:rPr>
            <w:tab/>
          </w:r>
          <w:r>
            <w:rPr>
              <w:bCs/>
              <w:sz w:val="18"/>
              <w:szCs w:val="18"/>
              <w:lang w:val="en-GB" w:eastAsia="en-US"/>
            </w:rPr>
            <w:t>ASSET OWNERSHIP</w:t>
          </w:r>
          <w:r>
            <w:rPr>
              <w:sz w:val="18"/>
              <w:szCs w:val="18"/>
              <w:lang w:val="en-US" w:eastAsia="en-US"/>
            </w:rPr>
            <w:tab/>
          </w:r>
          <w:hyperlink w:anchor="__RefHeading___Toc153769618">
            <w:r>
              <w:rPr>
                <w:rStyle w:val="IndexLink"/>
                <w:sz w:val="18"/>
                <w:szCs w:val="18"/>
                <w:lang w:val="en-US" w:eastAsia="en-US"/>
              </w:rPr>
              <w:t>12</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11.</w:t>
          </w:r>
          <w:r>
            <w:rPr>
              <w:b w:val="false"/>
              <w:sz w:val="18"/>
              <w:szCs w:val="18"/>
              <w:lang w:val="en-US" w:eastAsia="en-US"/>
            </w:rPr>
            <w:tab/>
          </w:r>
          <w:r>
            <w:rPr>
              <w:bCs/>
              <w:sz w:val="18"/>
              <w:szCs w:val="18"/>
              <w:lang w:val="en-GB" w:eastAsia="en-US"/>
            </w:rPr>
            <w:t>GUARANTEED PRICE DECREASES</w:t>
          </w:r>
          <w:r>
            <w:rPr>
              <w:sz w:val="18"/>
              <w:szCs w:val="18"/>
              <w:lang w:val="en-US" w:eastAsia="en-US"/>
            </w:rPr>
            <w:tab/>
          </w:r>
          <w:hyperlink w:anchor="__RefHeading___Toc153769619">
            <w:r>
              <w:rPr>
                <w:rStyle w:val="IndexLink"/>
                <w:sz w:val="18"/>
                <w:szCs w:val="18"/>
                <w:lang w:val="en-US" w:eastAsia="en-US"/>
              </w:rPr>
              <w:t>13</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12.</w:t>
          </w:r>
          <w:r>
            <w:rPr>
              <w:b w:val="false"/>
              <w:sz w:val="18"/>
              <w:szCs w:val="18"/>
              <w:lang w:val="en-US" w:eastAsia="en-US"/>
            </w:rPr>
            <w:tab/>
          </w:r>
          <w:r>
            <w:rPr>
              <w:bCs/>
              <w:sz w:val="18"/>
              <w:szCs w:val="18"/>
              <w:lang w:val="en-GB" w:eastAsia="en-US"/>
            </w:rPr>
            <w:t>REFRESH CYCLE</w:t>
          </w:r>
          <w:r>
            <w:rPr>
              <w:sz w:val="18"/>
              <w:szCs w:val="18"/>
              <w:lang w:val="en-US" w:eastAsia="en-US"/>
            </w:rPr>
            <w:tab/>
          </w:r>
          <w:hyperlink w:anchor="__RefHeading___Toc153769620">
            <w:r>
              <w:rPr>
                <w:rStyle w:val="IndexLink"/>
                <w:sz w:val="18"/>
                <w:szCs w:val="18"/>
                <w:lang w:val="en-US" w:eastAsia="en-US"/>
              </w:rPr>
              <w:t>13</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13.</w:t>
          </w:r>
          <w:r>
            <w:rPr>
              <w:b w:val="false"/>
              <w:sz w:val="18"/>
              <w:szCs w:val="18"/>
              <w:lang w:val="en-US" w:eastAsia="en-US"/>
            </w:rPr>
            <w:tab/>
          </w:r>
          <w:r>
            <w:rPr>
              <w:bCs/>
              <w:sz w:val="18"/>
              <w:szCs w:val="18"/>
              <w:lang w:val="en-GB" w:eastAsia="en-US"/>
            </w:rPr>
            <w:t>KPN TARIFFS</w:t>
          </w:r>
          <w:r>
            <w:rPr>
              <w:sz w:val="18"/>
              <w:szCs w:val="18"/>
              <w:lang w:val="en-US" w:eastAsia="en-US"/>
            </w:rPr>
            <w:tab/>
          </w:r>
          <w:hyperlink w:anchor="__RefHeading___Toc153769621">
            <w:r>
              <w:rPr>
                <w:rStyle w:val="IndexLink"/>
                <w:sz w:val="18"/>
                <w:szCs w:val="18"/>
                <w:lang w:val="en-US" w:eastAsia="en-US"/>
              </w:rPr>
              <w:t>13</w:t>
            </w:r>
          </w:hyperlink>
        </w:p>
        <w:p>
          <w:pPr>
            <w:pStyle w:val="TOC1"/>
            <w:tabs>
              <w:tab w:val="clear" w:pos="720"/>
              <w:tab w:val="left" w:pos="660" w:leader="none"/>
              <w:tab w:val="right" w:pos="8441" w:leader="dot"/>
            </w:tabs>
            <w:rPr>
              <w:sz w:val="18"/>
              <w:szCs w:val="18"/>
              <w:lang w:val="en-US" w:eastAsia="en-US"/>
            </w:rPr>
          </w:pPr>
          <w:r>
            <w:rPr>
              <w:b w:val="false"/>
              <w:bCs/>
              <w:sz w:val="18"/>
              <w:szCs w:val="18"/>
              <w:lang w:val="en-GB" w:eastAsia="en-US"/>
            </w:rPr>
            <w:t>14.</w:t>
          </w:r>
          <w:r>
            <w:rPr>
              <w:b w:val="false"/>
              <w:sz w:val="18"/>
              <w:szCs w:val="18"/>
              <w:lang w:val="en-US" w:eastAsia="en-US"/>
            </w:rPr>
            <w:tab/>
          </w:r>
          <w:r>
            <w:rPr>
              <w:b w:val="false"/>
              <w:bCs/>
              <w:sz w:val="18"/>
              <w:szCs w:val="18"/>
              <w:lang w:val="en-GB" w:eastAsia="en-US"/>
            </w:rPr>
            <w:t>RFP(s) for voice Services</w:t>
          </w:r>
          <w:r>
            <w:rPr>
              <w:b w:val="false"/>
              <w:sz w:val="18"/>
              <w:szCs w:val="18"/>
              <w:lang w:val="en-US" w:eastAsia="en-US"/>
            </w:rPr>
            <w:tab/>
          </w:r>
          <w:hyperlink w:anchor="__RefHeading___Toc153769622">
            <w:r>
              <w:rPr>
                <w:rStyle w:val="IndexLink"/>
                <w:b w:val="false"/>
                <w:sz w:val="18"/>
                <w:szCs w:val="18"/>
                <w:lang w:val="en-US" w:eastAsia="en-US"/>
              </w:rPr>
              <w:t>13</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b/>
          <w:caps/>
          <w:sz w:val="18"/>
          <w:szCs w:val="18"/>
          <w:lang w:val="en-GB"/>
        </w:rPr>
      </w:pPr>
      <w:r>
        <w:rPr>
          <w:b/>
          <w:caps/>
          <w:sz w:val="18"/>
          <w:szCs w:val="18"/>
          <w:lang w:val="en-GB"/>
        </w:rPr>
      </w:r>
    </w:p>
    <w:p>
      <w:pPr>
        <w:pStyle w:val="Normal"/>
        <w:spacing w:before="0" w:after="0"/>
        <w:rPr>
          <w:lang w:val="en-GB"/>
        </w:rPr>
      </w:pPr>
      <w:r>
        <w:rPr>
          <w:lang w:val="en-GB"/>
        </w:rPr>
      </w:r>
    </w:p>
    <w:p>
      <w:pPr>
        <w:pStyle w:val="Heading1Numbered"/>
        <w:numPr>
          <w:ilvl w:val="0"/>
          <w:numId w:val="2"/>
        </w:numPr>
        <w:ind w:hanging="0" w:start="0"/>
        <w:rPr>
          <w:sz w:val="22"/>
          <w:szCs w:val="22"/>
          <w:lang w:val="en-GB"/>
        </w:rPr>
      </w:pPr>
      <w:bookmarkStart w:id="0" w:name="__RefHeading___Toc153769586"/>
      <w:bookmarkEnd w:id="0"/>
      <w:r>
        <w:rPr>
          <w:sz w:val="22"/>
          <w:szCs w:val="22"/>
          <w:lang w:val="en-GB"/>
        </w:rPr>
        <w:t>GENERAL</w:t>
      </w:r>
    </w:p>
    <w:p>
      <w:pPr>
        <w:pStyle w:val="Normal"/>
        <w:spacing w:before="0" w:after="0"/>
        <w:jc w:val="both"/>
        <w:rPr>
          <w:szCs w:val="22"/>
          <w:lang w:val="en-GB"/>
        </w:rPr>
      </w:pPr>
      <w:r>
        <w:rPr>
          <w:szCs w:val="22"/>
          <w:lang w:val="en-GB"/>
        </w:rPr>
        <w:t>This Exhibit contains pricing and financial provisions related to this MSA.</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1" w:name="__RefHeading___Toc153769587"/>
      <w:bookmarkEnd w:id="1"/>
      <w:r>
        <w:rPr>
          <w:sz w:val="22"/>
          <w:szCs w:val="22"/>
          <w:lang w:val="en-GB"/>
        </w:rPr>
        <w:t>Attachments</w:t>
      </w:r>
    </w:p>
    <w:p>
      <w:pPr>
        <w:pStyle w:val="Normal"/>
        <w:spacing w:before="0" w:after="0"/>
        <w:jc w:val="both"/>
        <w:rPr>
          <w:szCs w:val="22"/>
          <w:lang w:val="en-GB"/>
        </w:rPr>
      </w:pPr>
      <w:r>
        <w:rPr>
          <w:szCs w:val="22"/>
          <w:lang w:val="en-GB"/>
        </w:rPr>
        <w:t>The following Attachments are attached here to this Exhibit and are hereby incorporated by reference:</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szCs w:val="22"/>
          <w:lang w:val="en-GB"/>
        </w:rPr>
        <w:t xml:space="preserve">Attachment 4-A: </w:t>
      </w:r>
      <w:r>
        <w:rPr>
          <w:i/>
          <w:szCs w:val="22"/>
          <w:lang w:val="en-GB"/>
        </w:rPr>
        <w:t>Pricing Forms</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szCs w:val="22"/>
          <w:lang w:val="en-GB"/>
        </w:rPr>
        <w:t xml:space="preserve">Attachment 4-D: </w:t>
      </w:r>
      <w:r>
        <w:rPr>
          <w:i/>
          <w:szCs w:val="22"/>
          <w:lang w:val="en-GB"/>
        </w:rPr>
        <w:t>Resource Baselines</w:t>
      </w:r>
      <w:r>
        <w:rPr>
          <w:szCs w:val="22"/>
          <w:lang w:val="en-GB"/>
        </w:rPr>
        <w:t>.</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szCs w:val="22"/>
          <w:lang w:val="en-GB"/>
        </w:rPr>
        <w:t xml:space="preserve">Attachment 4-E: </w:t>
      </w:r>
      <w:r>
        <w:rPr>
          <w:i/>
          <w:szCs w:val="22"/>
          <w:lang w:val="en-GB"/>
        </w:rPr>
        <w:t>Project Rate Card</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szCs w:val="22"/>
          <w:lang w:val="en-GB"/>
        </w:rPr>
        <w:t xml:space="preserve">Attachment 4-F: </w:t>
      </w:r>
      <w:r>
        <w:rPr>
          <w:i/>
          <w:szCs w:val="22"/>
          <w:lang w:val="en-GB"/>
        </w:rPr>
        <w:t>Termination Charges</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szCs w:val="22"/>
          <w:lang w:val="en-GB"/>
        </w:rPr>
        <w:t xml:space="preserve">Attachment 4-G: </w:t>
      </w:r>
      <w:r>
        <w:rPr>
          <w:i/>
          <w:szCs w:val="22"/>
          <w:lang w:val="en-GB"/>
        </w:rPr>
        <w:t>COLA</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szCs w:val="22"/>
          <w:lang w:val="en-GB"/>
        </w:rPr>
        <w:t xml:space="preserve">Attachment 4-H: </w:t>
      </w:r>
      <w:r>
        <w:rPr>
          <w:i/>
          <w:szCs w:val="22"/>
          <w:lang w:val="en-GB"/>
        </w:rPr>
        <w:t>Invoice sample</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szCs w:val="22"/>
          <w:lang w:val="en-GB"/>
        </w:rPr>
        <w:t>Attachment 4-I: TelCo Tariffs</w:t>
      </w:r>
      <w:r>
        <w:rPr>
          <w:i/>
          <w:szCs w:val="22"/>
          <w:lang w:val="en-GB"/>
        </w:rPr>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szCs w:val="22"/>
          <w:lang w:val="en-GB"/>
        </w:rPr>
        <w:t>Attachment 4-J:</w:t>
      </w:r>
      <w:r>
        <w:rPr>
          <w:i/>
          <w:szCs w:val="22"/>
          <w:lang w:val="en-GB"/>
        </w:rPr>
        <w:t xml:space="preserve"> Seat Pricing Mechanism</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szCs w:val="22"/>
          <w:lang w:val="en-GB"/>
        </w:rPr>
        <w:t>Attachment 4-K:</w:t>
      </w:r>
      <w:r>
        <w:rPr/>
        <w:t xml:space="preserve"> </w:t>
      </w:r>
      <w:r>
        <w:rPr>
          <w:i/>
          <w:szCs w:val="22"/>
          <w:lang w:val="en-GB"/>
        </w:rPr>
        <w:t>Seat Pricing Conversion Model</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 w:name="__RefHeading___Toc153769588"/>
      <w:r>
        <w:rPr>
          <w:bCs/>
          <w:sz w:val="22"/>
          <w:lang w:val="en-GB"/>
        </w:rPr>
        <w:t>Starting Points</w:t>
      </w:r>
      <w:bookmarkEnd w:id="2"/>
      <w:r>
        <w:rPr>
          <w:bCs/>
          <w:sz w:val="22"/>
          <w:lang w:val="en-GB"/>
        </w:rPr>
        <w:t xml:space="preserve"> </w:t>
      </w:r>
    </w:p>
    <w:p>
      <w:pPr>
        <w:pStyle w:val="Normal"/>
        <w:spacing w:before="0" w:after="0"/>
        <w:jc w:val="both"/>
        <w:rPr/>
      </w:pPr>
      <w:r>
        <w:rPr>
          <w:szCs w:val="22"/>
          <w:lang w:val="en-GB"/>
        </w:rPr>
        <w:t>1.2.1</w:t>
        <w:tab/>
        <w:t>This Exhibit 4 includes the charging mechanism for the Charges which EuroBank will pay to the PST Member in full consideration of the provision of the Services, together with the Base Charges payable by EuroBank to the PST Member, the anticipated consumption of Resource Units contemplated by the Base Charges, the variable rates/Charges (ARC’s/RRC’s), Pass Through Expenses and One-Time Charges.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1.2.2</w:t>
        <w:tab/>
        <w:t>The PST Member shall be responsible for the accuracy and completeness of the operational and financial assumptions underlying its pricing. The Base Charges shall not increase unless the Resource Baseline increases as a result of a specific request for additional Services by EuroBank.</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1.2.3</w:t>
        <w:tab/>
        <w:t xml:space="preserve">Each of the Services described by the Statement of Work has associated Resource Units, a Resource Baseline and ARC’s and RRC’s to facilitate payment by EuroBank to the PST Member.  Payment by EuroBank to the PST Member of the Charges specified in this Exhibit 4 will be in full consideration of the Services delivered.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1.2.4</w:t>
        <w:tab/>
        <w:t>This Exhibit 4 addresses how adjustments to the Resource Baselines will be made.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1.2.5</w:t>
        <w:tab/>
        <w:t>Unless otherwise agreed between the parties in accordance with the principles set out in the Change Control Procedures, as applicable, no charges other than those expressly set forth in this Exhibit 4 shall be incurred or be payable by EuroBank unless the charge and the mechanism for calculation is expressly specified in this MSA.  If the parties do agree to additional Charges in accordance with the Change Control Procedures, such additional Charges shall be governed by and construed in accordance with this MSA.</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1.2.6</w:t>
        <w:tab/>
        <w:t>Resource Units utilised for a partial month shall be pro-rated on the basis of a thirty (30) day month beginning on the day after the Resource Unit becomes fully operational and/or terminated on the day the Resource Unit ceases to be utilised.</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1.2.7</w:t>
        <w:tab/>
        <w:t>The PST shall measure, track, and report usage of each relevant Resource Unit in the categories described in section 3 of this Exhibit 4 and in accordance with the reporting requirements set out in Exhibit 13 (</w:t>
      </w:r>
      <w:r>
        <w:rPr>
          <w:i/>
          <w:szCs w:val="22"/>
          <w:lang w:val="en-GB"/>
        </w:rPr>
        <w:t>Reports</w:t>
      </w:r>
      <w:r>
        <w:rPr>
          <w:szCs w:val="22"/>
          <w:lang w:val="en-GB"/>
        </w:rPr>
        <w:t xml:space="preserve">).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1.2.8</w:t>
        <w:tab/>
        <w:t>EuroBank and the PST Member shall participate in a capacity planning process. The capacity planning process may result in changes being made to the Resource Baselines as appropriate and as mutually agreed upon by the PST Member and EuroBank in the form of an amendment to this Exhibit 4.</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1.2.9</w:t>
        <w:tab/>
        <w:t xml:space="preserve">The PST Member shall not invoice any Charges which would not have been incurred but for the PST Member’s failure to comply with its obligations.  </w:t>
      </w:r>
    </w:p>
    <w:p>
      <w:pPr>
        <w:pStyle w:val="Normal"/>
        <w:spacing w:before="0" w:after="0"/>
        <w:jc w:val="both"/>
        <w:rPr>
          <w:szCs w:val="22"/>
          <w:lang w:val="en-GB"/>
        </w:rPr>
      </w:pPr>
      <w:r>
        <w:rPr>
          <w:szCs w:val="22"/>
          <w:lang w:val="en-GB"/>
        </w:rPr>
      </w:r>
    </w:p>
    <w:p>
      <w:pPr>
        <w:pStyle w:val="Normal"/>
        <w:numPr>
          <w:ilvl w:val="2"/>
          <w:numId w:val="14"/>
        </w:numPr>
        <w:spacing w:before="0" w:after="0"/>
        <w:ind w:hanging="0" w:start="0" w:end="0"/>
        <w:jc w:val="both"/>
        <w:rPr>
          <w:szCs w:val="22"/>
          <w:lang w:val="en-GB"/>
        </w:rPr>
      </w:pPr>
      <w:r>
        <w:rPr>
          <w:szCs w:val="22"/>
          <w:lang w:val="en-GB"/>
        </w:rPr>
        <w:t>The Resource Baselines for each of the Services are set out in Attachment 4-D (</w:t>
      </w:r>
      <w:r>
        <w:rPr>
          <w:i/>
          <w:szCs w:val="22"/>
          <w:lang w:val="en-GB"/>
        </w:rPr>
        <w:t>Resource Baselines</w:t>
      </w:r>
      <w:r>
        <w:rPr>
          <w:szCs w:val="22"/>
          <w:lang w:val="en-GB"/>
        </w:rPr>
        <w:t xml:space="preserve">). </w:t>
      </w:r>
    </w:p>
    <w:p>
      <w:pPr>
        <w:pStyle w:val="Normal"/>
        <w:spacing w:before="0" w:after="0"/>
        <w:jc w:val="both"/>
        <w:rPr>
          <w:szCs w:val="22"/>
          <w:lang w:val="en-GB"/>
        </w:rPr>
      </w:pPr>
      <w:r>
        <w:rPr>
          <w:szCs w:val="22"/>
          <w:lang w:val="en-GB"/>
        </w:rPr>
      </w:r>
    </w:p>
    <w:p>
      <w:pPr>
        <w:pStyle w:val="Normal"/>
        <w:numPr>
          <w:ilvl w:val="2"/>
          <w:numId w:val="14"/>
        </w:numPr>
        <w:spacing w:before="0" w:after="0"/>
        <w:ind w:hanging="0" w:start="0" w:end="0"/>
        <w:jc w:val="both"/>
        <w:rPr>
          <w:szCs w:val="22"/>
          <w:lang w:val="en-GB"/>
        </w:rPr>
      </w:pPr>
      <w:r>
        <w:rPr>
          <w:szCs w:val="22"/>
          <w:lang w:val="en-GB"/>
        </w:rPr>
        <w:t>EuroBank has requested the PST to put a seat-pricing model in place as set out in Attachment 4-J (Seat Pricing Mechanism).</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numPr>
          <w:ilvl w:val="2"/>
          <w:numId w:val="14"/>
        </w:numPr>
        <w:spacing w:before="0" w:after="0"/>
        <w:ind w:hanging="0" w:start="0" w:end="0"/>
        <w:jc w:val="both"/>
        <w:rPr>
          <w:szCs w:val="22"/>
          <w:lang w:val="en-GB"/>
        </w:rPr>
      </w:pPr>
      <w:r>
        <w:rPr>
          <w:szCs w:val="22"/>
          <w:lang w:val="en-GB"/>
        </w:rPr>
        <w:t>Attachment 4-K (</w:t>
      </w:r>
      <w:r>
        <w:rPr>
          <w:i/>
          <w:szCs w:val="22"/>
          <w:lang w:val="en-GB"/>
        </w:rPr>
        <w:t>Seat Pricing Conversion Model</w:t>
      </w:r>
      <w:r>
        <w:rPr>
          <w:szCs w:val="22"/>
          <w:lang w:val="en-GB"/>
        </w:rPr>
        <w:t>) maps the relationship between the Base Charges from Attachment 4-A (</w:t>
      </w:r>
      <w:r>
        <w:rPr>
          <w:i/>
          <w:szCs w:val="22"/>
          <w:lang w:val="en-GB"/>
        </w:rPr>
        <w:t>Pricing Forms</w:t>
      </w:r>
      <w:r>
        <w:rPr>
          <w:szCs w:val="22"/>
          <w:lang w:val="en-GB"/>
        </w:rPr>
        <w:t>) and the number of Seats as defined in Attachment 4-J (</w:t>
      </w:r>
      <w:r>
        <w:rPr>
          <w:i/>
          <w:szCs w:val="22"/>
          <w:lang w:val="en-GB"/>
        </w:rPr>
        <w:t>Seat Pricing Mechanism</w:t>
      </w:r>
      <w:r>
        <w:rPr>
          <w:szCs w:val="22"/>
          <w:lang w:val="en-GB"/>
        </w:rPr>
        <w:t>). The resulting ratios shall initially be those in place as at Effective Date and thereafter re-calculated in  accordance with the provisions of Attachment 4-J.</w:t>
      </w:r>
    </w:p>
    <w:p>
      <w:pPr>
        <w:pStyle w:val="Normal"/>
        <w:spacing w:before="0" w:after="0"/>
        <w:jc w:val="both"/>
        <w:rPr>
          <w:szCs w:val="22"/>
          <w:lang w:val="en-GB"/>
        </w:rPr>
      </w:pPr>
      <w:r>
        <w:rPr>
          <w:szCs w:val="22"/>
          <w:lang w:val="en-GB"/>
        </w:rPr>
      </w:r>
    </w:p>
    <w:p>
      <w:pPr>
        <w:pStyle w:val="Normal"/>
        <w:numPr>
          <w:ilvl w:val="2"/>
          <w:numId w:val="14"/>
        </w:numPr>
        <w:spacing w:before="0" w:after="0"/>
        <w:ind w:hanging="0" w:start="0" w:end="0"/>
        <w:jc w:val="both"/>
        <w:rPr>
          <w:szCs w:val="22"/>
          <w:lang w:val="en-GB"/>
        </w:rPr>
      </w:pPr>
      <w:r>
        <w:rPr>
          <w:szCs w:val="22"/>
          <w:lang w:val="en-GB"/>
        </w:rPr>
        <w:t>The parties shall negotiate in good faith after the Effective Date whether the relevant Critical Service Level for the Dealing Rooms can be maintained (as reasonably determined by the 2IM),  by a lesser number of personnel assigned to the relevant Services by each of the PST Suppliers. Within 2 months after Commencement Date an assessment will be carried out by the PST Supplier(s) on the current operational model and a proposal will be made to improve this operational model together with an implementation plan to achieve this.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If the relevant Critical Service Level for the Dealing Rooms cannot be maintained by the agreed number of personnel assigned (as reasonably determined by the 2IM), then EuroBank has the choice to adjust the Critical Service Level to a level which can be maintained by the agreed number of personnel, or to agree with the PST Supplier(s) on the additional personnel needed to maintain the Critical Service Level for the Dealing Rooms.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 w:name="__RefHeading___Toc153769589"/>
      <w:bookmarkEnd w:id="3"/>
      <w:r>
        <w:rPr>
          <w:bCs/>
          <w:sz w:val="22"/>
          <w:lang w:val="en-GB"/>
        </w:rPr>
        <w:t>Service Charges Structure</w:t>
      </w:r>
    </w:p>
    <w:p>
      <w:pPr>
        <w:pStyle w:val="Normal"/>
        <w:spacing w:before="0" w:after="0"/>
        <w:jc w:val="both"/>
        <w:rPr/>
      </w:pPr>
      <w:r>
        <w:rPr>
          <w:szCs w:val="22"/>
          <w:lang w:val="en-GB"/>
        </w:rPr>
        <w:t>1.3.1</w:t>
        <w:tab/>
        <w:t>Beginning on the first day of the first calendar month following the Commencement Date, the PST Member will invoice EuroBank in accordance with the billing and payment requirements in clause 8 of the MSA.  The invoice will be covering the Services on which Base Charges are applicable starting as of the Commencement Date.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1.3.2</w:t>
        <w:tab/>
        <w:t xml:space="preserve">All Charges will be invoicable to EuroBank in arrears on the first day of the calendar month following the month during which the Services were delivered to EuroBank in accordance with the billing and payment requirements of clause 8 of the MSA. The invoice will be in accordance with section 5 of this Exhibit 4.  In the event that a Service does not start on the first day of a month, the first and last invoices under this Exhibit 4 shall be prorated based upon the actual starting date, such that the total amount payable under this MSA does not exceed that otherwise contemplated by the Charges.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1.3.3</w:t>
        <w:tab/>
        <w:t>The Base Charges, ARC’s, RRC’s and their bands shall be subject to regular reviews in accordance with the provisions of Exhibit 34 (</w:t>
      </w:r>
      <w:r>
        <w:rPr>
          <w:i/>
          <w:szCs w:val="22"/>
          <w:lang w:val="en-GB"/>
        </w:rPr>
        <w:t>Price Adjustment &amp; Benchmarking</w:t>
      </w:r>
      <w:r>
        <w:rPr>
          <w:szCs w:val="22"/>
          <w:lang w:val="en-GB"/>
        </w:rPr>
        <w:t xml:space="preserve">).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 w:name="__RefHeading___Toc153769590"/>
      <w:bookmarkEnd w:id="4"/>
      <w:r>
        <w:rPr>
          <w:bCs/>
          <w:sz w:val="22"/>
          <w:lang w:val="en-GB"/>
        </w:rPr>
        <w:t>Harmonisation</w:t>
      </w:r>
    </w:p>
    <w:p>
      <w:pPr>
        <w:pStyle w:val="Normal"/>
        <w:spacing w:before="0" w:after="0"/>
        <w:jc w:val="both"/>
        <w:rPr>
          <w:szCs w:val="22"/>
          <w:lang w:val="en-GB"/>
        </w:rPr>
      </w:pPr>
      <w:r>
        <w:rPr>
          <w:szCs w:val="22"/>
          <w:lang w:val="en-GB"/>
        </w:rPr>
        <w:t>1.4.1</w:t>
        <w:tab/>
        <w:t xml:space="preserve">The Harmonisation Costs, as determined in accordance with Attachment 5-J (Harmonisation Costs), shall be paid by EuroBank to the PST Member for the relevant Affected Employees transferred to the PST Member.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1.4.2</w:t>
        <w:tab/>
        <w:t>Harmonisations Costs shall be invoiced to EuroBank as stipulated in Attachment 5-J (Harmonisation Costs).</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1.4.3</w:t>
        <w:tab/>
        <w:t>The method of calculation of the Harmonisation Costs and the re-adjustment of the same during the Term shall be in accordance with the formula set out in Attachment 5-J (</w:t>
      </w:r>
      <w:r>
        <w:rPr>
          <w:i/>
          <w:szCs w:val="22"/>
          <w:lang w:val="en-GB"/>
        </w:rPr>
        <w:t>Harmonisation Costs</w:t>
      </w:r>
      <w:r>
        <w:rPr>
          <w:szCs w:val="22"/>
          <w:lang w:val="en-GB"/>
        </w:rPr>
        <w:t>).</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5" w:name="__RefHeading___Toc153769591"/>
      <w:bookmarkEnd w:id="5"/>
      <w:r>
        <w:rPr>
          <w:bCs/>
          <w:sz w:val="22"/>
          <w:lang w:val="en-GB"/>
        </w:rPr>
        <w:t>ONE TIME CHARGES</w:t>
      </w:r>
    </w:p>
    <w:p>
      <w:pPr>
        <w:pStyle w:val="Heading2Numbered"/>
        <w:numPr>
          <w:ilvl w:val="1"/>
          <w:numId w:val="2"/>
        </w:numPr>
        <w:ind w:hanging="0" w:start="0"/>
        <w:rPr>
          <w:bCs/>
          <w:sz w:val="22"/>
          <w:lang w:val="en-GB"/>
        </w:rPr>
      </w:pPr>
      <w:bookmarkStart w:id="6" w:name="__RefHeading___Toc153769592"/>
      <w:bookmarkEnd w:id="6"/>
      <w:r>
        <w:rPr>
          <w:bCs/>
          <w:sz w:val="22"/>
          <w:lang w:val="en-GB"/>
        </w:rPr>
        <w:t>One-Time Charges: Transition &amp; Transformation</w:t>
      </w:r>
    </w:p>
    <w:p>
      <w:pPr>
        <w:pStyle w:val="Normal"/>
        <w:spacing w:before="0" w:after="0"/>
        <w:jc w:val="both"/>
        <w:rPr>
          <w:bCs/>
          <w:sz w:val="22"/>
          <w:szCs w:val="22"/>
          <w:lang w:val="en-GB"/>
        </w:rPr>
      </w:pPr>
      <w:r>
        <w:rPr>
          <w:bCs/>
          <w:sz w:val="22"/>
          <w:szCs w:val="22"/>
          <w:lang w:val="en-GB"/>
        </w:rPr>
      </w:r>
    </w:p>
    <w:p>
      <w:pPr>
        <w:pStyle w:val="Normal"/>
        <w:spacing w:before="0" w:after="0"/>
        <w:jc w:val="both"/>
        <w:rPr/>
      </w:pPr>
      <w:r>
        <w:rPr>
          <w:szCs w:val="22"/>
          <w:lang w:val="en-GB"/>
        </w:rPr>
        <w:t>2.1.1</w:t>
        <w:tab/>
        <w:t xml:space="preserve">The One-Time Charges shall be payable in respect of the T&amp;T Program activities as specified in Exhibit 30 (Transition and Transformation). Any costs in addition to the One-Time Charges, to be borne by EuroBank, must be set out expressly in the Transition and Transformation Plans. </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2.1.2</w:t>
        <w:tab/>
        <w:t>The agreed One-Time Charges for the T&amp;T Program, which are fixed, will be apportioned to the completion of delivery milestones as part of the Transition and Transformation Plans.  This shall become the Transition and Transformation payment plan against which all One-Time Charges for Transition and Transformation will be invoiced.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2.1.3</w:t>
        <w:tab/>
        <w:t>As the PST completes work and achieves delivery Milestones, it shall invoice EuroBank for the work completed in accordance with the Transition and Transformation Phases payment plans and the requirements of clause 8 of this MSA.  EuroBank shall pay 90% of the invoiced amounts directly to the PST and shall retain 10% of each amount invoiced.  Such 10% amount shall be payable to the PST upon EuroBank’s Acceptance of all Transition and Transformation Plan Milestones.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2.1.4</w:t>
        <w:tab/>
        <w:t>The Transition and Transformation One Time Charges are detailed in Attachment 4-A (</w:t>
      </w:r>
      <w:r>
        <w:rPr>
          <w:i/>
          <w:szCs w:val="22"/>
          <w:lang w:val="en-GB"/>
        </w:rPr>
        <w:t>Pricing Forms</w:t>
      </w:r>
      <w:r>
        <w:rPr>
          <w:szCs w:val="22"/>
          <w:lang w:val="en-GB"/>
        </w:rPr>
        <w:t>).</w:t>
      </w:r>
    </w:p>
    <w:p>
      <w:pPr>
        <w:pStyle w:val="Heading2Numbered"/>
        <w:numPr>
          <w:ilvl w:val="1"/>
          <w:numId w:val="2"/>
        </w:numPr>
        <w:ind w:hanging="0" w:start="0"/>
        <w:rPr>
          <w:bCs/>
          <w:sz w:val="22"/>
          <w:lang w:val="en-GB"/>
        </w:rPr>
      </w:pPr>
      <w:bookmarkStart w:id="7" w:name="__RefHeading___Toc153769593"/>
      <w:bookmarkEnd w:id="7"/>
      <w:r>
        <w:rPr>
          <w:bCs/>
          <w:sz w:val="22"/>
          <w:lang w:val="en-GB"/>
        </w:rPr>
        <w:t>Timing of Specific One-Time Charges</w:t>
      </w:r>
    </w:p>
    <w:p>
      <w:pPr>
        <w:pStyle w:val="Normal"/>
        <w:jc w:val="both"/>
        <w:rPr>
          <w:szCs w:val="22"/>
          <w:lang w:val="en-GB"/>
        </w:rPr>
      </w:pPr>
      <w:r>
        <w:rPr>
          <w:szCs w:val="22"/>
          <w:lang w:val="en-GB"/>
        </w:rPr>
        <w:t>2.2.1.</w:t>
        <w:tab/>
        <w:t xml:space="preserve">The One-Time Charges of Vendor Gamma, Vendor Alpha and TelCo in relation to the management and delay in transition of certain Third Party Contracts (as stated in the tab One Time Charges of Attachment 4A (Pricing Forms)) and the extra transition cost on voice and LAN will be invoiced by the relevant PST Member as described in the tab One Time Charges of Attachment 4A (Pricing Forms) starting at the Commencement Date for the fees in Year one and on the first anniversary of the Commencement Date for the fees of Year 2. </w:t>
      </w:r>
      <w:r>
        <w:rPr>
          <w:i/>
          <w:szCs w:val="22"/>
          <w:lang w:val="en-GB"/>
        </w:rPr>
      </w:r>
      <w:r>
        <w:rPr>
          <w:szCs w:val="22"/>
          <w:lang w:val="en-GB"/>
        </w:rPr>
      </w:r>
      <w:r>
        <w:rPr>
          <w:i/>
          <w:szCs w:val="22"/>
          <w:lang w:val="en-GB"/>
        </w:rPr>
      </w:r>
      <w:r>
        <w:rPr>
          <w:szCs w:val="22"/>
          <w:lang w:val="en-GB"/>
        </w:rPr>
      </w:r>
    </w:p>
    <w:p>
      <w:pPr>
        <w:pStyle w:val="Normal"/>
        <w:jc w:val="both"/>
        <w:rPr/>
      </w:pPr>
      <w:r>
        <w:rPr>
          <w:szCs w:val="22"/>
          <w:lang w:val="en-GB"/>
        </w:rPr>
        <w:t>2.2.2.</w:t>
        <w:tab/>
        <w:t xml:space="preserve">The One-Time Charges of Vendor Gamma, Vendor Alpha and TelCo in relation to the Commencement Date delay (as stated in the tab One Time Charges of Attachment 4A (Pricing Forms)) will be invoiced by the PST at Effective Date. </w:t>
      </w:r>
      <w:r>
        <w:rPr>
          <w:i/>
          <w:szCs w:val="22"/>
          <w:lang w:val="en-GB"/>
        </w:rPr>
      </w: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 w:name="__RefHeading___Toc153769594"/>
      <w:bookmarkEnd w:id="8"/>
      <w:r>
        <w:rPr>
          <w:bCs/>
          <w:sz w:val="22"/>
          <w:lang w:val="en-GB"/>
        </w:rPr>
        <w:t>2IM Projects</w:t>
      </w:r>
    </w:p>
    <w:p>
      <w:pPr>
        <w:pStyle w:val="Normal"/>
        <w:spacing w:before="0" w:after="0"/>
        <w:jc w:val="both"/>
        <w:rPr>
          <w:szCs w:val="22"/>
          <w:lang w:val="en-GB"/>
        </w:rPr>
      </w:pPr>
      <w:r>
        <w:rPr>
          <w:szCs w:val="22"/>
          <w:lang w:val="en-GB"/>
        </w:rPr>
        <w:t>2.3.1</w:t>
        <w:tab/>
        <w:t>The three Projects to be performed by the 2IM, set out below, shall have the following arrangements applied to them:</w:t>
      </w:r>
    </w:p>
    <w:p>
      <w:pPr>
        <w:pStyle w:val="Normal"/>
        <w:spacing w:before="0" w:after="0"/>
        <w:jc w:val="both"/>
        <w:rPr>
          <w:szCs w:val="22"/>
          <w:lang w:val="en-GB"/>
        </w:rPr>
      </w:pPr>
      <w:r>
        <w:rPr>
          <w:szCs w:val="22"/>
          <w:lang w:val="en-GB"/>
        </w:rPr>
      </w:r>
    </w:p>
    <w:p>
      <w:pPr>
        <w:pStyle w:val="Normal"/>
        <w:spacing w:before="0" w:after="0"/>
        <w:ind w:start="720" w:end="0"/>
        <w:jc w:val="both"/>
        <w:rPr/>
      </w:pPr>
      <w:r>
        <w:rPr>
          <w:rStyle w:val="Heading3AAACharChar"/>
          <w:sz w:val="22"/>
          <w:szCs w:val="22"/>
        </w:rPr>
        <w:t>Security</w:t>
      </w:r>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 xml:space="preserve">EuroBank has agreed to the 2IM performing an assessment phase for the price of €200.000. </w:t>
      </w:r>
    </w:p>
    <w:p>
      <w:pPr>
        <w:pStyle w:val="Normal"/>
        <w:spacing w:before="0" w:after="0"/>
        <w:ind w:start="720" w:end="0"/>
        <w:jc w:val="both"/>
        <w:rPr/>
      </w:pPr>
      <w:r>
        <w:rPr>
          <w:szCs w:val="22"/>
          <w:lang w:val="en-GB"/>
        </w:rPr>
        <w:t>The purpose of the assessment is to determine whether:</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(a)</w:t>
        <w:tab/>
        <w:t xml:space="preserve">EuroBank’s security Policies are maintained by EuroBank at the time of Transition; and </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the PST Members’ security practices and policies comply with EuroBank’s security Policies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 xml:space="preserve">The 2IM shall not commence any subsequent phase of this Project without the prior written consent of EuroBank. In no event shall the total Project price exceed €1.000.000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In the event that the assessment made by the 2IM indicates that EuroBank’s security Policies require more than is the current market practice for security activities in respect of the Services then each PST shall provide its proposed price for the delivery of those services required to meet the additional requirements of EuroBank above the then current market practice, which EuroBank may then evaluate through the Significant Change Control Procedure.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rStyle w:val="Heading3AAACharChar"/>
          <w:sz w:val="22"/>
          <w:szCs w:val="22"/>
        </w:rPr>
        <w:t>ITIL</w:t>
      </w:r>
      <w:r>
        <w:rPr>
          <w:szCs w:val="22"/>
          <w:u w:val="single"/>
          <w:lang w:val="en-GB"/>
        </w:rPr>
        <w:t>:</w:t>
      </w:r>
    </w:p>
    <w:p>
      <w:pPr>
        <w:pStyle w:val="Normal"/>
        <w:spacing w:before="0" w:after="0"/>
        <w:ind w:start="720" w:end="0"/>
        <w:jc w:val="both"/>
        <w:rPr>
          <w:szCs w:val="22"/>
          <w:u w:val="single"/>
          <w:lang w:val="en-GB"/>
        </w:rPr>
      </w:pPr>
      <w:r>
        <w:rPr>
          <w:szCs w:val="22"/>
          <w:u w:val="single"/>
          <w:lang w:val="en-GB"/>
        </w:rPr>
      </w:r>
    </w:p>
    <w:p>
      <w:pPr>
        <w:pStyle w:val="Normal"/>
        <w:spacing w:before="0" w:after="0"/>
        <w:ind w:start="720" w:end="0"/>
        <w:jc w:val="both"/>
        <w:rPr/>
      </w:pPr>
      <w:r>
        <w:rPr>
          <w:szCs w:val="22"/>
          <w:lang w:val="en-GB"/>
        </w:rPr>
        <w:t>Prior to EuroBank committing to this Project, the 2IM shall deliver substantiation for carrying out the Project. In the event that EuroBank requests that the 2IM conducts an assessment of this Project then the fee for the assessment phase shall be €200,000, unless the parties agree otherwise. The 2IM shall not commence any subsequent phase of this Project without the prior written consent of EuroBank. In no event shall the total Project price exceed €996.000</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rStyle w:val="Heading3AAACharChar"/>
          <w:sz w:val="22"/>
          <w:szCs w:val="22"/>
        </w:rPr>
        <w:t>BCP/DR</w:t>
      </w:r>
      <w:r>
        <w:rPr>
          <w:szCs w:val="22"/>
          <w:u w:val="single"/>
          <w:lang w:val="en-GB"/>
        </w:rPr>
        <w:t>:</w:t>
      </w:r>
    </w:p>
    <w:p>
      <w:pPr>
        <w:pStyle w:val="Normal"/>
        <w:spacing w:before="0" w:after="0"/>
        <w:ind w:start="720" w:end="0"/>
        <w:jc w:val="both"/>
        <w:rPr>
          <w:szCs w:val="22"/>
          <w:u w:val="single"/>
          <w:lang w:val="en-GB"/>
        </w:rPr>
      </w:pPr>
      <w:r>
        <w:rPr>
          <w:szCs w:val="22"/>
          <w:u w:val="single"/>
          <w:lang w:val="en-GB"/>
        </w:rPr>
      </w:r>
    </w:p>
    <w:p>
      <w:pPr>
        <w:pStyle w:val="Normal"/>
        <w:spacing w:before="0" w:after="0"/>
        <w:ind w:start="720" w:end="0"/>
        <w:jc w:val="both"/>
        <w:rPr/>
      </w:pPr>
      <w:r>
        <w:rPr>
          <w:szCs w:val="22"/>
          <w:lang w:val="en-GB"/>
        </w:rPr>
        <w:t>Prior to EuroBank committing to this Project, the 2IM shall deliver substantiation for carrying out the Project. In the event that EuroBank requests that the 2IM conducts an assessment of this Project then the fee for the assessment phase shall be €200,000, unless the parties agree otherwise. The 2IM shall not commence any subsequent phase of this Project without the prior written consent of EuroBank. In no event shall the total Project price exceed €788.000.</w:t>
      </w:r>
    </w:p>
    <w:p>
      <w:pPr>
        <w:pStyle w:val="Heading2Numbered"/>
        <w:numPr>
          <w:ilvl w:val="1"/>
          <w:numId w:val="2"/>
        </w:numPr>
        <w:ind w:hanging="0" w:start="0"/>
        <w:rPr>
          <w:bCs/>
          <w:sz w:val="22"/>
          <w:lang w:val="en-GB"/>
        </w:rPr>
      </w:pPr>
      <w:bookmarkStart w:id="9" w:name="__RefHeading___Toc153769595"/>
      <w:bookmarkEnd w:id="9"/>
      <w:r>
        <w:rPr>
          <w:bCs/>
          <w:sz w:val="22"/>
          <w:lang w:val="en-GB"/>
        </w:rPr>
        <w:t>Other One-Time Charges</w:t>
      </w:r>
    </w:p>
    <w:p>
      <w:pPr>
        <w:pStyle w:val="Normal"/>
        <w:spacing w:before="0" w:after="0"/>
        <w:jc w:val="both"/>
        <w:rPr/>
      </w:pPr>
      <w:r>
        <w:rPr>
          <w:szCs w:val="22"/>
          <w:lang w:val="en-GB"/>
        </w:rPr>
        <w:t>All One-Time Charges relating to Projects shall be linked to a Milestone payment plan. For the avoidance of doubt, this does not apply to the specific One-Time Charges as described in Section 2.2 above.</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0" w:name="__RefHeading___Toc153769596"/>
      <w:bookmarkEnd w:id="10"/>
      <w:r>
        <w:rPr>
          <w:bCs/>
          <w:sz w:val="22"/>
          <w:lang w:val="en-GB"/>
        </w:rPr>
        <w:t>BASE CHARGE</w:t>
      </w:r>
    </w:p>
    <w:p>
      <w:pPr>
        <w:pStyle w:val="Normal"/>
        <w:spacing w:before="0" w:after="0"/>
        <w:jc w:val="both"/>
        <w:rPr>
          <w:szCs w:val="22"/>
          <w:lang w:val="en-GB"/>
        </w:rPr>
      </w:pPr>
      <w:r>
        <w:rPr>
          <w:szCs w:val="22"/>
          <w:lang w:val="en-GB"/>
        </w:rPr>
        <w:t>This section 3 details the Base Charge applicable to each Statement of Work, including those of the Other PST Suppliers applicable as at the Commencement Date, which have been included for information purposes only and have no contractual effect.    For the avoidance of doubt, only the Base Charges for the Statements of Work attached to this MSA are applicable to the PST Supplier, and the Base Charges relating to the Other PST Suppliers may change from time to time without reference to this MSA</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As stipulated in section 1.2.11 above, EuroBank and the PST have come to an agreement to put seat-pricing in place as set out in Attachment 4-J (Seat Pricing Mechanism). Section 3.1 to 3.7 below merely describe the components incorporated into the seat-pricing:</w:t>
      </w:r>
      <w:r>
        <w:rPr>
          <w:i/>
          <w:szCs w:val="22"/>
          <w:lang w:val="en-GB"/>
        </w:rPr>
      </w: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1" w:name="__RefHeading___Toc153769597"/>
      <w:bookmarkEnd w:id="11"/>
      <w:r>
        <w:rPr>
          <w:bCs/>
          <w:sz w:val="22"/>
          <w:lang w:val="en-GB"/>
        </w:rPr>
        <w:t>End User Computing Services</w:t>
      </w:r>
    </w:p>
    <w:p>
      <w:pPr>
        <w:pStyle w:val="Normal"/>
        <w:spacing w:before="0" w:after="0"/>
        <w:jc w:val="both"/>
        <w:rPr/>
      </w:pPr>
      <w:r>
        <w:rPr>
          <w:szCs w:val="22"/>
          <w:lang w:val="en-GB"/>
        </w:rPr>
        <w:t>The Base Charge covers all activities defined in Exhibit 2.1 (</w:t>
      </w:r>
      <w:r>
        <w:rPr>
          <w:i/>
          <w:szCs w:val="22"/>
          <w:lang w:val="en-GB"/>
        </w:rPr>
        <w:t>End User Computing Services</w:t>
      </w:r>
      <w:r>
        <w:rPr>
          <w:szCs w:val="22"/>
          <w:lang w:val="en-GB"/>
        </w:rPr>
        <w:t>) and their associated Service Levels. The End User Computing Services Resource Units (as set out in Attachment 4-D (</w:t>
      </w:r>
      <w:r>
        <w:rPr>
          <w:i/>
          <w:szCs w:val="22"/>
          <w:lang w:val="en-GB"/>
        </w:rPr>
        <w:t>Resource Baselines</w:t>
      </w:r>
      <w:r>
        <w:rPr>
          <w:szCs w:val="22"/>
          <w:lang w:val="en-GB"/>
        </w:rPr>
        <w:t>) to this Exhibit 4) relate to the following:</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 xml:space="preserve">Managed Service for the Standard and Non Standard Desktop/Laptop.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Managed Services for Standard and Non Standard Local Printers.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 xml:space="preserve">Managed Services for Standard and Non Standard Network Printer.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Managed Services Other Peripherals. The Services comprise hardware support and support on the synchronisation with electronic calendar, to do list, address book and e-mail.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IMAC's. The IMAC Charge is a fixed charge per event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f)</w:t>
        <w:tab/>
        <w:t>Packages distributed. This is a fixed charge per Package to be distributed</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2" w:name="__RefHeading___Toc153769598"/>
      <w:bookmarkEnd w:id="12"/>
      <w:r>
        <w:rPr>
          <w:bCs/>
          <w:sz w:val="22"/>
          <w:lang w:val="en-GB"/>
        </w:rPr>
        <w:t>Service Desk Services</w:t>
      </w:r>
    </w:p>
    <w:p>
      <w:pPr>
        <w:pStyle w:val="Normal"/>
        <w:spacing w:before="0" w:after="0"/>
        <w:jc w:val="both"/>
        <w:rPr/>
      </w:pPr>
      <w:r>
        <w:rPr>
          <w:szCs w:val="22"/>
          <w:lang w:val="en-GB"/>
        </w:rPr>
        <w:t>The Base Charge covers all activities defined in Exhibit 2.2 (</w:t>
      </w:r>
      <w:r>
        <w:rPr>
          <w:i/>
          <w:szCs w:val="22"/>
          <w:lang w:val="en-GB"/>
        </w:rPr>
        <w:t>Service Desk Services</w:t>
      </w:r>
      <w:r>
        <w:rPr>
          <w:szCs w:val="22"/>
          <w:lang w:val="en-GB"/>
        </w:rPr>
        <w:t>) and their associated Service Levels. The Service Desk Services Resource Units (as set out in Attachment 4- D (</w:t>
      </w:r>
      <w:r>
        <w:rPr>
          <w:i/>
          <w:szCs w:val="22"/>
          <w:lang w:val="en-GB"/>
        </w:rPr>
        <w:t>Resource Baselines</w:t>
      </w:r>
      <w:r>
        <w:rPr>
          <w:szCs w:val="22"/>
          <w:lang w:val="en-GB"/>
        </w:rPr>
        <w:t>) to this Exhibit 4), apply to Authorised Users, and are based on the following criteria:</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On the basis of a fixed number of Calls per Year, per Authorised User, being 15 in Year 1 and reducing by 1 Call per Year thereafter until 11 Calls per Year, per Authorised User;</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the relevant PST Member assumes risk of Call split ratio (in/out scope);</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EuroBank complying with its obligations under Transition relating to the Service Desk;</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the relevant PST Member assumes the risk for all matters other than major changes and disruptions which for these purposes means an increase by more than 5% in the trend for the volume of Calls measured over a period of 5 Business Days;</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If the volume of Calls increases by more than 5% (subject to the fixed number of Calls per Authorised User, per Year), there will be a Root Cause Analysis conducted by 2IM. If the Root Cause Analysis establishes that the increase has been caused by EuroBank, EuroBank will pay such reasonable sum as may be determined by the 2IM, which relates to the additional resources utilised by the PST Member to deal with the increase in volume of Calls.</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If the increase in volume of Calls above 5% is caused by any of the Services delivered by any PST Member, then each responsible PST Member shall bear the additional costs.</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 xml:space="preserve">The number of Authorised Users shall be collated on a monthly basis, in arrears, by the PST responsible for UAS utilising amongst others the Active Directory and validated by the 2IM. </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Although MFPs are not In Scope in The Netherlands, and in Belgium will only be taken In Scope during T&amp;T via the Significant Change Control Procedure, Vendor Gamma will nevertheless take all Calls for the MFPs.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3" w:name="__RefHeading___Toc153769599"/>
      <w:bookmarkEnd w:id="13"/>
      <w:r>
        <w:rPr>
          <w:bCs/>
          <w:sz w:val="22"/>
          <w:lang w:val="en-GB"/>
        </w:rPr>
        <w:t>LAN Services</w:t>
      </w:r>
    </w:p>
    <w:p>
      <w:pPr>
        <w:pStyle w:val="Normal"/>
        <w:spacing w:before="0" w:after="0"/>
        <w:jc w:val="both"/>
        <w:rPr/>
      </w:pPr>
      <w:r>
        <w:rPr>
          <w:szCs w:val="22"/>
          <w:lang w:val="en-GB"/>
        </w:rPr>
        <w:t>The Base Charge covers all activities defined in Exhibit 2.3 (</w:t>
      </w:r>
      <w:r>
        <w:rPr>
          <w:i/>
          <w:szCs w:val="22"/>
          <w:lang w:val="en-GB"/>
        </w:rPr>
        <w:t>Network Services</w:t>
      </w:r>
      <w:r>
        <w:rPr>
          <w:szCs w:val="22"/>
          <w:lang w:val="en-GB"/>
        </w:rPr>
        <w:t>) and their associated Service Levels. The LAN Services Resource Units (as set out in Attachment 4- D (</w:t>
      </w:r>
      <w:r>
        <w:rPr>
          <w:i/>
          <w:szCs w:val="22"/>
          <w:lang w:val="en-GB"/>
        </w:rPr>
        <w:t>Resource Baselines</w:t>
      </w:r>
      <w:r>
        <w:rPr>
          <w:szCs w:val="22"/>
          <w:lang w:val="en-GB"/>
        </w:rPr>
        <w:t>) to this Exhibit 4) apply to active LAN ports.</w:t>
      </w:r>
      <w:r>
        <w:rPr/>
        <w:t xml:space="preserve"> </w:t>
      </w:r>
      <w:r>
        <w:rPr>
          <w:szCs w:val="22"/>
          <w:lang w:val="en-GB"/>
        </w:rPr>
        <w:t xml:space="preserve">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4" w:name="__RefHeading___Toc153769600"/>
      <w:bookmarkEnd w:id="14"/>
      <w:r>
        <w:rPr>
          <w:bCs/>
          <w:sz w:val="22"/>
          <w:lang w:val="en-GB"/>
        </w:rPr>
        <w:t>Voice Services</w:t>
      </w:r>
    </w:p>
    <w:p>
      <w:pPr>
        <w:pStyle w:val="Normal"/>
        <w:spacing w:before="0" w:after="0"/>
        <w:jc w:val="both"/>
        <w:rPr/>
      </w:pPr>
      <w:r>
        <w:rPr>
          <w:szCs w:val="22"/>
          <w:lang w:val="en-GB"/>
        </w:rPr>
        <w:t>The Base Charge covers all activities defined in Exhibit 2.4 (</w:t>
      </w:r>
      <w:r>
        <w:rPr>
          <w:i/>
          <w:szCs w:val="22"/>
          <w:lang w:val="en-GB"/>
        </w:rPr>
        <w:t>Managed Voice Services</w:t>
      </w:r>
      <w:r>
        <w:rPr>
          <w:szCs w:val="22"/>
          <w:lang w:val="en-GB"/>
        </w:rPr>
        <w:t>) and their associated Service Levels. The Voice Service Resource Units are as set out in Attachment 4- D (</w:t>
      </w:r>
      <w:r>
        <w:rPr>
          <w:i/>
          <w:szCs w:val="22"/>
          <w:lang w:val="en-GB"/>
        </w:rPr>
        <w:t>Resource Baselines</w:t>
      </w:r>
      <w:r>
        <w:rPr>
          <w:szCs w:val="22"/>
          <w:lang w:val="en-GB"/>
        </w:rPr>
        <w:t>) to this Exhibit 4.</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5" w:name="__RefHeading___Toc153769601"/>
      <w:bookmarkEnd w:id="15"/>
      <w:r>
        <w:rPr>
          <w:bCs/>
          <w:sz w:val="22"/>
          <w:lang w:val="en-GB"/>
        </w:rPr>
        <w:t>Desktop Hardware Services</w:t>
      </w:r>
    </w:p>
    <w:p>
      <w:pPr>
        <w:pStyle w:val="Normal"/>
        <w:spacing w:before="0" w:after="0"/>
        <w:jc w:val="both"/>
        <w:rPr/>
      </w:pPr>
      <w:r>
        <w:rPr>
          <w:szCs w:val="22"/>
          <w:lang w:val="en-GB"/>
        </w:rPr>
        <w:t>The Base Charge covers all activities defined in Exhibit 2.5 (</w:t>
      </w:r>
      <w:r>
        <w:rPr>
          <w:i/>
          <w:szCs w:val="22"/>
          <w:lang w:val="en-GB"/>
        </w:rPr>
        <w:t>Desktop Hardware Services</w:t>
      </w:r>
      <w:r>
        <w:rPr>
          <w:szCs w:val="22"/>
          <w:lang w:val="en-GB"/>
        </w:rPr>
        <w:t>) and their associated Service Levels. The Desktop Hardware Service Resource Units are as set out in Attachment 4- D (</w:t>
      </w:r>
      <w:r>
        <w:rPr>
          <w:i/>
          <w:szCs w:val="22"/>
          <w:lang w:val="en-GB"/>
        </w:rPr>
        <w:t>Resource Baselines</w:t>
      </w:r>
      <w:r>
        <w:rPr>
          <w:szCs w:val="22"/>
          <w:lang w:val="en-GB"/>
        </w:rPr>
        <w:t>) to this Exhibit 4.</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6" w:name="__RefHeading___Toc153769602"/>
      <w:bookmarkEnd w:id="16"/>
      <w:r>
        <w:rPr>
          <w:bCs/>
          <w:sz w:val="22"/>
          <w:lang w:val="en-GB"/>
        </w:rPr>
        <w:t>Server Management Services</w:t>
      </w:r>
    </w:p>
    <w:p>
      <w:pPr>
        <w:pStyle w:val="Normal"/>
        <w:spacing w:before="0" w:after="0"/>
        <w:jc w:val="both"/>
        <w:rPr/>
      </w:pPr>
      <w:r>
        <w:rPr>
          <w:szCs w:val="22"/>
          <w:lang w:val="en-GB"/>
        </w:rPr>
        <w:t>The Base Charge covers all activities defined in Exhibit 2.6 (</w:t>
      </w:r>
      <w:r>
        <w:rPr>
          <w:i/>
          <w:szCs w:val="22"/>
          <w:lang w:val="en-GB"/>
        </w:rPr>
        <w:t>Server Management Services</w:t>
      </w:r>
      <w:r>
        <w:rPr>
          <w:szCs w:val="22"/>
          <w:lang w:val="en-GB"/>
        </w:rPr>
        <w:t>) and their associated Service Levels. The Server Management Services Resource Units are as set out in Attachment 4- D (</w:t>
      </w:r>
      <w:r>
        <w:rPr>
          <w:i/>
          <w:szCs w:val="22"/>
          <w:lang w:val="en-GB"/>
        </w:rPr>
        <w:t>Resource Baselines</w:t>
      </w:r>
      <w:r>
        <w:rPr>
          <w:szCs w:val="22"/>
          <w:lang w:val="en-GB"/>
        </w:rPr>
        <w:t>) to this Exhibit 4.</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7" w:name="__RefHeading___Toc153769603"/>
      <w:bookmarkEnd w:id="17"/>
      <w:r>
        <w:rPr>
          <w:bCs/>
          <w:sz w:val="22"/>
          <w:lang w:val="en-GB"/>
        </w:rPr>
        <w:t>2IM Services</w:t>
      </w:r>
    </w:p>
    <w:p>
      <w:pPr>
        <w:pStyle w:val="Normal"/>
        <w:spacing w:before="0" w:after="0"/>
        <w:jc w:val="both"/>
        <w:rPr/>
      </w:pPr>
      <w:r>
        <w:rPr>
          <w:szCs w:val="22"/>
          <w:lang w:val="en-GB"/>
        </w:rPr>
        <w:t>The Base Charge covers all activities defined in Exhibit 2.7 (</w:t>
      </w:r>
      <w:r>
        <w:rPr>
          <w:i/>
          <w:szCs w:val="22"/>
          <w:lang w:val="en-GB"/>
        </w:rPr>
        <w:t>2IM Services &amp; Governance</w:t>
      </w:r>
      <w:r>
        <w:rPr>
          <w:szCs w:val="22"/>
          <w:lang w:val="en-GB"/>
        </w:rPr>
        <w:t>) and their associated Service Levels. The 2IM’s Charges are set out in Attachment 4- D (</w:t>
      </w:r>
      <w:r>
        <w:rPr>
          <w:i/>
          <w:szCs w:val="22"/>
          <w:lang w:val="en-GB"/>
        </w:rPr>
        <w:t>Resource Baselines</w:t>
      </w:r>
      <w:r>
        <w:rPr>
          <w:szCs w:val="22"/>
          <w:lang w:val="en-GB"/>
        </w:rPr>
        <w:t>) to this Exhibit 4.</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8" w:name="__RefHeading___Toc153769604"/>
      <w:r>
        <w:rPr>
          <w:bCs/>
          <w:sz w:val="22"/>
          <w:lang w:val="en-GB"/>
        </w:rPr>
        <w:t>ADDITIONAL &amp; REDUCED RESOURCE CHARGES (“ARC’S &amp; RRC’S”)</w:t>
      </w:r>
      <w:bookmarkEnd w:id="18"/>
      <w:r>
        <w:rPr>
          <w:bCs/>
          <w:sz w:val="22"/>
          <w:lang w:val="en-GB"/>
        </w:rPr>
        <w:t xml:space="preserve"> </w:t>
      </w:r>
    </w:p>
    <w:p>
      <w:pPr>
        <w:pStyle w:val="Normal"/>
        <w:spacing w:before="0" w:after="0"/>
        <w:jc w:val="both"/>
        <w:rPr>
          <w:szCs w:val="22"/>
          <w:lang w:val="en-GB"/>
        </w:rPr>
      </w:pPr>
      <w:r>
        <w:rPr>
          <w:szCs w:val="22"/>
          <w:lang w:val="en-GB"/>
        </w:rPr>
        <w:t xml:space="preserve">Where EuroBank requests a change to the Resource Baseline, then the following shall apply: </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For additional volumes, the additional volume consumed will be subject to additional Charges calculated by multiplying the excess Resource Units, that have been pre-approved in accordance with the procedures described in this Exhibit 4 by the appropriate ARC.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For reduced volumes, the under utilised volume will be subject to a credit from the PST Member to EuroBank calculated by multiplying the unused Resource Units by the appropriate RRC.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Any such adjustment to Charges as a result of sections 4 (a) &amp; (b) above shall be included on the invoice for the month following that in which the consumption occurred.</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9" w:name="__RefHeading___Toc153769605"/>
      <w:bookmarkEnd w:id="19"/>
      <w:r>
        <w:rPr>
          <w:bCs/>
          <w:sz w:val="22"/>
          <w:lang w:val="en-GB"/>
        </w:rPr>
        <w:t>Revision of Resource Baseline, ARC &amp; RRC Thresholds, ARC &amp; RRC Rates</w:t>
      </w:r>
    </w:p>
    <w:p>
      <w:pPr>
        <w:pStyle w:val="Normal"/>
        <w:spacing w:before="0" w:after="0"/>
        <w:jc w:val="both"/>
        <w:rPr/>
      </w:pPr>
      <w:r>
        <w:rPr>
          <w:szCs w:val="22"/>
          <w:lang w:val="en-GB"/>
        </w:rPr>
        <w:t>The following provisions shall apply to EuroBank’s variation in the use of Services.</w:t>
      </w:r>
    </w:p>
    <w:p>
      <w:pPr>
        <w:pStyle w:val="Normal"/>
        <w:spacing w:before="0" w:after="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sz w:val="22"/>
          <w:szCs w:val="22"/>
          <w:lang w:val="en-GB"/>
        </w:rPr>
      </w:pPr>
      <w:bookmarkStart w:id="20" w:name="__RefHeading___Toc153769606"/>
      <w:bookmarkEnd w:id="20"/>
      <w:r>
        <w:rPr>
          <w:sz w:val="22"/>
          <w:szCs w:val="22"/>
          <w:lang w:val="en-GB"/>
        </w:rPr>
        <w:t>Increase in the use of Services</w:t>
      </w:r>
    </w:p>
    <w:p>
      <w:pPr>
        <w:pStyle w:val="Normal"/>
        <w:spacing w:before="0" w:after="0"/>
        <w:ind w:start="720" w:end="0"/>
        <w:jc w:val="both"/>
        <w:rPr>
          <w:szCs w:val="22"/>
          <w:lang w:val="en-GB"/>
        </w:rPr>
      </w:pPr>
      <w:r>
        <w:rPr>
          <w:szCs w:val="22"/>
          <w:lang w:val="en-GB"/>
        </w:rPr>
        <w:t>Each Resource Baseline shall have one (1) volume consumption bandwidth applicable to the use of Resource Units in addition to the Resource Baseline.  If EuroBank uses Resource Units of up to twenty-five percent (25%) above the applicable Resource Baselines during a given month, EuroBank shall pay ARCs, calculated by multiplying the ARC Rate applicable by the number of Resource Units used by EuroBank in excess of the Resource Baseline.</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1" w:name="__RefHeading___Toc153769607"/>
      <w:bookmarkEnd w:id="21"/>
      <w:r>
        <w:rPr>
          <w:bCs/>
          <w:sz w:val="22"/>
          <w:lang w:val="en-GB"/>
        </w:rPr>
        <w:t>Decrease in the use of Services</w:t>
      </w:r>
    </w:p>
    <w:p>
      <w:pPr>
        <w:pStyle w:val="Normal"/>
        <w:spacing w:before="0" w:after="0"/>
        <w:ind w:start="720" w:end="0"/>
        <w:jc w:val="both"/>
        <w:rPr>
          <w:szCs w:val="22"/>
          <w:lang w:val="en-GB"/>
        </w:rPr>
      </w:pPr>
      <w:r>
        <w:rPr>
          <w:szCs w:val="22"/>
          <w:lang w:val="en-GB"/>
        </w:rPr>
        <w:t>Each Resource Baseline shall have one (1) volume consumption bandwidth applicable to the use of Resource Units below the Resource Baseline.  If EuroBank uses Resource Units of up to twenty-five (25%) below the applicable Resource Baseline during a given month, EuroBank shall receive RRCs that will be calculated by multiplying the RRC Rate applicable by the difference between the Resource Baseline and the actual number of Resource Units used by EuroBank.</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2" w:name="__RefHeading___Toc153769608"/>
      <w:bookmarkEnd w:id="22"/>
      <w:r>
        <w:rPr>
          <w:bCs/>
          <w:sz w:val="22"/>
          <w:lang w:val="en-GB"/>
        </w:rPr>
        <w:t>Significant Decreases and Increases in the use of the Services</w:t>
      </w:r>
    </w:p>
    <w:p>
      <w:pPr>
        <w:pStyle w:val="Normal"/>
        <w:spacing w:before="0" w:after="0"/>
        <w:ind w:start="720" w:end="0"/>
        <w:jc w:val="both"/>
        <w:rPr/>
      </w:pPr>
      <w:r>
        <w:rPr>
          <w:szCs w:val="22"/>
          <w:lang w:val="en-GB"/>
        </w:rPr>
        <w:t xml:space="preserve">If EuroBank uses fewer Resource Units than the RRC band for a period which exceeds (or which the parties agree is likely to exceed) three (3) calendar months, the parties shall negotiate an adjustment to the applicable Resource Baseline(s) and the Base Charges and variable Charges for such Resource Baseline(s), provided that the revised Base Charge for such Resource Baseline shall be no greater than the Base Charge prior to the adjustment less all RRCs.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 xml:space="preserve">If EuroBank uses Resources Units in excess of the ARC band for a period which exceeds (or which the parties agree is likely to exceed) three (3) calendar months, the parties shall negotiate an adjustment to the applicable Resource Baseline(s), and the Base Charges and the variable Charges for such Resource Baseline(s), provided that the Implied Unit Price included in the revised Base Charges shall be no greater than that in effect prior to the adjustment.  </w:t>
      </w:r>
    </w:p>
    <w:p>
      <w:pPr>
        <w:pStyle w:val="Normal"/>
        <w:spacing w:before="0" w:after="0"/>
        <w:ind w:start="72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For purposes of this paragraph the Implied Unit Price shall be calculated using the formula that follows:</w:t>
      </w:r>
    </w:p>
    <w:p>
      <w:pPr>
        <w:pStyle w:val="Normal"/>
        <w:spacing w:before="0" w:after="0"/>
        <w:ind w:start="1440" w:end="0"/>
        <w:jc w:val="both"/>
        <w:rPr>
          <w:szCs w:val="22"/>
          <w:lang w:val="en-GB"/>
        </w:rPr>
      </w:pPr>
      <w:r>
        <w:rPr>
          <w:szCs w:val="22"/>
          <w:lang w:val="en-GB"/>
        </w:rPr>
      </w:r>
    </w:p>
    <w:p>
      <w:pPr>
        <w:pStyle w:val="Normal"/>
        <w:spacing w:before="0" w:after="0"/>
        <w:ind w:hanging="2160" w:start="3600" w:end="0"/>
        <w:jc w:val="both"/>
        <w:rPr/>
      </w:pPr>
      <w:r>
        <w:rPr>
          <w:b/>
          <w:i/>
          <w:szCs w:val="22"/>
          <w:lang w:val="en-GB"/>
        </w:rPr>
        <w:t>Implied Unit Price</w:t>
      </w:r>
      <w:r>
        <w:rPr>
          <w:szCs w:val="22"/>
          <w:lang w:val="en-GB"/>
        </w:rPr>
        <w:t xml:space="preserve"> =</w:t>
        <w:tab/>
        <w:t>(</w:t>
      </w:r>
      <w:r>
        <w:rPr>
          <w:i/>
          <w:szCs w:val="22"/>
          <w:lang w:val="en-GB"/>
        </w:rPr>
        <w:t>applicable Base Charges + applicable ARC Charge – applicable RRC Charges</w:t>
      </w:r>
      <w:r>
        <w:rPr>
          <w:szCs w:val="22"/>
          <w:lang w:val="en-GB"/>
        </w:rPr>
        <w:t xml:space="preserve">) </w:t>
      </w:r>
    </w:p>
    <w:p>
      <w:pPr>
        <w:pStyle w:val="Normal"/>
        <w:spacing w:before="0" w:after="0"/>
        <w:ind w:hanging="2160" w:start="5760" w:end="0"/>
        <w:jc w:val="both"/>
        <w:rPr>
          <w:szCs w:val="22"/>
          <w:lang w:val="en-GB"/>
        </w:rPr>
      </w:pPr>
      <w:r>
        <w:rPr>
          <w:szCs w:val="22"/>
          <w:lang w:val="en-GB"/>
        </w:rPr>
      </w:r>
    </w:p>
    <w:p>
      <w:pPr>
        <w:pStyle w:val="Normal"/>
        <w:spacing w:before="0" w:after="0"/>
        <w:ind w:hanging="2160" w:start="5760" w:end="0"/>
        <w:jc w:val="both"/>
        <w:rPr>
          <w:szCs w:val="22"/>
          <w:lang w:val="en-GB"/>
        </w:rPr>
      </w:pPr>
      <w:r>
        <w:rPr>
          <w:szCs w:val="22"/>
          <w:lang w:val="en-GB"/>
        </w:rPr>
        <w:t>divided by:</w:t>
      </w:r>
    </w:p>
    <w:p>
      <w:pPr>
        <w:pStyle w:val="Normal"/>
        <w:spacing w:before="0" w:after="0"/>
        <w:ind w:hanging="2160" w:start="5760" w:end="0"/>
        <w:jc w:val="both"/>
        <w:rPr>
          <w:szCs w:val="22"/>
          <w:lang w:val="en-GB"/>
        </w:rPr>
      </w:pPr>
      <w:r>
        <w:rPr>
          <w:szCs w:val="22"/>
          <w:lang w:val="en-GB"/>
        </w:rPr>
      </w:r>
    </w:p>
    <w:p>
      <w:pPr>
        <w:pStyle w:val="Normal"/>
        <w:spacing w:before="0" w:after="0"/>
        <w:ind w:start="3600" w:end="0"/>
        <w:jc w:val="both"/>
        <w:rPr/>
      </w:pPr>
      <w:r>
        <w:rPr>
          <w:szCs w:val="22"/>
          <w:lang w:val="en-GB"/>
        </w:rPr>
        <w:t>(</w:t>
      </w:r>
      <w:r>
        <w:rPr>
          <w:i/>
          <w:szCs w:val="22"/>
          <w:lang w:val="en-GB"/>
        </w:rPr>
        <w:t>applicable Resource Baseline + applicable ARC volumes - applicable RRC volumes</w:t>
      </w:r>
      <w:r>
        <w:rPr>
          <w:szCs w:val="22"/>
          <w:lang w:val="en-GB"/>
        </w:rPr>
        <w:t>)</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3" w:name="__RefHeading___Toc153769609"/>
      <w:bookmarkEnd w:id="23"/>
      <w:r>
        <w:rPr>
          <w:bCs/>
          <w:sz w:val="22"/>
          <w:lang w:val="en-GB"/>
        </w:rPr>
        <w:t>Significant Resource Baseline increases beyond the ARC Band</w:t>
      </w:r>
    </w:p>
    <w:p>
      <w:pPr>
        <w:pStyle w:val="Normal"/>
        <w:spacing w:before="0" w:after="0"/>
        <w:ind w:start="720" w:end="0"/>
        <w:jc w:val="both"/>
        <w:rPr/>
      </w:pPr>
      <w:r>
        <w:rPr>
          <w:szCs w:val="22"/>
          <w:lang w:val="en-GB"/>
        </w:rPr>
        <w:t>A bandwidth of 25% shall apply to both ARC’s and RRC’s, as set out in Attachment 4-A (</w:t>
      </w:r>
      <w:r>
        <w:rPr>
          <w:i/>
          <w:szCs w:val="22"/>
          <w:lang w:val="en-GB"/>
        </w:rPr>
        <w:t>Pricing Forms</w:t>
      </w:r>
      <w:r>
        <w:rPr>
          <w:szCs w:val="22"/>
          <w:lang w:val="en-GB"/>
        </w:rPr>
        <w:t>) of this Exhibit 4, for those Services in relation to which ARC’s and RRC’s are applicable. As an exception, ARC’s and RRC’s of +39% and -11% will apply for Server Management in The Netherlands.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Where the pricing becomes subject to re-negotiation (i.e. when the relevant Resources consumed result in increased volumes that fall outside the relevant Resource Baseline band as described above) where the significant volume adjustment is determined to be of a long term nature (i.e. longer than 3 calendar months) and is unlikely to be resolved, then the Base Charges, ARCs, etc. shall be re-negotiated. In such circumstances, any re-negotiation shall be complete within a maximum of 90 days.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Upon completion of the renegotiation, the agreed upon Charges will be applied retroactively to the period of renegotiation and EuroBank will receive a credit or make additional payments as appropriate.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 xml:space="preserve">In the event that re-negotiation is not completed within the maximum period of 90 days, then the matter shall be resolved in accordance with the Escalation Procedure.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4" w:name="__RefHeading___Toc153769610"/>
      <w:bookmarkEnd w:id="24"/>
      <w:r>
        <w:rPr>
          <w:bCs/>
          <w:sz w:val="22"/>
          <w:lang w:val="en-GB"/>
        </w:rPr>
        <w:t>PST logging solution</w:t>
      </w:r>
    </w:p>
    <w:p>
      <w:pPr>
        <w:pStyle w:val="Normal"/>
        <w:spacing w:before="0" w:after="0"/>
        <w:jc w:val="both"/>
        <w:rPr/>
      </w:pPr>
      <w:r>
        <w:rPr>
          <w:szCs w:val="22"/>
          <w:lang w:val="en-GB"/>
        </w:rPr>
        <w:t>The PST Member shall provide a logging solution as part of the Services that is appropriate to determine the volume for the Services or Resource Units being delivered by the PST Members, and which is capable of providing results which can be audited by the 2IM and/or EuroBank.</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5" w:name="__RefHeading___Toc153769611"/>
      <w:bookmarkEnd w:id="25"/>
      <w:r>
        <w:rPr>
          <w:bCs/>
          <w:sz w:val="22"/>
          <w:lang w:val="en-GB"/>
        </w:rPr>
        <w:t>INVOICING AND PAYMENT</w:t>
      </w:r>
    </w:p>
    <w:p>
      <w:pPr>
        <w:pStyle w:val="Normal"/>
        <w:spacing w:before="0" w:after="0"/>
        <w:jc w:val="both"/>
        <w:rPr/>
      </w:pPr>
      <w:r>
        <w:rPr>
          <w:szCs w:val="22"/>
          <w:lang w:val="en-GB"/>
        </w:rPr>
        <w:t>5.1</w:t>
        <w:tab/>
        <w:t xml:space="preserve">EuroBank shall notify the PST Member which entity within the EuroBank Group should be the recipient of any particular invoice relating to the provision of the Service.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5.2</w:t>
        <w:tab/>
        <w:t>All invoices will have a uniform format and the same level of detail as set out in Attachment 4-H (</w:t>
      </w:r>
      <w:r>
        <w:rPr>
          <w:i/>
          <w:szCs w:val="22"/>
          <w:lang w:val="en-GB"/>
        </w:rPr>
        <w:t>Invoice Summary Sample</w:t>
      </w:r>
      <w:r>
        <w:rPr>
          <w:szCs w:val="22"/>
          <w:lang w:val="en-GB"/>
        </w:rPr>
        <w:t>). The invoice will include the applicable Charges for:</w:t>
      </w:r>
    </w:p>
    <w:p>
      <w:pPr>
        <w:pStyle w:val="Normal"/>
        <w:spacing w:before="0" w:after="0"/>
        <w:jc w:val="both"/>
        <w:rPr>
          <w:szCs w:val="22"/>
          <w:lang w:val="en-GB"/>
        </w:rPr>
      </w:pPr>
      <w:r>
        <w:rPr>
          <w:szCs w:val="22"/>
          <w:lang w:val="en-GB"/>
        </w:rPr>
      </w:r>
    </w:p>
    <w:p>
      <w:pPr>
        <w:pStyle w:val="Normal"/>
        <w:numPr>
          <w:ilvl w:val="0"/>
          <w:numId w:val="10"/>
        </w:numPr>
        <w:tabs>
          <w:tab w:val="clear" w:pos="720"/>
          <w:tab w:val="left" w:pos="1080" w:leader="none"/>
        </w:tabs>
        <w:spacing w:before="0" w:after="0"/>
        <w:ind w:hanging="360" w:start="1080" w:end="0"/>
        <w:jc w:val="both"/>
        <w:rPr>
          <w:szCs w:val="22"/>
          <w:lang w:val="en-GB"/>
        </w:rPr>
      </w:pPr>
      <w:r>
        <w:rPr>
          <w:szCs w:val="22"/>
          <w:lang w:val="en-GB"/>
        </w:rPr>
        <w:t>Base Charges (including all ad-hoc elements, such as IMAC’s delivered in that month);</w:t>
      </w:r>
    </w:p>
    <w:p>
      <w:pPr>
        <w:pStyle w:val="Normal"/>
        <w:spacing w:before="0" w:after="0"/>
        <w:ind w:start="720" w:end="0"/>
        <w:jc w:val="both"/>
        <w:rPr>
          <w:szCs w:val="22"/>
          <w:lang w:val="en-GB"/>
        </w:rPr>
      </w:pPr>
      <w:r>
        <w:rPr>
          <w:szCs w:val="22"/>
          <w:lang w:val="en-GB"/>
        </w:rPr>
      </w:r>
    </w:p>
    <w:p>
      <w:pPr>
        <w:pStyle w:val="Normal"/>
        <w:numPr>
          <w:ilvl w:val="0"/>
          <w:numId w:val="10"/>
        </w:numPr>
        <w:tabs>
          <w:tab w:val="clear" w:pos="720"/>
          <w:tab w:val="left" w:pos="1080" w:leader="none"/>
        </w:tabs>
        <w:spacing w:before="0" w:after="0"/>
        <w:ind w:hanging="360" w:start="1080" w:end="0"/>
        <w:jc w:val="both"/>
        <w:rPr>
          <w:szCs w:val="22"/>
          <w:lang w:val="en-GB"/>
        </w:rPr>
      </w:pPr>
      <w:r>
        <w:rPr>
          <w:szCs w:val="22"/>
          <w:lang w:val="en-GB"/>
        </w:rPr>
        <w:t>Pass Through Expenses;</w:t>
      </w:r>
    </w:p>
    <w:p>
      <w:pPr>
        <w:pStyle w:val="Normal"/>
        <w:spacing w:before="0" w:after="0"/>
        <w:ind w:start="720" w:end="0"/>
        <w:jc w:val="both"/>
        <w:rPr>
          <w:szCs w:val="22"/>
          <w:lang w:val="en-GB"/>
        </w:rPr>
      </w:pPr>
      <w:r>
        <w:rPr>
          <w:szCs w:val="22"/>
          <w:lang w:val="en-GB"/>
        </w:rPr>
      </w:r>
    </w:p>
    <w:p>
      <w:pPr>
        <w:pStyle w:val="Normal"/>
        <w:numPr>
          <w:ilvl w:val="0"/>
          <w:numId w:val="10"/>
        </w:numPr>
        <w:tabs>
          <w:tab w:val="clear" w:pos="720"/>
          <w:tab w:val="left" w:pos="1080" w:leader="none"/>
        </w:tabs>
        <w:spacing w:before="0" w:after="0"/>
        <w:ind w:hanging="360" w:start="1080" w:end="0"/>
        <w:jc w:val="both"/>
        <w:rPr>
          <w:szCs w:val="22"/>
          <w:lang w:val="en-GB"/>
        </w:rPr>
      </w:pPr>
      <w:r>
        <w:rPr>
          <w:szCs w:val="22"/>
          <w:lang w:val="en-GB"/>
        </w:rPr>
        <w:t>In relation to Transition and Projects, all Milestones or Deliverables that have been met or Accepted in that month;</w:t>
      </w:r>
    </w:p>
    <w:p>
      <w:pPr>
        <w:pStyle w:val="Normal"/>
        <w:spacing w:before="0" w:after="0"/>
        <w:ind w:start="720" w:end="0"/>
        <w:jc w:val="both"/>
        <w:rPr>
          <w:szCs w:val="22"/>
          <w:lang w:val="en-GB"/>
        </w:rPr>
      </w:pPr>
      <w:r>
        <w:rPr>
          <w:szCs w:val="22"/>
          <w:lang w:val="en-GB"/>
        </w:rPr>
      </w:r>
    </w:p>
    <w:p>
      <w:pPr>
        <w:pStyle w:val="Normal"/>
        <w:numPr>
          <w:ilvl w:val="0"/>
          <w:numId w:val="10"/>
        </w:numPr>
        <w:tabs>
          <w:tab w:val="clear" w:pos="720"/>
          <w:tab w:val="left" w:pos="1080" w:leader="none"/>
        </w:tabs>
        <w:spacing w:before="0" w:after="0"/>
        <w:ind w:hanging="360" w:start="1080" w:end="0"/>
        <w:jc w:val="both"/>
        <w:rPr>
          <w:szCs w:val="22"/>
          <w:lang w:val="en-GB"/>
        </w:rPr>
      </w:pPr>
      <w:r>
        <w:rPr>
          <w:szCs w:val="22"/>
          <w:lang w:val="en-GB"/>
        </w:rPr>
        <w:t xml:space="preserve">Projects charged for on an agreed budget; and </w:t>
      </w:r>
    </w:p>
    <w:p>
      <w:pPr>
        <w:pStyle w:val="Normal"/>
        <w:spacing w:before="0" w:after="0"/>
        <w:ind w:start="720" w:end="0"/>
        <w:jc w:val="both"/>
        <w:rPr>
          <w:szCs w:val="22"/>
          <w:lang w:val="en-GB"/>
        </w:rPr>
      </w:pPr>
      <w:r>
        <w:rPr>
          <w:szCs w:val="22"/>
          <w:lang w:val="en-GB"/>
        </w:rPr>
      </w:r>
    </w:p>
    <w:p>
      <w:pPr>
        <w:pStyle w:val="Normal"/>
        <w:numPr>
          <w:ilvl w:val="0"/>
          <w:numId w:val="10"/>
        </w:numPr>
        <w:tabs>
          <w:tab w:val="clear" w:pos="720"/>
          <w:tab w:val="left" w:pos="1080" w:leader="none"/>
        </w:tabs>
        <w:spacing w:before="0" w:after="0"/>
        <w:ind w:hanging="360" w:start="1080" w:end="0"/>
        <w:jc w:val="both"/>
        <w:rPr>
          <w:szCs w:val="22"/>
          <w:lang w:val="en-GB"/>
        </w:rPr>
      </w:pPr>
      <w:r>
        <w:rPr>
          <w:szCs w:val="22"/>
          <w:lang w:val="en-GB"/>
        </w:rPr>
        <w:t>Any other items that are properly chargeable under this MSA</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5.3</w:t>
        <w:tab/>
        <w:t>All invoices will separately state:</w:t>
      </w:r>
    </w:p>
    <w:p>
      <w:pPr>
        <w:pStyle w:val="Normal"/>
        <w:spacing w:before="0" w:after="0"/>
        <w:jc w:val="both"/>
        <w:rPr>
          <w:szCs w:val="22"/>
          <w:lang w:val="en-GB"/>
        </w:rPr>
      </w:pPr>
      <w:r>
        <w:rPr>
          <w:szCs w:val="22"/>
          <w:lang w:val="en-GB"/>
        </w:rPr>
      </w:r>
    </w:p>
    <w:p>
      <w:pPr>
        <w:pStyle w:val="Normal"/>
        <w:numPr>
          <w:ilvl w:val="0"/>
          <w:numId w:val="13"/>
        </w:numPr>
        <w:tabs>
          <w:tab w:val="clear" w:pos="720"/>
          <w:tab w:val="left" w:pos="1080" w:leader="none"/>
        </w:tabs>
        <w:spacing w:before="0" w:after="0"/>
        <w:ind w:hanging="360" w:start="1080" w:end="0"/>
        <w:jc w:val="both"/>
        <w:rPr>
          <w:szCs w:val="22"/>
          <w:lang w:val="en-GB"/>
        </w:rPr>
      </w:pPr>
      <w:r>
        <w:rPr>
          <w:szCs w:val="22"/>
          <w:lang w:val="en-GB"/>
        </w:rPr>
        <w:t>Any applicable Service Credits applied in accordance with Exhibit 3 (</w:t>
      </w:r>
      <w:r>
        <w:rPr>
          <w:i/>
          <w:szCs w:val="22"/>
          <w:lang w:val="en-GB"/>
        </w:rPr>
        <w:t>Service Levels</w:t>
      </w:r>
      <w:r>
        <w:rPr>
          <w:szCs w:val="22"/>
          <w:lang w:val="en-GB"/>
        </w:rPr>
        <w:t>) or otherwise;</w:t>
      </w:r>
    </w:p>
    <w:p>
      <w:pPr>
        <w:pStyle w:val="Normal"/>
        <w:spacing w:before="0" w:after="0"/>
        <w:ind w:start="720" w:end="0"/>
        <w:jc w:val="both"/>
        <w:rPr>
          <w:szCs w:val="22"/>
          <w:lang w:val="en-GB"/>
        </w:rPr>
      </w:pPr>
      <w:r>
        <w:rPr>
          <w:szCs w:val="22"/>
          <w:lang w:val="en-GB"/>
        </w:rPr>
      </w:r>
    </w:p>
    <w:p>
      <w:pPr>
        <w:pStyle w:val="Normal"/>
        <w:numPr>
          <w:ilvl w:val="0"/>
          <w:numId w:val="13"/>
        </w:numPr>
        <w:tabs>
          <w:tab w:val="clear" w:pos="720"/>
          <w:tab w:val="left" w:pos="1080" w:leader="none"/>
        </w:tabs>
        <w:spacing w:before="0" w:after="0"/>
        <w:ind w:hanging="360" w:start="1080" w:end="0"/>
        <w:jc w:val="both"/>
        <w:rPr>
          <w:szCs w:val="22"/>
          <w:lang w:val="en-GB"/>
        </w:rPr>
      </w:pPr>
      <w:r>
        <w:rPr>
          <w:szCs w:val="22"/>
          <w:lang w:val="en-GB"/>
        </w:rPr>
        <w:t xml:space="preserve">The adjustment to reflect ARC’s and RRC’s, as described in Section 4 above, with respect to the month immediately preceding the month to which the invoice relates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5.4</w:t>
        <w:tab/>
        <w:t>EuroBank shall provide the allocation keys, using methodology of its own choosing which reflects the consumption of the Services. Should EuroBank wish to change the allocation key methodology, EuroBank will consult with PST Members.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5.5</w:t>
        <w:tab/>
        <w:t>The 2IM will provide a consolidated invoice summary for management and control purposes with the supporting invoice detail, as requested by EuroBank.</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5.6</w:t>
        <w:tab/>
        <w:t xml:space="preserve">The PST Member will send invoices within 15 days following the month the Services were provided. </w:t>
      </w:r>
    </w:p>
    <w:p>
      <w:pPr>
        <w:pStyle w:val="Normal"/>
        <w:spacing w:before="0" w:after="0"/>
        <w:jc w:val="both"/>
        <w:rPr>
          <w:szCs w:val="22"/>
          <w:lang w:val="en-GB"/>
        </w:rPr>
      </w:pPr>
      <w:r>
        <w:rPr>
          <w:szCs w:val="22"/>
          <w:lang w:val="en-GB"/>
        </w:rPr>
      </w:r>
    </w:p>
    <w:p>
      <w:pPr>
        <w:pStyle w:val="Normal"/>
        <w:numPr>
          <w:ilvl w:val="1"/>
          <w:numId w:val="9"/>
        </w:numPr>
        <w:spacing w:before="0" w:after="0"/>
        <w:ind w:hanging="0" w:start="0" w:end="0"/>
        <w:jc w:val="both"/>
        <w:rPr>
          <w:szCs w:val="22"/>
          <w:lang w:val="en-GB"/>
        </w:rPr>
      </w:pPr>
      <w:r>
        <w:rPr>
          <w:szCs w:val="22"/>
          <w:lang w:val="en-GB"/>
        </w:rPr>
        <w:t xml:space="preserve">EuroBank and the PST Member shall cooperate to segregate the Charges into the following separate payment streams:  </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 xml:space="preserve">those for taxable Services;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those for non-taxable Services; and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those for which the PST Member functions merely as a paying agent for EuroBank in receiving goods, supplies or services (including leasing and licensing arrangements) that otherwise are non-taxable or have previously been subject to tax.  In addition, the PST Member shall identify separately in the PST Member’s billings to EuroBank the amount of Supply Taxes payable on the provision of the Services or the PST Member’s Charges to EuroBank</w:t>
      </w:r>
    </w:p>
    <w:p>
      <w:pPr>
        <w:pStyle w:val="Normal"/>
        <w:spacing w:before="0" w:after="0"/>
        <w:jc w:val="both"/>
        <w:rPr>
          <w:szCs w:val="22"/>
          <w:lang w:val="en-GB"/>
        </w:rPr>
      </w:pPr>
      <w:r>
        <w:rPr>
          <w:szCs w:val="22"/>
          <w:lang w:val="en-GB"/>
        </w:rPr>
      </w:r>
    </w:p>
    <w:p>
      <w:pPr>
        <w:pStyle w:val="Normal"/>
        <w:numPr>
          <w:ilvl w:val="1"/>
          <w:numId w:val="9"/>
        </w:numPr>
        <w:spacing w:before="0" w:after="0"/>
        <w:jc w:val="both"/>
        <w:rPr>
          <w:szCs w:val="22"/>
        </w:rPr>
      </w:pPr>
      <w:r>
        <w:rPr>
          <w:szCs w:val="22"/>
          <w:u w:val="single"/>
        </w:rPr>
        <w:t>Invoicing to countries other than The Netherlands and Belgium</w:t>
      </w:r>
      <w:r>
        <w:rPr>
          <w:szCs w:val="22"/>
        </w:rPr>
        <w:t xml:space="preserve"> </w:t>
      </w:r>
    </w:p>
    <w:p>
      <w:pPr>
        <w:pStyle w:val="Normal"/>
        <w:spacing w:before="0" w:after="0"/>
        <w:jc w:val="both"/>
        <w:rPr>
          <w:szCs w:val="22"/>
        </w:rPr>
      </w:pPr>
      <w:r>
        <w:rPr>
          <w:szCs w:val="22"/>
        </w:rPr>
      </w:r>
    </w:p>
    <w:p>
      <w:pPr>
        <w:pStyle w:val="Normal"/>
        <w:spacing w:before="0" w:after="0"/>
        <w:ind w:start="720" w:end="0"/>
        <w:jc w:val="both"/>
        <w:rPr/>
      </w:pPr>
      <w:r>
        <w:rPr>
          <w:szCs w:val="22"/>
        </w:rPr>
        <w:t>Cost allocations for the “as is” services to the Remotely Managed Countries identified in Exhibit 7 (Sites &amp; Local Entities) are currently handled by EuroBank on an internal chargeback basis. Immediately following the Commencement Date, it is expected that this arrangement will continue, with the PST Suppliers raising invoices to the relevant EuroBank entities in Belgium and The Netherlands only, and EuroBank then making the allocation of the Charges across separate per-country entities.</w:t>
      </w:r>
      <w:r>
        <w:rPr>
          <w:i/>
          <w:szCs w:val="22"/>
        </w:rPr>
      </w:r>
      <w:r>
        <w:rPr>
          <w:szCs w:val="22"/>
        </w:rPr>
      </w:r>
    </w:p>
    <w:p>
      <w:pPr>
        <w:pStyle w:val="Normal"/>
        <w:spacing w:before="0" w:after="0"/>
        <w:ind w:start="720" w:end="0"/>
        <w:jc w:val="both"/>
        <w:rPr>
          <w:szCs w:val="22"/>
        </w:rPr>
      </w:pPr>
      <w:r>
        <w:rPr>
          <w:szCs w:val="22"/>
        </w:rPr>
      </w:r>
    </w:p>
    <w:p>
      <w:pPr>
        <w:pStyle w:val="Normal"/>
        <w:spacing w:before="0" w:after="0"/>
        <w:ind w:start="720" w:end="0"/>
        <w:jc w:val="both"/>
        <w:rPr/>
      </w:pPr>
      <w:r>
        <w:rPr>
          <w:szCs w:val="22"/>
        </w:rPr>
        <w:t xml:space="preserve">The situation in the preceding paragraph is seen as an interim one only, as EuroBank wishes to harness the full benefits of the outsourcing model anticipated in the MSA. Hence, within 9 months of Commencement Date, the 2IM (with the input and assistance of the PST Suppliers) is required to undertake a review of which entities and which Remotely Managed Countries are receiving which Services and the volumes associated with those Services. 2IM will execute the review in the Netherlands, as on-site investigation in the Remotely Managed Countries is not required. The review will be based on the input of the PST Suppliers. </w:t>
      </w:r>
    </w:p>
    <w:p>
      <w:pPr>
        <w:pStyle w:val="Normal"/>
        <w:spacing w:before="0" w:after="0"/>
        <w:ind w:start="720" w:end="0"/>
        <w:jc w:val="both"/>
        <w:rPr>
          <w:szCs w:val="22"/>
        </w:rPr>
      </w:pPr>
      <w:r>
        <w:rPr>
          <w:szCs w:val="22"/>
        </w:rPr>
      </w:r>
    </w:p>
    <w:p>
      <w:pPr>
        <w:pStyle w:val="Normal"/>
        <w:spacing w:before="0" w:after="0"/>
        <w:ind w:start="720" w:end="0"/>
        <w:jc w:val="both"/>
        <w:rPr>
          <w:szCs w:val="22"/>
        </w:rPr>
      </w:pPr>
      <w:r>
        <w:rPr>
          <w:szCs w:val="22"/>
        </w:rPr>
        <w:t>The parties will then consult together in good faith to agree a reasonable allocation of the Base Charges that:</w:t>
      </w:r>
    </w:p>
    <w:p>
      <w:pPr>
        <w:pStyle w:val="Normal"/>
        <w:spacing w:before="0" w:after="0"/>
        <w:ind w:start="720" w:end="0"/>
        <w:jc w:val="both"/>
        <w:rPr>
          <w:szCs w:val="22"/>
        </w:rPr>
      </w:pPr>
      <w:r>
        <w:rPr>
          <w:szCs w:val="22"/>
        </w:rPr>
      </w:r>
    </w:p>
    <w:p>
      <w:pPr>
        <w:pStyle w:val="Normal"/>
        <w:spacing w:before="0" w:after="0"/>
        <w:ind w:hanging="720" w:start="1440" w:end="0"/>
        <w:jc w:val="both"/>
        <w:rPr>
          <w:szCs w:val="22"/>
        </w:rPr>
      </w:pPr>
      <w:r>
        <w:rPr>
          <w:szCs w:val="22"/>
        </w:rPr>
        <w:t xml:space="preserve">(i) </w:t>
        <w:tab/>
        <w:t>reflects the amount to be charged directly by the PST Supplier(s) to the entity in the Managed Country; and</w:t>
      </w:r>
    </w:p>
    <w:p>
      <w:pPr>
        <w:pStyle w:val="Normal"/>
        <w:spacing w:before="0" w:after="0"/>
        <w:ind w:hanging="720" w:start="1440" w:end="0"/>
        <w:jc w:val="both"/>
        <w:rPr>
          <w:szCs w:val="22"/>
        </w:rPr>
      </w:pPr>
      <w:r>
        <w:rPr>
          <w:szCs w:val="22"/>
        </w:rPr>
      </w:r>
    </w:p>
    <w:p>
      <w:pPr>
        <w:pStyle w:val="Normal"/>
        <w:spacing w:before="0" w:after="0"/>
        <w:ind w:hanging="720" w:start="1440" w:end="0"/>
        <w:jc w:val="both"/>
        <w:rPr>
          <w:szCs w:val="22"/>
        </w:rPr>
      </w:pPr>
      <w:r>
        <w:rPr>
          <w:szCs w:val="22"/>
        </w:rPr>
        <w:t>(ii)</w:t>
        <w:tab/>
        <w:t>reduces the amount of the Base Charges previously paid by Belgium or The Netherlands (or both) accordingly.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6" w:name="__RefHeading___Toc153769612"/>
      <w:bookmarkEnd w:id="26"/>
      <w:r>
        <w:rPr>
          <w:bCs/>
          <w:sz w:val="22"/>
          <w:lang w:val="en-GB"/>
        </w:rPr>
        <w:t>CHARGEBACK</w:t>
      </w:r>
    </w:p>
    <w:p>
      <w:pPr>
        <w:pStyle w:val="Normal"/>
        <w:spacing w:before="0" w:after="0"/>
        <w:jc w:val="both"/>
        <w:rPr/>
      </w:pPr>
      <w:r>
        <w:rPr>
          <w:szCs w:val="22"/>
          <w:lang w:val="en-GB"/>
        </w:rPr>
        <w:t>The parties shall cooperate in good faith to establish an appropriate chargeback mechanism, utilising the PST Member’s best practise and the parties shall discuss in good faith the costs, if any, associated with the establishment of this charge back mechanism.</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7" w:name="__RefHeading___Toc153769613"/>
      <w:bookmarkEnd w:id="27"/>
      <w:r>
        <w:rPr>
          <w:bCs/>
          <w:sz w:val="22"/>
          <w:lang w:val="en-GB"/>
        </w:rPr>
        <w:t>THIRD PARTY CONTRACTS</w:t>
      </w:r>
    </w:p>
    <w:p>
      <w:pPr>
        <w:pStyle w:val="Normal"/>
        <w:spacing w:before="0" w:after="0"/>
        <w:jc w:val="both"/>
        <w:rPr>
          <w:szCs w:val="22"/>
          <w:lang w:val="en-GB"/>
        </w:rPr>
      </w:pPr>
      <w:r>
        <w:rPr>
          <w:szCs w:val="22"/>
          <w:lang w:val="en-GB"/>
        </w:rPr>
        <w:t xml:space="preserve">The known and agreed treatment of Third Party Contracts is fully described in Exhibit 12. </w:t>
      </w:r>
    </w:p>
    <w:p>
      <w:pPr>
        <w:pStyle w:val="Heading2Numbered"/>
        <w:numPr>
          <w:ilvl w:val="1"/>
          <w:numId w:val="2"/>
        </w:numPr>
        <w:ind w:hanging="0" w:start="0"/>
        <w:rPr>
          <w:bCs/>
          <w:sz w:val="22"/>
        </w:rPr>
      </w:pPr>
      <w:bookmarkStart w:id="28" w:name="__RefHeading___Toc153769614"/>
      <w:bookmarkEnd w:id="28"/>
      <w:r>
        <w:rPr>
          <w:bCs/>
          <w:sz w:val="22"/>
        </w:rPr>
        <w:t>EuroBank Technics</w:t>
      </w:r>
    </w:p>
    <w:p>
      <w:pPr>
        <w:pStyle w:val="Normal"/>
        <w:spacing w:before="0" w:after="0"/>
        <w:ind w:start="720" w:end="0"/>
        <w:jc w:val="both"/>
        <w:rPr/>
      </w:pPr>
      <w:r>
        <w:rPr>
          <w:szCs w:val="22"/>
          <w:lang w:val="en-GB"/>
        </w:rPr>
        <w:t xml:space="preserve">EuroBank has a separate business unit known as “EuroBank Technics” for which an interim arrangement is required between Effective Date and 1st November 2007. EuroBank Technics will be treated in the same way as a retained contract under Exhibit 12 (Third Party Contracts). With the specific agreement that during the interim period EuroBank Technics and not the PST is responsible for the provision and quality of the required services.  </w:t>
      </w:r>
      <w:r>
        <w:rPr>
          <w:i/>
          <w:szCs w:val="22"/>
          <w:lang w:val="en-GB"/>
        </w:rPr>
      </w:r>
      <w:r>
        <w:rPr>
          <w:szCs w:val="22"/>
          <w:lang w:val="en-GB"/>
        </w:rPr>
      </w:r>
      <w:r>
        <w:rPr>
          <w:i/>
          <w:szCs w:val="22"/>
          <w:lang w:val="en-GB"/>
        </w:rPr>
      </w:r>
      <w:r>
        <w:rPr>
          <w:szCs w:val="22"/>
          <w:lang w:val="en-GB"/>
        </w:rPr>
      </w:r>
      <w:r>
        <w:rPr>
          <w:sz w:val="16"/>
          <w:szCs w:val="16"/>
        </w:rPr>
      </w: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This business unit involves EuroBank staff, work effort and requirements that will be transitioned to the PST Suppliers. For the interim period (between Effective Date and 1st November 2007) the Base Charges related to the defined Services in the Statement of Work EUC UIS bundle are taken out the Pricing Forms (see also the Change Log in Attachment 4-A). During the interim arrangement, this part of the Base Charges will not be invoiced to EuroBank.</w:t>
      </w:r>
      <w:r>
        <w:rPr>
          <w:szCs w:val="22"/>
          <w:vertAlign w:val="superscript"/>
          <w:lang w:val="en-GB"/>
        </w:rPr>
      </w:r>
      <w:r>
        <w:rPr>
          <w:szCs w:val="22"/>
          <w:lang w:val="en-GB"/>
        </w:rPr>
      </w:r>
    </w:p>
    <w:p>
      <w:pPr>
        <w:pStyle w:val="Normal"/>
        <w:spacing w:before="0" w:after="0"/>
        <w:ind w:start="720" w:end="0"/>
        <w:jc w:val="both"/>
        <w:rPr>
          <w:szCs w:val="22"/>
          <w:lang w:val="en-GB"/>
        </w:rPr>
      </w:pPr>
      <w:r>
        <w:rPr>
          <w:szCs w:val="22"/>
          <w:lang w:val="en-GB"/>
        </w:rPr>
        <w:t xml:space="preserve"> </w:t>
      </w:r>
    </w:p>
    <w:p>
      <w:pPr>
        <w:pStyle w:val="Normal"/>
        <w:spacing w:before="0" w:after="0"/>
        <w:ind w:start="720" w:end="0"/>
        <w:jc w:val="both"/>
        <w:rPr>
          <w:szCs w:val="22"/>
          <w:lang w:val="en-GB"/>
        </w:rPr>
      </w:pPr>
      <w:r>
        <w:rPr>
          <w:szCs w:val="22"/>
          <w:lang w:val="en-GB"/>
        </w:rPr>
        <w:t>The EuroBank Technics relevant affected employees will be transferred to the corresponding PST Suppliers and this transfer will be executed on materially the same terms as this MSA in a separate agreement subject always to the same calculation methodology as set out in Attachment 5-J (1) and (2) (Harmonisation Costs) for the Hamonisation Costs notwithstanding that the parties do not anticipate any Harmonisation Costs being payable by EuroBank.</w:t>
      </w:r>
      <w:r>
        <w:rPr>
          <w:i/>
          <w:szCs w:val="22"/>
          <w:lang w:val="en-GB"/>
        </w:rPr>
      </w:r>
      <w:r>
        <w:rPr>
          <w:szCs w:val="22"/>
          <w:lang w:val="en-GB"/>
        </w:rPr>
      </w:r>
    </w:p>
    <w:p>
      <w:pPr>
        <w:pStyle w:val="Heading2Numbered"/>
        <w:numPr>
          <w:ilvl w:val="1"/>
          <w:numId w:val="2"/>
        </w:numPr>
        <w:ind w:hanging="0" w:start="0"/>
        <w:rPr>
          <w:bCs/>
          <w:sz w:val="22"/>
        </w:rPr>
      </w:pPr>
      <w:bookmarkStart w:id="29" w:name="__RefHeading___Toc153769615"/>
      <w:bookmarkEnd w:id="29"/>
      <w:r>
        <w:rPr>
          <w:bCs/>
          <w:sz w:val="22"/>
        </w:rPr>
        <w:t>AmsIT</w:t>
      </w:r>
    </w:p>
    <w:p>
      <w:pPr>
        <w:pStyle w:val="Normal"/>
        <w:ind w:start="720" w:end="0"/>
        <w:jc w:val="both"/>
        <w:rPr/>
      </w:pPr>
      <w:r>
        <w:rPr>
          <w:szCs w:val="22"/>
        </w:rPr>
        <w:t>The transition of the Service Desk in Belgium will be delayed until 1</w:t>
      </w:r>
      <w:r>
        <w:rPr>
          <w:szCs w:val="22"/>
          <w:vertAlign w:val="superscript"/>
        </w:rPr>
        <w:t>st</w:t>
      </w:r>
      <w:r>
        <w:rPr>
          <w:szCs w:val="22"/>
        </w:rPr>
        <w:t xml:space="preserve"> August 2007 because of the extension of the AmsIT contract until 31</w:t>
      </w:r>
      <w:r>
        <w:rPr>
          <w:szCs w:val="22"/>
          <w:vertAlign w:val="superscript"/>
        </w:rPr>
        <w:t>st</w:t>
      </w:r>
      <w:r>
        <w:rPr>
          <w:szCs w:val="22"/>
        </w:rPr>
        <w:t xml:space="preserve"> October 2007 (as detailed in Exhibit 12 (</w:t>
      </w:r>
      <w:r>
        <w:rPr>
          <w:i/>
          <w:szCs w:val="22"/>
        </w:rPr>
        <w:t>Third Party Contracts</w:t>
      </w:r>
      <w:r>
        <w:rPr>
          <w:szCs w:val="22"/>
        </w:rPr>
        <w:t>)).</w:t>
      </w:r>
    </w:p>
    <w:p>
      <w:pPr>
        <w:pStyle w:val="Normal"/>
        <w:spacing w:before="0" w:after="0"/>
        <w:ind w:start="720" w:end="0"/>
        <w:jc w:val="both"/>
        <w:rPr>
          <w:szCs w:val="22"/>
        </w:rPr>
      </w:pPr>
      <w:r>
        <w:rPr>
          <w:szCs w:val="22"/>
          <w:lang w:val="en-GB"/>
        </w:rPr>
        <w:t xml:space="preserve">For the interim period between Effective Date and 1st November 2007, the Base Charges relating to the defined Services in Exhibits 2.1 and 2.6 will be taken out of the Pricing Forms in Attachment 4-A (see also the Change Log in Attachment 4-A). During this interim period, the relevant part of the Base Charges for AmsIT will not be invoiced to EuroBank. Vendor Alpha will deliver their part of the Services with the AmsIT services incorporated. EuroBank will authorise Vendor Alpha to negotiate with AmsIT in EuroBank’s name under its current contract with AmsIT to draft an OLA between Vendor Alpha and AmsIT. EuroBank has agreed with AmsIT their full collaboration before and during the interim period </w:t>
      </w:r>
      <w:r>
        <w:rPr>
          <w:szCs w:val="22"/>
          <w:vertAlign w:val="superscript"/>
          <w:lang w:val="en-GB"/>
        </w:rPr>
      </w:r>
      <w:r>
        <w:rPr>
          <w:szCs w:val="22"/>
          <w:lang w:val="en-GB"/>
        </w:rPr>
      </w:r>
      <w:r>
        <w:rPr>
          <w:szCs w:val="22"/>
        </w:rPr>
      </w:r>
    </w:p>
    <w:p>
      <w:pPr>
        <w:pStyle w:val="Normal"/>
        <w:spacing w:before="0" w:after="0"/>
        <w:ind w:start="720" w:end="0"/>
        <w:jc w:val="both"/>
        <w:rPr>
          <w:szCs w:val="22"/>
        </w:rPr>
      </w:pPr>
      <w:r>
        <w:rPr>
          <w:szCs w:val="22"/>
        </w:rPr>
      </w:r>
    </w:p>
    <w:p>
      <w:pPr>
        <w:pStyle w:val="Normal"/>
        <w:spacing w:before="0" w:after="0"/>
        <w:ind w:start="720" w:end="0"/>
        <w:jc w:val="both"/>
        <w:rPr>
          <w:lang w:val="en-GB"/>
        </w:rPr>
      </w:pPr>
      <w:r>
        <w:rPr>
          <w:szCs w:val="22"/>
        </w:rPr>
        <w:t>Vendor Gamma will invoice EuroBank on 1st August 2007 an amount of € 750.000 (as stated in the tab One Time Charges of Attachment 4-A (Pricing Forms)) for the delayed transition of these services. EuroBank needs to ensure that AmsIT will cooperate during the transition.</w:t>
      </w:r>
      <w:r>
        <w:rPr>
          <w:szCs w:val="22"/>
          <w:lang w:val="en-GB"/>
        </w:rPr>
      </w:r>
      <w:r>
        <w:rPr>
          <w:i/>
          <w:szCs w:val="22"/>
          <w:lang w:val="en-GB"/>
        </w:rPr>
      </w:r>
      <w:r>
        <w:rPr>
          <w:szCs w:val="22"/>
          <w:lang w:val="en-GB"/>
        </w:rPr>
      </w:r>
      <w:r>
        <w:rPr>
          <w:szCs w:val="22"/>
        </w:rPr>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Because of the delay set out above, the anticipated reduction in the number of Calls per seat (15 &gt; 11 over the Term, as specified in Section 3.2 above) will be delayed by 4.5 months. This will have a knock-on effect on the due diligence to be performed by the PST to analyse how best to achieve the Call reduction. If the results of the due diligence indicate that the Call reduction cannot be met within the timeframe agreed between the parties as at Effective Date, then:</w:t>
      </w:r>
    </w:p>
    <w:p>
      <w:pPr>
        <w:pStyle w:val="Normal"/>
        <w:spacing w:before="0" w:after="0"/>
        <w:ind w:start="720" w:end="0"/>
        <w:jc w:val="both"/>
        <w:rPr>
          <w:szCs w:val="22"/>
          <w:lang w:val="en-GB"/>
        </w:rPr>
      </w:pPr>
      <w:r>
        <w:rPr>
          <w:szCs w:val="22"/>
          <w:lang w:val="en-GB"/>
        </w:rPr>
      </w:r>
    </w:p>
    <w:p>
      <w:pPr>
        <w:pStyle w:val="Normal"/>
        <w:numPr>
          <w:ilvl w:val="0"/>
          <w:numId w:val="4"/>
        </w:numPr>
        <w:spacing w:before="0" w:after="0"/>
        <w:jc w:val="both"/>
        <w:rPr>
          <w:szCs w:val="22"/>
          <w:lang w:val="en-GB"/>
        </w:rPr>
      </w:pPr>
      <w:r>
        <w:rPr>
          <w:szCs w:val="22"/>
          <w:lang w:val="en-GB"/>
        </w:rPr>
        <w:t>the Call reduction will be delayed by 9 months from the Effective Date (if the due diligence shows that the reduction can be accelerated, this will also be implemented); and</w:t>
      </w:r>
    </w:p>
    <w:p>
      <w:pPr>
        <w:pStyle w:val="Normal"/>
        <w:spacing w:before="0" w:after="0"/>
        <w:ind w:start="720" w:end="0"/>
        <w:jc w:val="both"/>
        <w:rPr>
          <w:szCs w:val="22"/>
          <w:lang w:val="en-GB"/>
        </w:rPr>
      </w:pPr>
      <w:r>
        <w:rPr>
          <w:szCs w:val="22"/>
          <w:lang w:val="en-GB"/>
        </w:rPr>
      </w:r>
    </w:p>
    <w:p>
      <w:pPr>
        <w:pStyle w:val="Normal"/>
        <w:numPr>
          <w:ilvl w:val="0"/>
          <w:numId w:val="4"/>
        </w:numPr>
        <w:spacing w:before="0" w:after="0"/>
        <w:jc w:val="both"/>
        <w:rPr>
          <w:szCs w:val="22"/>
          <w:lang w:val="en-GB"/>
        </w:rPr>
      </w:pPr>
      <w:r>
        <w:rPr>
          <w:szCs w:val="22"/>
          <w:lang w:val="en-GB"/>
        </w:rPr>
        <w:t>the timeline to “near-shore” the Service Desk will also be delayed by 9 months (and this will be projected in the Change log in Attachment 4-A (</w:t>
      </w:r>
      <w:r>
        <w:rPr>
          <w:i/>
          <w:szCs w:val="22"/>
          <w:lang w:val="en-GB"/>
        </w:rPr>
        <w:t>Pricing Forms</w:t>
      </w:r>
      <w:r>
        <w:rPr>
          <w:szCs w:val="22"/>
          <w:lang w:val="en-GB"/>
        </w:rPr>
        <w:t>)).</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0" w:name="__RefHeading___Toc153769616"/>
      <w:bookmarkEnd w:id="30"/>
      <w:r>
        <w:rPr>
          <w:bCs/>
          <w:sz w:val="22"/>
          <w:lang w:val="en-GB"/>
        </w:rPr>
        <w:t>PASS THROUGH Expenses</w:t>
      </w:r>
    </w:p>
    <w:p>
      <w:pPr>
        <w:pStyle w:val="Normal"/>
        <w:spacing w:before="0" w:after="0"/>
        <w:jc w:val="both"/>
        <w:rPr/>
      </w:pPr>
      <w:r>
        <w:rPr>
          <w:szCs w:val="22"/>
          <w:lang w:val="en-GB"/>
        </w:rPr>
        <w:t>For Pass-Through Elements, and for those items for which EuroBank has a contract with a Third Party or a contract with the PST Member, these Third Party Contracts are governed by section 7 above. No new Pass-Through Expenses may be added without EuroBank’s prior consent, which it may withhold in its sole discretion.</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For Pass-Through Expenses under a contract with the PST Member, the PST Member is responsible for reviewing, approving and paying the invoice. The PST Member will review the invoices to determine if the charges are proper and, before paying the invoice, will give EuroBank reasonable opportunity to review the invoice.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Member shall not add mark-ups, handling fees or Supply Taxes to any Pass Through Expenses.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Member is responsible for all non-recoverable VAT incurred by the PST Member on Pass Through Expenses as identified in Attachment 4-A (</w:t>
      </w:r>
      <w:r>
        <w:rPr>
          <w:i/>
          <w:szCs w:val="22"/>
          <w:lang w:val="en-GB"/>
        </w:rPr>
        <w:t>Pricing Forms</w:t>
      </w:r>
      <w:r>
        <w:rPr>
          <w:szCs w:val="22"/>
          <w:lang w:val="en-GB"/>
        </w:rPr>
        <w:t xml:space="preserve">).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In case there is a change of VAT law causing the PST Member to incur additional non-recoverable VAT compared to the non-recoverable VAT due at the contract commencement date, the PST Member and EuroBank will enter in to discussions in good faith with a view to agreeing any change to the charging arrangements.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Member has provided details of any non-recoverable VAT in Attachment 4-A (Pricing Forms). The PST Member and EuroBank may mutually agree that certain charges may be passed directly through, rather than being included in the Base Charge, thereby avoiding the addition of margin to the costs.</w:t>
      </w:r>
      <w:r>
        <w:rPr>
          <w:i/>
          <w:szCs w:val="22"/>
          <w:lang w:val="en-GB"/>
        </w:rPr>
      </w:r>
      <w:r>
        <w:rPr>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1" w:name="__RefHeading___Toc153769617"/>
      <w:bookmarkEnd w:id="31"/>
      <w:r>
        <w:rPr>
          <w:bCs/>
          <w:sz w:val="22"/>
          <w:lang w:val="en-GB"/>
        </w:rPr>
        <w:t>INCENTIVES TO REDUCE COSTS (“Gain Sharing”)</w:t>
      </w:r>
    </w:p>
    <w:p>
      <w:pPr>
        <w:pStyle w:val="Normal"/>
        <w:spacing w:before="0" w:after="0"/>
        <w:jc w:val="both"/>
        <w:rPr>
          <w:szCs w:val="22"/>
          <w:lang w:val="en-GB"/>
        </w:rPr>
      </w:pPr>
      <w:r>
        <w:rPr>
          <w:szCs w:val="22"/>
          <w:lang w:val="en-GB"/>
        </w:rPr>
        <w:t>Each six months, from Effective Date, the 2IM shall report to EuroBank any opportunities for cost reductions in relation to the Services. EuroBank shall consider such reports and in the event that a Project is undertaken to implement the cost reduction opportunity then EuroBank shall “gain share” with the 2IM, subject to the following:</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The 2IM is the initiator of the idea</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Co-ordination and validation of the business case is conducted by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Costs to develop the business case are borne by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The fixed costs and fixed time business case and the savings will be reimbursed up front by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The savings of the business case will be clearly reflected in unit prices of the Base Charges and/or Pass-Through Expenses and/or retained costs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When approved by EuroBank, investments will be funded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(g)</w:t>
        <w:tab/>
        <w:t>Gain sharing does not begin until the Project implementing the cost reduction is successfully completed and all related costs have been recovered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For 12 months following the recovery of all costs, the savings shall be split on a 50/50 basis between EuroBank and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Thereafter, for the remainder of the Term, the savings shall be split on a 75/25 basis, in favour of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The 2IM and the PST Suppliers will agree suitable back-to-back agreements to make this work.</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2" w:name="__RefHeading___Toc153769618"/>
      <w:bookmarkEnd w:id="32"/>
      <w:r>
        <w:rPr>
          <w:bCs/>
          <w:sz w:val="22"/>
          <w:lang w:val="en-GB"/>
        </w:rPr>
        <w:t>ASSET OWNERSHIP</w:t>
      </w:r>
    </w:p>
    <w:p>
      <w:pPr>
        <w:pStyle w:val="Normal"/>
        <w:spacing w:before="0" w:after="0"/>
        <w:jc w:val="both"/>
        <w:rPr/>
      </w:pPr>
      <w:r>
        <w:rPr>
          <w:szCs w:val="22"/>
          <w:lang w:val="en-GB"/>
        </w:rPr>
        <w:t>The ownership of all assets remains with EuroBank including all new assets which will be bought by EuroBank (or by a lease company on behalf of EuroBank), unless explicitly agreed differently (such as in the TelCo case, where the legacy assets are bought by TelCo as described in the MATA and where the related cost is included in the Charges). The PST Supplier, except for TelCo, will be responsible for management activities concerning the assets.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3" w:name="__RefHeading___Toc153769619"/>
      <w:bookmarkEnd w:id="33"/>
      <w:r>
        <w:rPr>
          <w:bCs/>
          <w:sz w:val="22"/>
          <w:lang w:val="en-GB"/>
        </w:rPr>
        <w:t>GUARANTEED PRICE DECREASES</w:t>
      </w:r>
    </w:p>
    <w:p>
      <w:pPr>
        <w:pStyle w:val="Normal"/>
        <w:spacing w:before="0" w:after="0"/>
        <w:jc w:val="both"/>
        <w:rPr/>
      </w:pPr>
      <w:r>
        <w:rPr>
          <w:szCs w:val="22"/>
          <w:lang w:val="en-GB"/>
        </w:rPr>
        <w:t xml:space="preserve">The desktop hardware Bundle will include forward pricing, whereby the delta between the best prices available at the Effective Date and the IDC Smart index average dealer buy price index shall as a minimum be maintained throughout the Term in addition to any adjustment to the Charges resulting from the Mincing Procedure.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minimum delta for each line of technology as at the Effective Date is: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w:t>
        <w:tab/>
        <w:t>Desktops 35%</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(b)</w:t>
        <w:tab/>
        <w:t>Laptops 32,5%</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(c)</w:t>
        <w:tab/>
        <w:t>Servers 35%</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4" w:name="__RefHeading___Toc153769620"/>
      <w:bookmarkEnd w:id="34"/>
      <w:r>
        <w:rPr>
          <w:bCs/>
          <w:sz w:val="22"/>
          <w:lang w:val="en-GB"/>
        </w:rPr>
        <w:t>REFRESH CYCLE</w:t>
      </w:r>
    </w:p>
    <w:p>
      <w:pPr>
        <w:pStyle w:val="Normal"/>
        <w:spacing w:before="0" w:after="0"/>
        <w:jc w:val="both"/>
        <w:rPr>
          <w:szCs w:val="22"/>
          <w:lang w:val="en-GB"/>
        </w:rPr>
      </w:pPr>
      <w:r>
        <w:rPr>
          <w:szCs w:val="22"/>
          <w:lang w:val="en-GB"/>
        </w:rPr>
        <w:t>EuroBank shall be entitled in its absolute discretion to determine the period for the refresh of any particular item or items of Equipment and when any particular refresh period should commence.  The pricing forms shall be altered accordingly and as may be agreed by the parties from time to time. In the event EuroBank changes the duration of the refresh cycle of the Equipment a three month notice period applies.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5" w:name="__RefHeading___Toc153769621"/>
      <w:bookmarkEnd w:id="35"/>
      <w:r>
        <w:rPr>
          <w:bCs/>
          <w:sz w:val="22"/>
          <w:lang w:val="en-GB"/>
        </w:rPr>
        <w:t>TelCo TARIFFS</w:t>
      </w:r>
    </w:p>
    <w:p>
      <w:pPr>
        <w:pStyle w:val="Normal"/>
        <w:rPr/>
      </w:pPr>
      <w:r>
        <w:rPr/>
        <w:t>TelCo’s Corporate Voice Nationaal (CVN) Discount Structure Scheme (that includes the tariffs for regulated Services (voice traffic) which is reflected in Attachment 4-I (Voice and Data Tariffs)), is always fully applicable. Any adjustments in TelCo’s Corporate Voice Nationaal (CVN) Discount Structure Scheme will be immediately adjusted in Attachment 4-I through the Change Control Procedure.</w:t>
      </w:r>
      <w:r>
        <w:rPr>
          <w:i/>
        </w:rPr>
      </w:r>
      <w:r>
        <w:rPr/>
      </w:r>
    </w:p>
    <w:p>
      <w:pPr>
        <w:pStyle w:val="Normal"/>
        <w:spacing w:before="0" w:after="0"/>
        <w:jc w:val="both"/>
        <w:rPr>
          <w:szCs w:val="22"/>
        </w:rPr>
      </w:pPr>
      <w:r>
        <w:rPr>
          <w:szCs w:val="22"/>
        </w:rPr>
      </w:r>
    </w:p>
    <w:p>
      <w:pPr>
        <w:pStyle w:val="Normal"/>
        <w:spacing w:before="0" w:after="0"/>
        <w:jc w:val="both"/>
        <w:rPr/>
      </w:pPr>
      <w:r>
        <w:rPr>
          <w:szCs w:val="22"/>
          <w:lang w:val="en-GB"/>
        </w:rPr>
        <w:t xml:space="preserve">TelCo has provided "blended" best market pricing in Attachment 4-A (Pricing Forms) in accordance with the EuroBank call profiles and TelCo's corresponding call tariffs as set out in Attachment 4-I (Voice &amp; Data Tariffs). Only the tariffs set out in Attachment 4-I (Voice &amp; Data Tariffs), that are subject to changes in conformity with OPTA regulation, may be applied to calculate the Charges to be invoiced to EuroBank. </w:t>
      </w:r>
      <w:r>
        <w:rPr>
          <w:i/>
          <w:szCs w:val="22"/>
          <w:lang w:val="en-GB"/>
        </w:rPr>
      </w:r>
      <w:r>
        <w:rPr>
          <w:szCs w:val="22"/>
          <w:lang w:val="en-GB"/>
        </w:rPr>
      </w:r>
      <w:r>
        <w:rPr>
          <w:i/>
          <w:szCs w:val="22"/>
          <w:lang w:val="en-GB"/>
        </w:rPr>
      </w:r>
      <w:r>
        <w:rPr>
          <w:szCs w:val="22"/>
          <w:lang w:val="en-GB"/>
        </w:rPr>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If TelCo reduces its published tariffs from those available at the Effective Date then the tariffs in Attachment 4-I (Voice &amp; Data Tariffs) will be reduced and the prices set out in the Attachment 4-A (Pricing Forms) shall be reduced accordingly calculated by incorporating the new reduced published tariffs into the formula used by TelCo as at the Effective Date to calculate the blended rates in the Attachment 4-A (Pricing Forms).</w:t>
      </w:r>
      <w:r>
        <w:rPr>
          <w:i/>
          <w:szCs w:val="22"/>
          <w:lang w:val="en-GB"/>
        </w:rPr>
      </w:r>
      <w:r>
        <w:rPr>
          <w:szCs w:val="22"/>
          <w:lang w:val="en-GB"/>
        </w:rPr>
      </w:r>
      <w:r>
        <w:rPr>
          <w:i/>
          <w:szCs w:val="22"/>
          <w:lang w:val="en-GB"/>
        </w:rPr>
      </w:r>
      <w:r>
        <w:rPr>
          <w:szCs w:val="22"/>
          <w:lang w:val="en-GB"/>
        </w:rPr>
      </w:r>
      <w:r>
        <w:rPr>
          <w:i/>
          <w:szCs w:val="22"/>
          <w:lang w:val="en-GB"/>
        </w:rPr>
      </w:r>
      <w:r>
        <w:rPr>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6" w:name="__RefHeading___Toc153769622"/>
      <w:bookmarkEnd w:id="36"/>
      <w:r>
        <w:rPr>
          <w:bCs/>
          <w:sz w:val="22"/>
          <w:lang w:val="en-GB"/>
        </w:rPr>
        <w:t>RFP(s) for voice Services</w:t>
      </w:r>
    </w:p>
    <w:p>
      <w:pPr>
        <w:pStyle w:val="Normal"/>
        <w:spacing w:before="0" w:after="0"/>
        <w:jc w:val="both"/>
        <w:rPr/>
      </w:pPr>
      <w:r>
        <w:rPr>
          <w:bCs/>
          <w:lang w:val="en-GB"/>
        </w:rPr>
        <w:t>EuroBank will award to TelCo the following three RFPs, if TelCo meets EuroBank specifications and bids on market competitive conditions:</w:t>
      </w:r>
    </w:p>
    <w:p>
      <w:pPr>
        <w:pStyle w:val="Normal"/>
        <w:spacing w:before="0" w:after="0"/>
        <w:jc w:val="both"/>
        <w:rPr>
          <w:bCs/>
          <w:lang w:val="en-GB"/>
        </w:rPr>
      </w:pPr>
      <w:r>
        <w:rPr>
          <w:bCs/>
          <w:lang w:val="en-GB"/>
        </w:rPr>
      </w:r>
    </w:p>
    <w:p>
      <w:pPr>
        <w:pStyle w:val="Normal"/>
        <w:numPr>
          <w:ilvl w:val="0"/>
          <w:numId w:val="7"/>
        </w:numPr>
        <w:spacing w:before="0" w:after="0"/>
        <w:jc w:val="both"/>
        <w:rPr>
          <w:bCs/>
          <w:lang w:val="en-GB"/>
        </w:rPr>
      </w:pPr>
      <w:r>
        <w:rPr>
          <w:bCs/>
          <w:lang w:val="en-GB"/>
        </w:rPr>
        <w:t>Videoconferencing in The Netherlands</w:t>
      </w:r>
    </w:p>
    <w:p>
      <w:pPr>
        <w:pStyle w:val="Normal"/>
        <w:numPr>
          <w:ilvl w:val="0"/>
          <w:numId w:val="7"/>
        </w:numPr>
        <w:spacing w:before="0" w:after="0"/>
        <w:jc w:val="both"/>
        <w:rPr>
          <w:bCs/>
          <w:lang w:val="en-GB"/>
        </w:rPr>
      </w:pPr>
      <w:r>
        <w:rPr>
          <w:bCs/>
          <w:lang w:val="en-GB"/>
        </w:rPr>
        <w:t>Quality monitoring on call centres</w:t>
      </w:r>
    </w:p>
    <w:p>
      <w:pPr>
        <w:pStyle w:val="Normal"/>
        <w:numPr>
          <w:ilvl w:val="0"/>
          <w:numId w:val="7"/>
        </w:numPr>
        <w:spacing w:before="0" w:after="0"/>
        <w:jc w:val="both"/>
        <w:rPr>
          <w:bCs/>
          <w:lang w:val="en-GB"/>
        </w:rPr>
      </w:pPr>
      <w:r>
        <w:rPr>
          <w:bCs/>
          <w:lang w:val="en-GB"/>
        </w:rPr>
        <w:t>Right to bid on Mobile Telecommunications Services in Belgium other then EuroBank Belgium NV</w:t>
      </w:r>
    </w:p>
    <w:p>
      <w:pPr>
        <w:pStyle w:val="Normal"/>
        <w:spacing w:before="0" w:after="0"/>
        <w:jc w:val="both"/>
        <w:rPr>
          <w:bCs/>
          <w:lang w:val="en-GB"/>
        </w:rPr>
      </w:pPr>
      <w:r>
        <w:rPr>
          <w:bCs/>
          <w:lang w:val="en-GB"/>
        </w:rPr>
      </w:r>
    </w:p>
    <w:p>
      <w:pPr>
        <w:pStyle w:val="Normal"/>
        <w:spacing w:before="0" w:after="0"/>
        <w:jc w:val="both"/>
        <w:rPr>
          <w:bCs/>
          <w:lang w:val="en-GB"/>
        </w:rPr>
      </w:pPr>
      <w:r>
        <w:rPr>
          <w:bCs/>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4/12/2006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14</w:t>
    </w:r>
    <w:r>
      <w:rPr>
        <w:sz w:val="16"/>
        <w:szCs w:val="16"/>
      </w:rPr>
      <w:fldChar w:fldCharType="end"/>
    </w:r>
    <w:r>
      <w:rPr>
        <w:sz w:val="16"/>
        <w:szCs w:val="16"/>
      </w:rPr>
      <w:t xml:space="preserve"> -</w:t>
      <w:tab/>
      <w:t>04/12/2006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left" w:pos="3288" w:leader="none"/>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4 (Pricing) Final v3.1b.doc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left" w:pos="3288" w:leader="none"/>
        <w:tab w:val="center" w:pos="4320" w:leader="none"/>
        <w:tab w:val="right" w:pos="8460" w:leader="none"/>
      </w:tabs>
      <w:spacing w:before="120" w:after="120"/>
      <w:rPr/>
    </w:pPr>
    <w:r>
      <w:rPr>
        <w:sz w:val="20"/>
      </w:rPr>
      <w:drawing>
        <wp:inline distT="0" distB="0" distL="0" distR="0">
          <wp:extent cx="965200" cy="28448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4 (Pricing) Final v3.1b.doc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left" w:pos="3288" w:leader="none"/>
        <w:tab w:val="center" w:pos="4320" w:leader="none"/>
        <w:tab w:val="right" w:pos="8460" w:leader="none"/>
      </w:tabs>
      <w:spacing w:before="120" w:after="120"/>
      <w:rPr/>
    </w:pPr>
    <w:r>
      <w:rPr>
        <w:sz w:val="20"/>
      </w:rPr>
      <w:drawing>
        <wp:inline distT="0" distB="0" distL="0" distR="0">
          <wp:extent cx="965200" cy="28448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4 (Pricing) Final v3.1b.doc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2"/>
        <w:i w:val="false"/>
        <w:b/>
        <w:szCs w:val="22"/>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lowerRoman"/>
      <w:lvlText w:val="(%1)"/>
      <w:lvlJc w:val="start"/>
      <w:pPr>
        <w:tabs>
          <w:tab w:val="num" w:pos="1440"/>
        </w:tabs>
        <w:ind w:start="1440" w:hanging="720"/>
      </w:pPr>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Wingdings" w:hAnsi="Wingdings" w:cs="Wingdings" w:hint="default"/>
      </w:rPr>
    </w:lvl>
  </w:abstractNum>
  <w:abstractNum w:abstractNumId="8">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9">
    <w:lvl w:ilvl="0">
      <w:start w:val="5"/>
      <w:numFmt w:val="decimal"/>
      <w:lvlText w:val="%1"/>
      <w:lvlJc w:val="start"/>
      <w:pPr>
        <w:tabs>
          <w:tab w:val="num" w:pos="720"/>
        </w:tabs>
        <w:ind w:start="720" w:hanging="720"/>
      </w:pPr>
      <w:rPr/>
    </w:lvl>
    <w:lvl w:ilvl="1">
      <w:start w:val="7"/>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2">
    <w:lvl w:ilvl="0">
      <w:start w:val="1"/>
      <w:numFmt w:val="bullet"/>
      <w:lvlText w:val=""/>
      <w:lvlJc w:val="start"/>
      <w:pPr>
        <w:tabs>
          <w:tab w:val="num" w:pos="360"/>
        </w:tabs>
        <w:ind w:start="36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decimal"/>
      <w:lvlText w:val="%1"/>
      <w:lvlJc w:val="start"/>
      <w:pPr>
        <w:tabs>
          <w:tab w:val="num" w:pos="720"/>
        </w:tabs>
        <w:ind w:start="720" w:hanging="720"/>
      </w:pPr>
      <w:rPr/>
    </w:lvl>
    <w:lvl w:ilvl="1">
      <w:start w:val="2"/>
      <w:numFmt w:val="decimal"/>
      <w:lvlText w:val="%1.%2"/>
      <w:lvlJc w:val="start"/>
      <w:pPr>
        <w:tabs>
          <w:tab w:val="num" w:pos="720"/>
        </w:tabs>
        <w:ind w:start="720" w:hanging="720"/>
      </w:pPr>
      <w:rPr/>
    </w:lvl>
    <w:lvl w:ilvl="2">
      <w:start w:val="10"/>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2"/>
      <w:szCs w:val="22"/>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Heading3AAACharChar">
    <w:name w:val="Heading 3 AAA Char Char"/>
    <w:basedOn w:val="CharChar"/>
    <w:qFormat/>
    <w:rPr>
      <w:bCs/>
      <w:sz w:val="24"/>
      <w:szCs w:val="2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12"/>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11"/>
      </w:numPr>
    </w:pPr>
    <w:rPr>
      <w:bCs/>
    </w:rPr>
  </w:style>
  <w:style w:type="paragraph" w:styleId="TableLevel3Numbered">
    <w:name w:val="Table Level 3 Numbered"/>
    <w:basedOn w:val="Normal"/>
    <w:qFormat/>
    <w:pPr>
      <w:numPr>
        <w:ilvl w:val="0"/>
        <w:numId w:val="11"/>
      </w:numPr>
    </w:pPr>
    <w:rPr/>
  </w:style>
  <w:style w:type="paragraph" w:styleId="TableLevel4Numbered">
    <w:name w:val="Table Level 4 Numbered"/>
    <w:basedOn w:val="Normal"/>
    <w:qFormat/>
    <w:pPr>
      <w:numPr>
        <w:ilvl w:val="0"/>
        <w:numId w:val="11"/>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8"/>
      </w:numPr>
      <w:spacing w:before="240" w:after="240"/>
    </w:pPr>
    <w:rPr/>
  </w:style>
  <w:style w:type="paragraph" w:styleId="BodyLevel2Numbered">
    <w:name w:val="Body Level 2 Numbered"/>
    <w:basedOn w:val="Normal"/>
    <w:qFormat/>
    <w:pPr>
      <w:numPr>
        <w:ilvl w:val="0"/>
        <w:numId w:val="8"/>
      </w:numPr>
      <w:spacing w:before="240" w:after="240"/>
    </w:pPr>
    <w:rPr/>
  </w:style>
  <w:style w:type="paragraph" w:styleId="BodyLevel3Numbered">
    <w:name w:val="Body Level 3 Numbered"/>
    <w:basedOn w:val="Normal"/>
    <w:qFormat/>
    <w:pPr>
      <w:numPr>
        <w:ilvl w:val="0"/>
        <w:numId w:val="8"/>
      </w:numPr>
      <w:spacing w:before="240" w:after="240"/>
    </w:pPr>
    <w:rPr/>
  </w:style>
  <w:style w:type="paragraph" w:styleId="BodyLevel4Numbered">
    <w:name w:val="Body Level 4 Numbered"/>
    <w:basedOn w:val="Normal"/>
    <w:qFormat/>
    <w:pPr>
      <w:numPr>
        <w:ilvl w:val="0"/>
        <w:numId w:val="8"/>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ntekst1">
    <w:name w:val="Ballontekst1"/>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Onderwerpvanopmerking1">
    <w:name w:val="Onderwerp van opmerking1"/>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CommentSubject">
    <w:name w:val="Comment Subject"/>
    <w:basedOn w:val="CommentText"/>
    <w:next w:val="CommentText"/>
    <w:qFormat/>
    <w:pPr/>
    <w:rPr>
      <w:b/>
      <w:bCs/>
    </w:rPr>
  </w:style>
  <w:style w:type="paragraph" w:styleId="DocumentMap">
    <w:name w:val="Document Map"/>
    <w:basedOn w:val="Normal"/>
    <w:qFormat/>
    <w:pPr>
      <w:shd w:fill="000080" w:val="clear"/>
    </w:pPr>
    <w:rPr>
      <w:rFonts w:ascii="Tahoma" w:hAnsi="Tahoma" w:cs="Tahoma"/>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2006-12-13T15:06:00Z</dcterms:created>
  <dc:creator> </dc:creator>
  <dc:description/>
  <cp:keywords/>
  <dc:language>en-US</dc:language>
  <cp:lastModifiedBy>Stuart Johnson</cp:lastModifiedBy>
  <cp:lastPrinted>2005-07-04T16:19:00Z</cp:lastPrinted>
  <dcterms:modified xsi:type="dcterms:W3CDTF">2006-12-13T15:08:00Z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-1485931753</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exhibit 4 for PST to agree</vt:lpwstr>
  </property>
  <property fmtid="{D5CDD505-2E9C-101B-9397-08002B2CF9AE}" pid="6" name="_ReviewingToolsShownOnce">
    <vt:lpwstr/>
  </property>
</Properties>
</file>