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5580" w:leader="none"/>
        </w:tabs>
        <w:spacing w:lineRule="exact" w:line="300" w:before="0" w:after="240"/>
        <w:rPr>
          <w:sz w:val="22"/>
          <w:szCs w:val="22"/>
        </w:rPr>
      </w:pPr>
      <w:r>
        <w:rPr>
          <w:sz w:val="22"/>
          <w:szCs w:val="22"/>
        </w:rPr>
      </w:r>
    </w:p>
    <w:p>
      <w:pPr>
        <w:pStyle w:val="Title"/>
        <w:rPr>
          <w:sz w:val="22"/>
          <w:szCs w:val="22"/>
          <w:lang w:val="en-GB"/>
        </w:rPr>
      </w:pPr>
      <w:r>
        <w:rPr>
          <w:sz w:val="22"/>
          <w:szCs w:val="22"/>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5</w:t>
      </w:r>
    </w:p>
    <w:p>
      <w:pPr>
        <w:pStyle w:val="Title"/>
        <w:rPr>
          <w:lang w:val="en-GB"/>
        </w:rPr>
      </w:pPr>
      <w:r>
        <w:rPr>
          <w:lang w:val="en-GB"/>
        </w:rPr>
      </w:r>
    </w:p>
    <w:p>
      <w:pPr>
        <w:pStyle w:val="Title"/>
        <w:rPr>
          <w:lang w:val="en-GB"/>
        </w:rPr>
      </w:pPr>
      <w:r>
        <w:rPr>
          <w:lang w:val="en-GB"/>
        </w:rPr>
        <w:t>Human Resources Provisions</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97" w:right="1797" w:gutter="0" w:header="720" w:top="1440" w:footer="720" w:bottom="1797"/>
          <w:pgNumType w:start="1" w:fmt="upperRoman"/>
          <w:formProt w:val="false"/>
          <w:textDirection w:val="lrTb"/>
          <w:docGrid w:type="default" w:linePitch="360" w:charSpace="0"/>
        </w:sectPr>
        <w:pStyle w:val="Title"/>
        <w:rPr>
          <w:lang w:val="en-GB"/>
        </w:rPr>
      </w:pPr>
      <w:r>
        <w:rPr>
          <w:lang w:val="en-GB"/>
        </w:rPr>
      </w:r>
    </w:p>
    <w:p>
      <w:pPr>
        <w:pStyle w:val="Normal"/>
        <w:tabs>
          <w:tab w:val="clear" w:pos="720"/>
          <w:tab w:val="left" w:pos="5580" w:leader="none"/>
        </w:tabs>
        <w:spacing w:lineRule="exact" w:line="300" w:before="0" w:after="240"/>
        <w:rPr>
          <w:sz w:val="22"/>
          <w:szCs w:val="22"/>
          <w:lang w:val="en-GB"/>
        </w:rPr>
      </w:pPr>
      <w:r>
        <w:rPr>
          <w:sz w:val="22"/>
          <w:szCs w:val="22"/>
          <w:lang w:val="en-GB"/>
        </w:rPr>
      </w:r>
    </w:p>
    <w:p>
      <w:pPr>
        <w:pStyle w:val="Normal"/>
        <w:tabs>
          <w:tab w:val="clear" w:pos="720"/>
          <w:tab w:val="left" w:pos="5580" w:leader="none"/>
        </w:tabs>
        <w:spacing w:lineRule="exact" w:line="300" w:before="0" w:after="240"/>
        <w:jc w:val="center"/>
        <w:rPr/>
      </w:pPr>
      <w:r>
        <w:rPr/>
        <w:t>Table of Contents</w:t>
      </w:r>
    </w:p>
    <w:sdt>
      <w:sdtPr>
        <w:docPartObj>
          <w:docPartGallery w:val="Table of Contents"/>
          <w:docPartUnique w:val="true"/>
        </w:docPartObj>
      </w:sdtPr>
      <w:sdtContent>
        <w:p>
          <w:pPr>
            <w:pStyle w:val="TOC1"/>
            <w:keepLines/>
            <w:spacing w:before="120" w:after="0"/>
            <w:ind w:hanging="720" w:start="720" w:end="720"/>
            <w:jc w:val="start"/>
            <w:rPr>
              <w:rFonts w:eastAsia="Times New Roman"/>
              <w:caps w:val="false"/>
              <w:smallCaps w:val="false"/>
              <w:sz w:val="18"/>
              <w:szCs w:val="18"/>
              <w:lang w:val="en-US" w:eastAsia="en-US"/>
            </w:rPr>
          </w:pPr>
          <w:r>
            <w:fldChar w:fldCharType="begin"/>
          </w:r>
          <w:r>
            <w:rPr>
              <w:caps/>
              <w:sz w:val="18"/>
              <w:szCs w:val="18"/>
              <w:lang w:val="en-US" w:eastAsia="en-US"/>
            </w:rPr>
            <w:instrText xml:space="preserve"> TOC \o "3-3" \t "Heading 1,1,Heading 2,2,FWOut_L1,1,FWOut_L2,2" </w:instrText>
          </w:r>
          <w:r>
            <w:rPr>
              <w:caps/>
              <w:sz w:val="18"/>
              <w:szCs w:val="18"/>
              <w:lang w:val="en-US" w:eastAsia="en-US"/>
            </w:rPr>
            <w:fldChar w:fldCharType="separate"/>
          </w:r>
          <w:r>
            <w:rPr>
              <w:caps/>
              <w:sz w:val="18"/>
              <w:szCs w:val="18"/>
              <w:lang w:val="en-US" w:eastAsia="en-US"/>
            </w:rPr>
            <w:t>1</w:t>
          </w:r>
          <w:r>
            <w:rPr>
              <w:rFonts w:eastAsia="Times New Roman"/>
              <w:caps w:val="false"/>
              <w:smallCaps w:val="false"/>
              <w:sz w:val="18"/>
              <w:szCs w:val="18"/>
              <w:lang w:val="en-US" w:eastAsia="en-US"/>
            </w:rPr>
            <w:tab/>
          </w:r>
          <w:r>
            <w:rPr>
              <w:caps/>
              <w:sz w:val="18"/>
              <w:szCs w:val="18"/>
              <w:lang w:val="en-US" w:eastAsia="en-US"/>
            </w:rPr>
            <w:t>SUPPLIER OBLIGATIONS for AFFECTED EMPLOYEES</w:t>
            <w:tab/>
          </w:r>
          <w:hyperlink w:anchor="__RefHeading___Toc153767071">
            <w:r>
              <w:rPr>
                <w:rStyle w:val="IndexLink"/>
                <w:caps/>
                <w:sz w:val="18"/>
                <w:szCs w:val="18"/>
                <w:lang w:val="en-US" w:eastAsia="en-US"/>
              </w:rPr>
              <w:t>1</w:t>
            </w:r>
          </w:hyperlink>
        </w:p>
        <w:p>
          <w:pPr>
            <w:pStyle w:val="TOC2"/>
            <w:rPr>
              <w:rFonts w:eastAsia="Times New Roman"/>
              <w:caps w:val="false"/>
              <w:smallCaps w:val="false"/>
              <w:sz w:val="18"/>
              <w:szCs w:val="18"/>
              <w:lang w:val="en-US" w:eastAsia="en-US"/>
            </w:rPr>
          </w:pPr>
          <w:r>
            <w:rPr>
              <w:sz w:val="18"/>
              <w:szCs w:val="18"/>
            </w:rPr>
            <w:t>1.1</w:t>
          </w:r>
          <w:r>
            <w:rPr>
              <w:rFonts w:eastAsia="Times New Roman"/>
              <w:caps w:val="false"/>
              <w:smallCaps w:val="false"/>
              <w:sz w:val="18"/>
              <w:szCs w:val="18"/>
              <w:lang w:val="en-US" w:eastAsia="en-US"/>
            </w:rPr>
            <w:tab/>
          </w:r>
          <w:r>
            <w:rPr>
              <w:sz w:val="18"/>
              <w:szCs w:val="18"/>
            </w:rPr>
            <w:t>Attachments</w:t>
            <w:tab/>
          </w:r>
          <w:hyperlink w:anchor="__RefHeading___Toc153767072">
            <w:r>
              <w:rPr>
                <w:rStyle w:val="IndexLink"/>
                <w:sz w:val="18"/>
                <w:szCs w:val="18"/>
              </w:rPr>
              <w:t>1</w:t>
            </w:r>
          </w:hyperlink>
        </w:p>
        <w:p>
          <w:pPr>
            <w:pStyle w:val="TOC2"/>
            <w:rPr>
              <w:rFonts w:eastAsia="Times New Roman"/>
              <w:caps w:val="false"/>
              <w:smallCaps w:val="false"/>
              <w:sz w:val="18"/>
              <w:szCs w:val="18"/>
              <w:lang w:val="en-US" w:eastAsia="en-US"/>
            </w:rPr>
          </w:pPr>
          <w:r>
            <w:rPr>
              <w:sz w:val="18"/>
              <w:szCs w:val="18"/>
            </w:rPr>
            <w:t>1.2</w:t>
          </w:r>
          <w:r>
            <w:rPr>
              <w:rFonts w:eastAsia="Times New Roman"/>
              <w:caps w:val="false"/>
              <w:smallCaps w:val="false"/>
              <w:sz w:val="18"/>
              <w:szCs w:val="18"/>
              <w:lang w:val="en-US" w:eastAsia="en-US"/>
            </w:rPr>
            <w:tab/>
          </w:r>
          <w:r>
            <w:rPr>
              <w:sz w:val="18"/>
              <w:szCs w:val="18"/>
            </w:rPr>
            <w:t>Transfer of Affected Employees</w:t>
            <w:tab/>
          </w:r>
          <w:hyperlink w:anchor="__RefHeading___Toc153767073">
            <w:r>
              <w:rPr>
                <w:rStyle w:val="IndexLink"/>
                <w:sz w:val="18"/>
                <w:szCs w:val="18"/>
              </w:rPr>
              <w:t>1</w:t>
            </w:r>
          </w:hyperlink>
        </w:p>
        <w:p>
          <w:pPr>
            <w:pStyle w:val="TOC2"/>
            <w:rPr>
              <w:rFonts w:eastAsia="Times New Roman"/>
              <w:caps w:val="false"/>
              <w:smallCaps w:val="false"/>
              <w:sz w:val="18"/>
              <w:szCs w:val="18"/>
              <w:lang w:val="en-US" w:eastAsia="en-US"/>
            </w:rPr>
          </w:pPr>
          <w:r>
            <w:rPr>
              <w:sz w:val="18"/>
              <w:szCs w:val="18"/>
            </w:rPr>
            <w:t>1.3</w:t>
          </w:r>
          <w:r>
            <w:rPr>
              <w:rFonts w:eastAsia="Times New Roman"/>
              <w:caps w:val="false"/>
              <w:smallCaps w:val="false"/>
              <w:sz w:val="18"/>
              <w:szCs w:val="18"/>
              <w:lang w:val="en-US" w:eastAsia="en-US"/>
            </w:rPr>
            <w:tab/>
          </w:r>
          <w:r>
            <w:rPr>
              <w:sz w:val="18"/>
              <w:szCs w:val="18"/>
            </w:rPr>
            <w:t>Terms and conditions</w:t>
            <w:tab/>
          </w:r>
          <w:hyperlink w:anchor="__RefHeading___Toc153767074">
            <w:r>
              <w:rPr>
                <w:rStyle w:val="IndexLink"/>
                <w:sz w:val="18"/>
                <w:szCs w:val="18"/>
              </w:rPr>
              <w:t>3</w:t>
            </w:r>
          </w:hyperlink>
        </w:p>
        <w:p>
          <w:pPr>
            <w:pStyle w:val="TOC1"/>
            <w:rPr>
              <w:rFonts w:eastAsia="Times New Roman"/>
              <w:caps w:val="false"/>
              <w:smallCaps w:val="false"/>
              <w:sz w:val="18"/>
              <w:szCs w:val="18"/>
              <w:lang w:val="en-US" w:eastAsia="en-US"/>
            </w:rPr>
          </w:pPr>
          <w:r>
            <w:rPr>
              <w:caps w:val="false"/>
              <w:smallCaps w:val="false"/>
              <w:sz w:val="18"/>
              <w:szCs w:val="18"/>
              <w:lang w:val="en-US" w:eastAsia="en-US"/>
            </w:rPr>
            <w:t>2.</w:t>
          </w:r>
          <w:r>
            <w:rPr>
              <w:rFonts w:eastAsia="Times New Roman"/>
              <w:caps w:val="false"/>
              <w:smallCaps w:val="false"/>
              <w:sz w:val="18"/>
              <w:szCs w:val="18"/>
              <w:lang w:val="en-US" w:eastAsia="en-US"/>
            </w:rPr>
            <w:tab/>
          </w:r>
          <w:r>
            <w:rPr>
              <w:sz w:val="18"/>
              <w:szCs w:val="18"/>
              <w:lang w:val="en-US" w:eastAsia="en-US"/>
            </w:rPr>
            <w:t>GENERAL EMPLOYMENT INDEMNITIES</w:t>
            <w:tab/>
          </w:r>
          <w:hyperlink w:anchor="__RefHeading___Toc153767075">
            <w:r>
              <w:rPr>
                <w:rStyle w:val="IndexLink"/>
                <w:sz w:val="18"/>
                <w:szCs w:val="18"/>
                <w:lang w:val="en-US" w:eastAsia="en-US"/>
              </w:rPr>
              <w:t>5</w:t>
            </w:r>
          </w:hyperlink>
        </w:p>
        <w:p>
          <w:pPr>
            <w:pStyle w:val="TOC2"/>
            <w:rPr>
              <w:rFonts w:eastAsia="Times New Roman"/>
              <w:caps w:val="false"/>
              <w:smallCaps w:val="false"/>
              <w:sz w:val="18"/>
              <w:szCs w:val="18"/>
              <w:lang w:val="en-US" w:eastAsia="en-US"/>
            </w:rPr>
          </w:pPr>
          <w:r>
            <w:rPr>
              <w:sz w:val="18"/>
              <w:szCs w:val="18"/>
            </w:rPr>
            <w:t>2.1</w:t>
          </w:r>
          <w:r>
            <w:rPr>
              <w:rFonts w:eastAsia="Times New Roman"/>
              <w:caps w:val="false"/>
              <w:smallCaps w:val="false"/>
              <w:sz w:val="18"/>
              <w:szCs w:val="18"/>
              <w:lang w:val="en-US" w:eastAsia="en-US"/>
            </w:rPr>
            <w:tab/>
          </w:r>
          <w:r>
            <w:rPr>
              <w:sz w:val="18"/>
              <w:szCs w:val="18"/>
            </w:rPr>
            <w:t>No employment relationship</w:t>
            <w:tab/>
          </w:r>
          <w:hyperlink w:anchor="__RefHeading___Toc153767076">
            <w:r>
              <w:rPr>
                <w:rStyle w:val="IndexLink"/>
                <w:sz w:val="18"/>
                <w:szCs w:val="18"/>
              </w:rPr>
              <w:t>5</w:t>
            </w:r>
          </w:hyperlink>
        </w:p>
        <w:p>
          <w:pPr>
            <w:pStyle w:val="TOC2"/>
            <w:rPr>
              <w:rFonts w:eastAsia="Times New Roman"/>
              <w:caps w:val="false"/>
              <w:smallCaps w:val="false"/>
              <w:sz w:val="18"/>
              <w:szCs w:val="18"/>
              <w:lang w:val="en-US" w:eastAsia="en-US"/>
            </w:rPr>
          </w:pPr>
          <w:r>
            <w:rPr>
              <w:sz w:val="18"/>
              <w:szCs w:val="18"/>
            </w:rPr>
            <w:t>2.2</w:t>
          </w:r>
          <w:r>
            <w:rPr>
              <w:rFonts w:eastAsia="Times New Roman"/>
              <w:caps w:val="false"/>
              <w:smallCaps w:val="false"/>
              <w:sz w:val="18"/>
              <w:szCs w:val="18"/>
              <w:lang w:val="en-US" w:eastAsia="en-US"/>
            </w:rPr>
            <w:tab/>
          </w:r>
          <w:r>
            <w:rPr>
              <w:sz w:val="18"/>
              <w:szCs w:val="18"/>
            </w:rPr>
            <w:t>Indemnities</w:t>
            <w:tab/>
          </w:r>
          <w:hyperlink w:anchor="__RefHeading___Toc153767077">
            <w:r>
              <w:rPr>
                <w:rStyle w:val="IndexLink"/>
                <w:sz w:val="18"/>
                <w:szCs w:val="18"/>
              </w:rPr>
              <w:t>6</w:t>
            </w:r>
          </w:hyperlink>
        </w:p>
        <w:p>
          <w:pPr>
            <w:pStyle w:val="TOC2"/>
            <w:rPr>
              <w:rFonts w:eastAsia="Times New Roman"/>
              <w:caps w:val="false"/>
              <w:smallCaps w:val="false"/>
              <w:sz w:val="18"/>
              <w:szCs w:val="18"/>
              <w:lang w:val="en-US" w:eastAsia="en-US"/>
            </w:rPr>
          </w:pPr>
          <w:r>
            <w:rPr>
              <w:bCs/>
              <w:sz w:val="18"/>
              <w:szCs w:val="18"/>
            </w:rPr>
            <w:t>2.3</w:t>
          </w:r>
          <w:r>
            <w:rPr>
              <w:rFonts w:eastAsia="Times New Roman"/>
              <w:caps w:val="false"/>
              <w:smallCaps w:val="false"/>
              <w:sz w:val="18"/>
              <w:szCs w:val="18"/>
              <w:lang w:val="en-US" w:eastAsia="en-US"/>
            </w:rPr>
            <w:tab/>
          </w:r>
          <w:r>
            <w:rPr>
              <w:color w:val="000000"/>
              <w:sz w:val="18"/>
              <w:szCs w:val="18"/>
            </w:rPr>
            <w:t xml:space="preserve">PST compensation related to return of Affected Employees on the basis of "Sociaal Kader Sourcing d.d. 23 maart 2006" and the "Aanvullende Afspraken Sociaal Kader Sourcing d.d. 4 oktober 2006" or Belgian equivalent thereof </w:t>
          </w:r>
          <w:r>
            <w:rPr>
              <w:bCs/>
              <w:color w:val="000000"/>
              <w:sz w:val="18"/>
              <w:szCs w:val="18"/>
            </w:rPr>
            <w:t>(Collective Labour Agreements</w:t>
          </w:r>
          <w:r>
            <w:rPr>
              <w:bCs/>
              <w:sz w:val="18"/>
              <w:szCs w:val="18"/>
            </w:rPr>
            <w:t xml:space="preserve"> Sourcing (CAO) dated 31</w:t>
          </w:r>
          <w:r>
            <w:rPr>
              <w:bCs/>
              <w:sz w:val="18"/>
              <w:szCs w:val="18"/>
              <w:vertAlign w:val="superscript"/>
            </w:rPr>
            <w:t>st</w:t>
          </w:r>
          <w:r>
            <w:rPr>
              <w:bCs/>
              <w:sz w:val="18"/>
              <w:szCs w:val="18"/>
            </w:rPr>
            <w:t xml:space="preserve"> May 2006)</w:t>
          </w:r>
          <w:r>
            <w:rPr>
              <w:sz w:val="18"/>
              <w:szCs w:val="18"/>
            </w:rPr>
            <w:tab/>
          </w:r>
          <w:hyperlink w:anchor="__RefHeading___Toc153767078">
            <w:r>
              <w:rPr>
                <w:rStyle w:val="IndexLink"/>
                <w:sz w:val="18"/>
                <w:szCs w:val="18"/>
              </w:rPr>
              <w:t>8</w:t>
            </w:r>
          </w:hyperlink>
        </w:p>
        <w:p>
          <w:pPr>
            <w:pStyle w:val="TOC2"/>
            <w:rPr>
              <w:rFonts w:eastAsia="Times New Roman"/>
              <w:caps w:val="false"/>
              <w:smallCaps w:val="false"/>
              <w:sz w:val="18"/>
              <w:szCs w:val="18"/>
              <w:lang w:val="en-US" w:eastAsia="en-US"/>
            </w:rPr>
          </w:pPr>
          <w:r>
            <w:rPr>
              <w:sz w:val="18"/>
              <w:szCs w:val="18"/>
            </w:rPr>
            <w:t>2.4</w:t>
          </w:r>
          <w:r>
            <w:rPr>
              <w:rFonts w:eastAsia="Times New Roman"/>
              <w:caps w:val="false"/>
              <w:smallCaps w:val="false"/>
              <w:sz w:val="18"/>
              <w:szCs w:val="18"/>
              <w:lang w:val="en-US" w:eastAsia="en-US"/>
            </w:rPr>
            <w:tab/>
          </w:r>
          <w:r>
            <w:rPr>
              <w:color w:val="000000"/>
              <w:sz w:val="18"/>
              <w:szCs w:val="18"/>
            </w:rPr>
            <w:t>Compensation for claims based on incorrect harmonisation</w:t>
          </w:r>
          <w:r>
            <w:rPr>
              <w:sz w:val="18"/>
              <w:szCs w:val="18"/>
            </w:rPr>
            <w:tab/>
          </w:r>
          <w:hyperlink w:anchor="__RefHeading___Toc153767079">
            <w:r>
              <w:rPr>
                <w:rStyle w:val="IndexLink"/>
                <w:sz w:val="18"/>
                <w:szCs w:val="18"/>
              </w:rPr>
              <w:t>9</w:t>
            </w:r>
          </w:hyperlink>
        </w:p>
        <w:p>
          <w:pPr>
            <w:pStyle w:val="TOC2"/>
            <w:rPr>
              <w:rFonts w:eastAsia="Times New Roman"/>
              <w:caps w:val="false"/>
              <w:smallCaps w:val="false"/>
              <w:sz w:val="18"/>
              <w:szCs w:val="18"/>
              <w:lang w:val="en-US" w:eastAsia="en-US"/>
            </w:rPr>
          </w:pPr>
          <w:r>
            <w:rPr>
              <w:color w:val="000000"/>
              <w:sz w:val="18"/>
              <w:szCs w:val="18"/>
            </w:rPr>
            <w:t>A</w:t>
          </w:r>
          <w:r>
            <w:rPr>
              <w:rFonts w:eastAsia="Times New Roman"/>
              <w:caps w:val="false"/>
              <w:smallCaps w:val="false"/>
              <w:sz w:val="18"/>
              <w:szCs w:val="18"/>
              <w:lang w:val="en-US" w:eastAsia="en-US"/>
            </w:rPr>
            <w:tab/>
          </w:r>
          <w:r>
            <w:rPr>
              <w:color w:val="000000"/>
              <w:sz w:val="18"/>
              <w:szCs w:val="18"/>
            </w:rPr>
            <w:t>The Netherlands</w:t>
          </w:r>
          <w:r>
            <w:rPr>
              <w:sz w:val="18"/>
              <w:szCs w:val="18"/>
            </w:rPr>
            <w:tab/>
          </w:r>
          <w:hyperlink w:anchor="__RefHeading___Toc153767080">
            <w:r>
              <w:rPr>
                <w:rStyle w:val="IndexLink"/>
                <w:sz w:val="18"/>
                <w:szCs w:val="18"/>
              </w:rPr>
              <w:t>9</w:t>
            </w:r>
          </w:hyperlink>
        </w:p>
        <w:p>
          <w:pPr>
            <w:pStyle w:val="TOC2"/>
            <w:rPr>
              <w:rFonts w:eastAsia="Times New Roman"/>
              <w:caps w:val="false"/>
              <w:smallCaps w:val="false"/>
              <w:sz w:val="18"/>
              <w:szCs w:val="18"/>
              <w:lang w:val="en-US" w:eastAsia="en-US"/>
            </w:rPr>
          </w:pPr>
          <w:r>
            <w:rPr>
              <w:color w:val="000000"/>
              <w:sz w:val="18"/>
              <w:szCs w:val="18"/>
            </w:rPr>
            <w:t>B</w:t>
          </w:r>
          <w:r>
            <w:rPr>
              <w:rFonts w:eastAsia="Times New Roman"/>
              <w:caps w:val="false"/>
              <w:smallCaps w:val="false"/>
              <w:sz w:val="18"/>
              <w:szCs w:val="18"/>
              <w:lang w:val="en-US" w:eastAsia="en-US"/>
            </w:rPr>
            <w:tab/>
          </w:r>
          <w:r>
            <w:rPr>
              <w:color w:val="000000"/>
              <w:sz w:val="18"/>
              <w:szCs w:val="18"/>
            </w:rPr>
            <w:t>Belgium</w:t>
          </w:r>
          <w:r>
            <w:rPr>
              <w:sz w:val="18"/>
              <w:szCs w:val="18"/>
            </w:rPr>
            <w:tab/>
          </w:r>
          <w:hyperlink w:anchor="__RefHeading___Toc153767081">
            <w:r>
              <w:rPr>
                <w:rStyle w:val="IndexLink"/>
                <w:sz w:val="18"/>
                <w:szCs w:val="18"/>
              </w:rPr>
              <w:t>10</w:t>
            </w:r>
          </w:hyperlink>
        </w:p>
        <w:p>
          <w:pPr>
            <w:pStyle w:val="TOC2"/>
            <w:rPr>
              <w:rFonts w:eastAsia="Times New Roman"/>
              <w:caps w:val="false"/>
              <w:smallCaps w:val="false"/>
              <w:sz w:val="18"/>
              <w:szCs w:val="18"/>
              <w:lang w:val="en-US" w:eastAsia="en-US"/>
            </w:rPr>
          </w:pPr>
          <w:r>
            <w:rPr>
              <w:sz w:val="18"/>
              <w:szCs w:val="18"/>
            </w:rPr>
            <w:t>2.5</w:t>
          </w:r>
          <w:r>
            <w:rPr>
              <w:rFonts w:eastAsia="Times New Roman"/>
              <w:caps w:val="false"/>
              <w:smallCaps w:val="false"/>
              <w:sz w:val="18"/>
              <w:szCs w:val="18"/>
              <w:lang w:val="en-US" w:eastAsia="en-US"/>
            </w:rPr>
            <w:tab/>
          </w:r>
          <w:r>
            <w:rPr>
              <w:color w:val="000000"/>
              <w:sz w:val="18"/>
              <w:szCs w:val="18"/>
            </w:rPr>
            <w:t>Hardship cases</w:t>
          </w:r>
          <w:r>
            <w:rPr>
              <w:sz w:val="18"/>
              <w:szCs w:val="18"/>
            </w:rPr>
            <w:tab/>
          </w:r>
          <w:hyperlink w:anchor="__RefHeading___Toc153767082">
            <w:r>
              <w:rPr>
                <w:rStyle w:val="IndexLink"/>
                <w:sz w:val="18"/>
                <w:szCs w:val="18"/>
              </w:rPr>
              <w:t>11</w:t>
            </w:r>
          </w:hyperlink>
        </w:p>
        <w:p>
          <w:pPr>
            <w:pStyle w:val="TOC2"/>
            <w:rPr>
              <w:rFonts w:eastAsia="Times New Roman"/>
              <w:caps w:val="false"/>
              <w:smallCaps w:val="false"/>
              <w:sz w:val="18"/>
              <w:szCs w:val="18"/>
              <w:lang w:val="en-US" w:eastAsia="en-US"/>
            </w:rPr>
          </w:pPr>
          <w:r>
            <w:rPr>
              <w:sz w:val="18"/>
              <w:szCs w:val="18"/>
            </w:rPr>
            <w:t>2.6</w:t>
          </w:r>
          <w:r>
            <w:rPr>
              <w:rFonts w:eastAsia="Times New Roman"/>
              <w:caps w:val="false"/>
              <w:smallCaps w:val="false"/>
              <w:sz w:val="18"/>
              <w:szCs w:val="18"/>
              <w:lang w:val="en-US" w:eastAsia="en-US"/>
            </w:rPr>
            <w:tab/>
          </w:r>
          <w:r>
            <w:rPr>
              <w:color w:val="000000"/>
              <w:sz w:val="18"/>
              <w:szCs w:val="18"/>
            </w:rPr>
            <w:t>Harmonisation cost</w:t>
          </w:r>
          <w:r>
            <w:rPr>
              <w:sz w:val="18"/>
              <w:szCs w:val="18"/>
            </w:rPr>
            <w:tab/>
          </w:r>
          <w:hyperlink w:anchor="__RefHeading___Toc153767083">
            <w:r>
              <w:rPr>
                <w:rStyle w:val="IndexLink"/>
                <w:sz w:val="18"/>
                <w:szCs w:val="18"/>
              </w:rPr>
              <w:t>11</w:t>
            </w:r>
          </w:hyperlink>
        </w:p>
        <w:p>
          <w:pPr>
            <w:pStyle w:val="TOC2"/>
            <w:rPr>
              <w:rFonts w:eastAsia="Times New Roman"/>
              <w:caps w:val="false"/>
              <w:smallCaps w:val="false"/>
              <w:sz w:val="18"/>
              <w:szCs w:val="18"/>
              <w:lang w:val="en-US" w:eastAsia="en-US"/>
            </w:rPr>
          </w:pPr>
          <w:r>
            <w:rPr>
              <w:bCs/>
              <w:color w:val="000000"/>
              <w:sz w:val="18"/>
              <w:szCs w:val="18"/>
            </w:rPr>
            <w:t>Attachment 5-J to this Exhibit 5 contains the agreement on harmonisation costs.</w:t>
          </w:r>
          <w:r>
            <w:rPr>
              <w:sz w:val="18"/>
              <w:szCs w:val="18"/>
            </w:rPr>
            <w:tab/>
          </w:r>
          <w:hyperlink w:anchor="__RefHeading___Toc153767084">
            <w:r>
              <w:rPr>
                <w:rStyle w:val="IndexLink"/>
                <w:sz w:val="18"/>
                <w:szCs w:val="18"/>
              </w:rPr>
              <w:t>11</w:t>
            </w:r>
          </w:hyperlink>
        </w:p>
        <w:p>
          <w:pPr>
            <w:pStyle w:val="TOC1"/>
            <w:rPr>
              <w:rFonts w:eastAsia="Times New Roman"/>
              <w:caps w:val="false"/>
              <w:smallCaps w:val="false"/>
              <w:sz w:val="18"/>
              <w:szCs w:val="18"/>
              <w:lang w:val="en-US" w:eastAsia="en-US"/>
            </w:rPr>
          </w:pPr>
          <w:r>
            <w:rPr>
              <w:caps w:val="false"/>
              <w:smallCaps w:val="false"/>
              <w:sz w:val="18"/>
              <w:szCs w:val="18"/>
              <w:lang w:val="en-US" w:eastAsia="en-US"/>
            </w:rPr>
            <w:t>3.</w:t>
          </w:r>
          <w:r>
            <w:rPr>
              <w:rFonts w:eastAsia="Times New Roman"/>
              <w:caps w:val="false"/>
              <w:smallCaps w:val="false"/>
              <w:sz w:val="18"/>
              <w:szCs w:val="18"/>
              <w:lang w:val="en-US" w:eastAsia="en-US"/>
            </w:rPr>
            <w:tab/>
          </w:r>
          <w:r>
            <w:rPr>
              <w:sz w:val="18"/>
              <w:szCs w:val="18"/>
              <w:lang w:val="en-US" w:eastAsia="en-US"/>
            </w:rPr>
            <w:t>CRITICAL AFFECTED personnel AND Key PST Personnel</w:t>
            <w:tab/>
          </w:r>
          <w:hyperlink w:anchor="__RefHeading___Toc153767085">
            <w:r>
              <w:rPr>
                <w:rStyle w:val="IndexLink"/>
                <w:sz w:val="18"/>
                <w:szCs w:val="18"/>
                <w:lang w:val="en-US" w:eastAsia="en-US"/>
              </w:rPr>
              <w:t>11</w:t>
            </w:r>
          </w:hyperlink>
        </w:p>
        <w:p>
          <w:pPr>
            <w:pStyle w:val="TOC2"/>
            <w:rPr>
              <w:rFonts w:eastAsia="Times New Roman"/>
              <w:caps w:val="false"/>
              <w:smallCaps w:val="false"/>
              <w:sz w:val="18"/>
              <w:szCs w:val="18"/>
              <w:lang w:val="en-US" w:eastAsia="en-US"/>
            </w:rPr>
          </w:pPr>
          <w:r>
            <w:rPr>
              <w:sz w:val="18"/>
              <w:szCs w:val="18"/>
              <w:lang w:val="en-US" w:eastAsia="en-US"/>
            </w:rPr>
            <w:t>3.1</w:t>
          </w:r>
          <w:r>
            <w:rPr>
              <w:rFonts w:eastAsia="Times New Roman"/>
              <w:caps w:val="false"/>
              <w:smallCaps w:val="false"/>
              <w:sz w:val="18"/>
              <w:szCs w:val="18"/>
              <w:lang w:val="en-US" w:eastAsia="en-US"/>
            </w:rPr>
            <w:tab/>
          </w:r>
          <w:r>
            <w:rPr>
              <w:sz w:val="18"/>
              <w:szCs w:val="18"/>
              <w:lang w:val="en-US" w:eastAsia="en-US"/>
            </w:rPr>
            <w:t>Critical Affected Personnel</w:t>
          </w:r>
          <w:r>
            <w:rPr>
              <w:sz w:val="18"/>
              <w:szCs w:val="18"/>
            </w:rPr>
            <w:tab/>
          </w:r>
          <w:hyperlink w:anchor="__RefHeading___Toc153767086">
            <w:r>
              <w:rPr>
                <w:rStyle w:val="IndexLink"/>
                <w:sz w:val="18"/>
                <w:szCs w:val="18"/>
              </w:rPr>
              <w:t>11</w:t>
            </w:r>
          </w:hyperlink>
        </w:p>
        <w:p>
          <w:pPr>
            <w:pStyle w:val="TOC2"/>
            <w:rPr>
              <w:rFonts w:eastAsia="Times New Roman"/>
              <w:caps w:val="false"/>
              <w:smallCaps w:val="false"/>
              <w:sz w:val="18"/>
              <w:szCs w:val="18"/>
              <w:lang w:val="en-US" w:eastAsia="en-US"/>
            </w:rPr>
          </w:pPr>
          <w:r>
            <w:rPr>
              <w:sz w:val="18"/>
              <w:szCs w:val="18"/>
              <w:lang w:val="de-DE" w:eastAsia="en-US"/>
            </w:rPr>
            <w:t>3.2</w:t>
          </w:r>
          <w:r>
            <w:rPr>
              <w:rFonts w:eastAsia="Times New Roman"/>
              <w:caps w:val="false"/>
              <w:smallCaps w:val="false"/>
              <w:sz w:val="18"/>
              <w:szCs w:val="18"/>
              <w:lang w:val="en-US" w:eastAsia="en-US"/>
            </w:rPr>
            <w:tab/>
          </w:r>
          <w:r>
            <w:rPr>
              <w:sz w:val="18"/>
              <w:szCs w:val="18"/>
              <w:lang w:val="de-DE" w:eastAsia="en-US"/>
            </w:rPr>
            <w:t>Key PST Personnel</w:t>
          </w:r>
          <w:r>
            <w:rPr>
              <w:sz w:val="18"/>
              <w:szCs w:val="18"/>
            </w:rPr>
            <w:tab/>
          </w:r>
          <w:hyperlink w:anchor="__RefHeading___Toc153767087">
            <w:r>
              <w:rPr>
                <w:rStyle w:val="IndexLink"/>
                <w:sz w:val="18"/>
                <w:szCs w:val="18"/>
              </w:rPr>
              <w:t>11</w:t>
            </w:r>
          </w:hyperlink>
        </w:p>
        <w:p>
          <w:pPr>
            <w:pStyle w:val="TOC2"/>
            <w:rPr>
              <w:rFonts w:eastAsia="Times New Roman"/>
              <w:caps w:val="false"/>
              <w:smallCaps w:val="false"/>
              <w:sz w:val="18"/>
              <w:szCs w:val="18"/>
              <w:lang w:val="en-US" w:eastAsia="en-US"/>
            </w:rPr>
          </w:pPr>
          <w:r>
            <w:rPr>
              <w:sz w:val="18"/>
              <w:szCs w:val="18"/>
            </w:rPr>
            <w:t>3.3</w:t>
          </w:r>
          <w:r>
            <w:rPr>
              <w:rFonts w:eastAsia="Times New Roman"/>
              <w:caps w:val="false"/>
              <w:smallCaps w:val="false"/>
              <w:sz w:val="18"/>
              <w:szCs w:val="18"/>
              <w:lang w:val="en-US" w:eastAsia="en-US"/>
            </w:rPr>
            <w:tab/>
          </w:r>
          <w:r>
            <w:rPr>
              <w:sz w:val="18"/>
              <w:szCs w:val="18"/>
            </w:rPr>
            <w:t>Approvals procedure</w:t>
            <w:tab/>
          </w:r>
          <w:hyperlink w:anchor="__RefHeading___Toc153767088">
            <w:r>
              <w:rPr>
                <w:rStyle w:val="IndexLink"/>
                <w:sz w:val="18"/>
                <w:szCs w:val="18"/>
              </w:rPr>
              <w:t>11</w:t>
            </w:r>
          </w:hyperlink>
        </w:p>
        <w:p>
          <w:pPr>
            <w:pStyle w:val="TOC1"/>
            <w:rPr>
              <w:rFonts w:eastAsia="Times New Roman"/>
              <w:caps w:val="false"/>
              <w:smallCaps w:val="false"/>
              <w:sz w:val="18"/>
              <w:szCs w:val="18"/>
              <w:lang w:val="en-US" w:eastAsia="en-US"/>
            </w:rPr>
          </w:pPr>
          <w:r>
            <w:rPr>
              <w:caps w:val="false"/>
              <w:smallCaps w:val="false"/>
              <w:sz w:val="18"/>
              <w:szCs w:val="18"/>
              <w:lang w:val="en-US" w:eastAsia="en-US"/>
            </w:rPr>
            <w:t>4.</w:t>
          </w:r>
          <w:r>
            <w:rPr>
              <w:rFonts w:eastAsia="Times New Roman"/>
              <w:caps w:val="false"/>
              <w:smallCaps w:val="false"/>
              <w:sz w:val="18"/>
              <w:szCs w:val="18"/>
              <w:lang w:val="en-US" w:eastAsia="en-US"/>
            </w:rPr>
            <w:tab/>
          </w:r>
          <w:r>
            <w:rPr>
              <w:sz w:val="18"/>
              <w:szCs w:val="18"/>
              <w:lang w:val="en-US" w:eastAsia="en-US"/>
            </w:rPr>
            <w:t>SCREENING OF PST Member Personnel</w:t>
            <w:tab/>
          </w:r>
          <w:hyperlink w:anchor="__RefHeading___Toc153767089">
            <w:r>
              <w:rPr>
                <w:rStyle w:val="IndexLink"/>
                <w:sz w:val="18"/>
                <w:szCs w:val="18"/>
                <w:lang w:val="en-US" w:eastAsia="en-US"/>
              </w:rPr>
              <w:t>12</w:t>
            </w:r>
          </w:hyperlink>
        </w:p>
        <w:p>
          <w:pPr>
            <w:pStyle w:val="TOC2"/>
            <w:rPr>
              <w:rFonts w:eastAsia="Times New Roman"/>
              <w:caps w:val="false"/>
              <w:smallCaps w:val="false"/>
              <w:sz w:val="18"/>
              <w:szCs w:val="18"/>
              <w:lang w:val="en-US" w:eastAsia="en-US"/>
            </w:rPr>
          </w:pPr>
          <w:r>
            <w:rPr>
              <w:sz w:val="18"/>
              <w:szCs w:val="18"/>
            </w:rPr>
            <w:t>4.1</w:t>
          </w:r>
          <w:r>
            <w:rPr>
              <w:rFonts w:eastAsia="Times New Roman"/>
              <w:caps w:val="false"/>
              <w:smallCaps w:val="false"/>
              <w:sz w:val="18"/>
              <w:szCs w:val="18"/>
              <w:lang w:val="en-US" w:eastAsia="en-US"/>
            </w:rPr>
            <w:tab/>
          </w:r>
          <w:r>
            <w:rPr>
              <w:sz w:val="18"/>
              <w:szCs w:val="18"/>
            </w:rPr>
            <w:t>Screening</w:t>
            <w:tab/>
          </w:r>
          <w:hyperlink w:anchor="__RefHeading___Toc153767090">
            <w:r>
              <w:rPr>
                <w:rStyle w:val="IndexLink"/>
                <w:sz w:val="18"/>
                <w:szCs w:val="18"/>
              </w:rPr>
              <w:t>12</w:t>
            </w:r>
          </w:hyperlink>
        </w:p>
        <w:p>
          <w:pPr>
            <w:pStyle w:val="TOC2"/>
            <w:rPr>
              <w:rFonts w:eastAsia="Times New Roman"/>
              <w:caps w:val="false"/>
              <w:smallCaps w:val="false"/>
              <w:sz w:val="18"/>
              <w:szCs w:val="18"/>
              <w:lang w:val="en-US" w:eastAsia="en-US"/>
            </w:rPr>
          </w:pPr>
          <w:r>
            <w:rPr>
              <w:sz w:val="18"/>
              <w:szCs w:val="18"/>
            </w:rPr>
            <w:t>4.2</w:t>
          </w:r>
          <w:r>
            <w:rPr>
              <w:rFonts w:eastAsia="Times New Roman"/>
              <w:caps w:val="false"/>
              <w:smallCaps w:val="false"/>
              <w:sz w:val="18"/>
              <w:szCs w:val="18"/>
              <w:lang w:val="en-US" w:eastAsia="en-US"/>
            </w:rPr>
            <w:tab/>
          </w:r>
          <w:r>
            <w:rPr>
              <w:sz w:val="18"/>
              <w:szCs w:val="18"/>
            </w:rPr>
            <w:t>Interview</w:t>
            <w:tab/>
          </w:r>
          <w:hyperlink w:anchor="__RefHeading___Toc153767091">
            <w:r>
              <w:rPr>
                <w:rStyle w:val="IndexLink"/>
                <w:sz w:val="18"/>
                <w:szCs w:val="18"/>
              </w:rPr>
              <w:t>13</w:t>
            </w:r>
          </w:hyperlink>
        </w:p>
        <w:p>
          <w:pPr>
            <w:pStyle w:val="TOC2"/>
            <w:rPr>
              <w:rFonts w:eastAsia="Times New Roman"/>
              <w:caps w:val="false"/>
              <w:smallCaps w:val="false"/>
              <w:sz w:val="18"/>
              <w:szCs w:val="18"/>
              <w:lang w:val="en-US" w:eastAsia="en-US"/>
            </w:rPr>
          </w:pPr>
          <w:r>
            <w:rPr>
              <w:sz w:val="18"/>
              <w:szCs w:val="18"/>
            </w:rPr>
            <w:t>4.3</w:t>
          </w:r>
          <w:r>
            <w:rPr>
              <w:rFonts w:eastAsia="Times New Roman"/>
              <w:caps w:val="false"/>
              <w:smallCaps w:val="false"/>
              <w:sz w:val="18"/>
              <w:szCs w:val="18"/>
              <w:lang w:val="en-US" w:eastAsia="en-US"/>
            </w:rPr>
            <w:tab/>
          </w:r>
          <w:r>
            <w:rPr>
              <w:sz w:val="18"/>
              <w:szCs w:val="18"/>
            </w:rPr>
            <w:t>Background information</w:t>
            <w:tab/>
          </w:r>
          <w:hyperlink w:anchor="__RefHeading___Toc153767092">
            <w:r>
              <w:rPr>
                <w:rStyle w:val="IndexLink"/>
                <w:sz w:val="18"/>
                <w:szCs w:val="18"/>
              </w:rPr>
              <w:t>13</w:t>
            </w:r>
          </w:hyperlink>
        </w:p>
        <w:p>
          <w:pPr>
            <w:pStyle w:val="TOC2"/>
            <w:rPr>
              <w:rFonts w:eastAsia="Times New Roman"/>
              <w:caps w:val="false"/>
              <w:smallCaps w:val="false"/>
              <w:sz w:val="18"/>
              <w:szCs w:val="18"/>
              <w:lang w:val="en-US" w:eastAsia="en-US"/>
            </w:rPr>
          </w:pPr>
          <w:r>
            <w:rPr>
              <w:sz w:val="18"/>
              <w:szCs w:val="18"/>
            </w:rPr>
            <w:t>4.4</w:t>
          </w:r>
          <w:r>
            <w:rPr>
              <w:rFonts w:eastAsia="Times New Roman"/>
              <w:caps w:val="false"/>
              <w:smallCaps w:val="false"/>
              <w:sz w:val="18"/>
              <w:szCs w:val="18"/>
              <w:lang w:val="en-US" w:eastAsia="en-US"/>
            </w:rPr>
            <w:tab/>
          </w:r>
          <w:r>
            <w:rPr>
              <w:sz w:val="18"/>
              <w:szCs w:val="18"/>
            </w:rPr>
            <w:t>Disclosure of information</w:t>
            <w:tab/>
          </w:r>
          <w:hyperlink w:anchor="__RefHeading___Toc153767093">
            <w:r>
              <w:rPr>
                <w:rStyle w:val="IndexLink"/>
                <w:sz w:val="18"/>
                <w:szCs w:val="18"/>
              </w:rPr>
              <w:t>13</w:t>
            </w:r>
          </w:hyperlink>
        </w:p>
        <w:p>
          <w:pPr>
            <w:pStyle w:val="TOC2"/>
            <w:rPr>
              <w:rFonts w:eastAsia="Times New Roman"/>
              <w:caps w:val="false"/>
              <w:smallCaps w:val="false"/>
              <w:sz w:val="18"/>
              <w:szCs w:val="18"/>
              <w:lang w:val="en-US" w:eastAsia="en-US"/>
            </w:rPr>
          </w:pPr>
          <w:r>
            <w:rPr>
              <w:sz w:val="18"/>
              <w:szCs w:val="18"/>
            </w:rPr>
            <w:t>4.5</w:t>
          </w:r>
          <w:r>
            <w:rPr>
              <w:rFonts w:eastAsia="Times New Roman"/>
              <w:caps w:val="false"/>
              <w:smallCaps w:val="false"/>
              <w:sz w:val="18"/>
              <w:szCs w:val="18"/>
              <w:lang w:val="en-US" w:eastAsia="en-US"/>
            </w:rPr>
            <w:tab/>
          </w:r>
          <w:r>
            <w:rPr>
              <w:sz w:val="18"/>
              <w:szCs w:val="18"/>
            </w:rPr>
            <w:t>PST Member indemnities</w:t>
            <w:tab/>
          </w:r>
          <w:hyperlink w:anchor="__RefHeading___Toc153767094">
            <w:r>
              <w:rPr>
                <w:rStyle w:val="IndexLink"/>
                <w:sz w:val="18"/>
                <w:szCs w:val="18"/>
              </w:rPr>
              <w:t>13</w:t>
            </w:r>
          </w:hyperlink>
        </w:p>
        <w:p>
          <w:pPr>
            <w:pStyle w:val="TOC1"/>
            <w:rPr>
              <w:rFonts w:eastAsia="Times New Roman"/>
              <w:caps w:val="false"/>
              <w:smallCaps w:val="false"/>
              <w:sz w:val="18"/>
              <w:szCs w:val="18"/>
              <w:lang w:val="en-US" w:eastAsia="en-US"/>
            </w:rPr>
          </w:pPr>
          <w:r>
            <w:rPr>
              <w:caps w:val="false"/>
              <w:smallCaps w:val="false"/>
              <w:sz w:val="18"/>
              <w:szCs w:val="18"/>
              <w:lang w:val="en-US" w:eastAsia="en-US"/>
            </w:rPr>
            <w:t>5.</w:t>
          </w:r>
          <w:r>
            <w:rPr>
              <w:rFonts w:eastAsia="Times New Roman"/>
              <w:caps w:val="false"/>
              <w:smallCaps w:val="false"/>
              <w:sz w:val="18"/>
              <w:szCs w:val="18"/>
              <w:lang w:val="en-US" w:eastAsia="en-US"/>
            </w:rPr>
            <w:tab/>
          </w:r>
          <w:r>
            <w:rPr>
              <w:sz w:val="18"/>
              <w:szCs w:val="18"/>
              <w:lang w:val="en-US" w:eastAsia="en-US"/>
            </w:rPr>
            <w:t>PERSONNEL and contractors</w:t>
            <w:tab/>
          </w:r>
          <w:hyperlink w:anchor="__RefHeading___Toc153767095">
            <w:r>
              <w:rPr>
                <w:rStyle w:val="IndexLink"/>
                <w:sz w:val="18"/>
                <w:szCs w:val="18"/>
                <w:lang w:val="en-US" w:eastAsia="en-US"/>
              </w:rPr>
              <w:t>13</w:t>
            </w:r>
          </w:hyperlink>
        </w:p>
        <w:p>
          <w:pPr>
            <w:pStyle w:val="TOC2"/>
            <w:rPr>
              <w:rFonts w:eastAsia="Times New Roman"/>
              <w:caps w:val="false"/>
              <w:smallCaps w:val="false"/>
              <w:sz w:val="18"/>
              <w:szCs w:val="18"/>
              <w:lang w:val="en-US" w:eastAsia="en-US"/>
            </w:rPr>
          </w:pPr>
          <w:r>
            <w:rPr>
              <w:sz w:val="18"/>
              <w:szCs w:val="18"/>
            </w:rPr>
            <w:t>5.1</w:t>
          </w:r>
          <w:r>
            <w:rPr>
              <w:rFonts w:eastAsia="Times New Roman"/>
              <w:caps w:val="false"/>
              <w:smallCaps w:val="false"/>
              <w:sz w:val="18"/>
              <w:szCs w:val="18"/>
              <w:lang w:val="en-US" w:eastAsia="en-US"/>
            </w:rPr>
            <w:tab/>
          </w:r>
          <w:r>
            <w:rPr>
              <w:sz w:val="18"/>
              <w:szCs w:val="18"/>
            </w:rPr>
            <w:t>Affected Contractors</w:t>
            <w:tab/>
          </w:r>
          <w:hyperlink w:anchor="__RefHeading___Toc153767096">
            <w:r>
              <w:rPr>
                <w:rStyle w:val="IndexLink"/>
                <w:sz w:val="18"/>
                <w:szCs w:val="18"/>
              </w:rPr>
              <w:t>13</w:t>
            </w:r>
          </w:hyperlink>
        </w:p>
        <w:p>
          <w:pPr>
            <w:pStyle w:val="TOC2"/>
            <w:rPr>
              <w:rFonts w:eastAsia="Times New Roman"/>
              <w:caps w:val="false"/>
              <w:smallCaps w:val="false"/>
              <w:sz w:val="18"/>
              <w:szCs w:val="18"/>
              <w:lang w:val="en-US" w:eastAsia="en-US"/>
            </w:rPr>
          </w:pPr>
          <w:r>
            <w:rPr>
              <w:sz w:val="18"/>
              <w:szCs w:val="18"/>
            </w:rPr>
            <w:t>5.2</w:t>
          </w:r>
          <w:r>
            <w:rPr>
              <w:rFonts w:eastAsia="Times New Roman"/>
              <w:caps w:val="false"/>
              <w:smallCaps w:val="false"/>
              <w:sz w:val="18"/>
              <w:szCs w:val="18"/>
              <w:lang w:val="en-US" w:eastAsia="en-US"/>
            </w:rPr>
            <w:tab/>
          </w:r>
          <w:r>
            <w:rPr>
              <w:sz w:val="18"/>
              <w:szCs w:val="18"/>
            </w:rPr>
            <w:t>Staffing projections</w:t>
            <w:tab/>
          </w:r>
          <w:hyperlink w:anchor="__RefHeading___Toc153767097">
            <w:r>
              <w:rPr>
                <w:rStyle w:val="IndexLink"/>
                <w:sz w:val="18"/>
                <w:szCs w:val="18"/>
              </w:rPr>
              <w:t>14</w:t>
            </w:r>
          </w:hyperlink>
        </w:p>
        <w:p>
          <w:pPr>
            <w:pStyle w:val="TOC2"/>
            <w:rPr>
              <w:rFonts w:eastAsia="Times New Roman"/>
              <w:caps w:val="false"/>
              <w:smallCaps w:val="false"/>
              <w:sz w:val="18"/>
              <w:szCs w:val="18"/>
              <w:lang w:val="en-US" w:eastAsia="en-US"/>
            </w:rPr>
          </w:pPr>
          <w:r>
            <w:rPr>
              <w:sz w:val="18"/>
              <w:szCs w:val="18"/>
            </w:rPr>
            <w:t>5.3</w:t>
          </w:r>
          <w:r>
            <w:rPr>
              <w:rFonts w:eastAsia="Times New Roman"/>
              <w:caps w:val="false"/>
              <w:smallCaps w:val="false"/>
              <w:sz w:val="18"/>
              <w:szCs w:val="18"/>
              <w:lang w:val="en-US" w:eastAsia="en-US"/>
            </w:rPr>
            <w:tab/>
          </w:r>
          <w:r>
            <w:rPr>
              <w:sz w:val="18"/>
              <w:szCs w:val="18"/>
            </w:rPr>
            <w:t>Use and compliance of PST Member Personnel</w:t>
            <w:tab/>
          </w:r>
          <w:hyperlink w:anchor="__RefHeading___Toc153767098">
            <w:r>
              <w:rPr>
                <w:rStyle w:val="IndexLink"/>
                <w:sz w:val="18"/>
                <w:szCs w:val="18"/>
              </w:rPr>
              <w:t>14</w:t>
            </w:r>
          </w:hyperlink>
        </w:p>
        <w:p>
          <w:pPr>
            <w:pStyle w:val="TOC2"/>
            <w:rPr>
              <w:rFonts w:eastAsia="Times New Roman"/>
              <w:caps w:val="false"/>
              <w:smallCaps w:val="false"/>
              <w:sz w:val="18"/>
              <w:szCs w:val="18"/>
              <w:lang w:val="en-US" w:eastAsia="en-US"/>
            </w:rPr>
          </w:pPr>
          <w:r>
            <w:rPr>
              <w:sz w:val="18"/>
              <w:szCs w:val="18"/>
            </w:rPr>
            <w:t>5.4</w:t>
          </w:r>
          <w:r>
            <w:rPr>
              <w:rFonts w:eastAsia="Times New Roman"/>
              <w:caps w:val="false"/>
              <w:smallCaps w:val="false"/>
              <w:sz w:val="18"/>
              <w:szCs w:val="18"/>
              <w:lang w:val="en-US" w:eastAsia="en-US"/>
            </w:rPr>
            <w:tab/>
          </w:r>
          <w:r>
            <w:rPr>
              <w:sz w:val="18"/>
              <w:szCs w:val="18"/>
            </w:rPr>
            <w:t>Turnover of PST Supplier Personnel</w:t>
            <w:tab/>
          </w:r>
          <w:hyperlink w:anchor="__RefHeading___Toc153767099">
            <w:r>
              <w:rPr>
                <w:rStyle w:val="IndexLink"/>
                <w:sz w:val="18"/>
                <w:szCs w:val="18"/>
              </w:rPr>
              <w:t>15</w:t>
            </w:r>
          </w:hyperlink>
        </w:p>
        <w:p>
          <w:pPr>
            <w:pStyle w:val="TOC2"/>
            <w:rPr>
              <w:rFonts w:eastAsia="Times New Roman"/>
              <w:caps w:val="false"/>
              <w:smallCaps w:val="false"/>
              <w:sz w:val="18"/>
              <w:szCs w:val="18"/>
              <w:lang w:val="en-US" w:eastAsia="en-US"/>
            </w:rPr>
          </w:pPr>
          <w:r>
            <w:rPr>
              <w:sz w:val="18"/>
              <w:szCs w:val="18"/>
            </w:rPr>
            <w:t>5.5</w:t>
          </w:r>
          <w:r>
            <w:rPr>
              <w:rFonts w:eastAsia="Times New Roman"/>
              <w:caps w:val="false"/>
              <w:smallCaps w:val="false"/>
              <w:sz w:val="18"/>
              <w:szCs w:val="18"/>
              <w:lang w:val="en-US" w:eastAsia="en-US"/>
            </w:rPr>
            <w:tab/>
          </w:r>
          <w:r>
            <w:rPr>
              <w:sz w:val="18"/>
              <w:szCs w:val="18"/>
            </w:rPr>
            <w:t>Access of PST Member Personnel</w:t>
            <w:tab/>
          </w:r>
          <w:hyperlink w:anchor="__RefHeading___Toc153767100">
            <w:r>
              <w:rPr>
                <w:rStyle w:val="IndexLink"/>
                <w:sz w:val="18"/>
                <w:szCs w:val="18"/>
              </w:rPr>
              <w:t>15</w:t>
            </w:r>
          </w:hyperlink>
        </w:p>
        <w:p>
          <w:pPr>
            <w:pStyle w:val="TOC2"/>
            <w:rPr>
              <w:rFonts w:eastAsia="Times New Roman"/>
              <w:caps w:val="false"/>
              <w:smallCaps w:val="false"/>
              <w:sz w:val="18"/>
              <w:szCs w:val="18"/>
              <w:lang w:val="en-US" w:eastAsia="en-US"/>
            </w:rPr>
          </w:pPr>
          <w:r>
            <w:rPr>
              <w:sz w:val="18"/>
              <w:szCs w:val="18"/>
            </w:rPr>
            <w:t>5.6</w:t>
          </w:r>
          <w:r>
            <w:rPr>
              <w:rFonts w:eastAsia="Times New Roman"/>
              <w:caps w:val="false"/>
              <w:smallCaps w:val="false"/>
              <w:sz w:val="18"/>
              <w:szCs w:val="18"/>
              <w:lang w:val="en-US" w:eastAsia="en-US"/>
            </w:rPr>
            <w:tab/>
          </w:r>
          <w:r>
            <w:rPr>
              <w:sz w:val="18"/>
              <w:szCs w:val="18"/>
            </w:rPr>
            <w:t>Replacement of PST Member Personnel</w:t>
            <w:tab/>
          </w:r>
          <w:hyperlink w:anchor="__RefHeading___Toc153767101">
            <w:r>
              <w:rPr>
                <w:rStyle w:val="IndexLink"/>
                <w:sz w:val="18"/>
                <w:szCs w:val="18"/>
              </w:rPr>
              <w:t>15</w:t>
            </w:r>
          </w:hyperlink>
        </w:p>
        <w:p>
          <w:pPr>
            <w:pStyle w:val="TOC2"/>
            <w:rPr>
              <w:rFonts w:eastAsia="Times New Roman"/>
              <w:caps w:val="false"/>
              <w:smallCaps w:val="false"/>
              <w:sz w:val="18"/>
              <w:szCs w:val="18"/>
              <w:lang w:val="en-US" w:eastAsia="en-US"/>
            </w:rPr>
          </w:pPr>
          <w:r>
            <w:rPr>
              <w:sz w:val="18"/>
              <w:szCs w:val="18"/>
            </w:rPr>
            <w:t>5.7</w:t>
          </w:r>
          <w:r>
            <w:rPr>
              <w:rFonts w:eastAsia="Times New Roman"/>
              <w:caps w:val="false"/>
              <w:smallCaps w:val="false"/>
              <w:sz w:val="18"/>
              <w:szCs w:val="18"/>
              <w:lang w:val="en-US" w:eastAsia="en-US"/>
            </w:rPr>
            <w:tab/>
          </w:r>
          <w:r>
            <w:rPr>
              <w:sz w:val="18"/>
              <w:szCs w:val="18"/>
            </w:rPr>
            <w:t>Training of PST Member Personnel</w:t>
            <w:tab/>
          </w:r>
          <w:hyperlink w:anchor="__RefHeading___Toc153767102">
            <w:r>
              <w:rPr>
                <w:rStyle w:val="IndexLink"/>
                <w:sz w:val="18"/>
                <w:szCs w:val="18"/>
              </w:rPr>
              <w:t>16</w:t>
            </w:r>
          </w:hyperlink>
        </w:p>
        <w:p>
          <w:pPr>
            <w:pStyle w:val="TOC2"/>
            <w:rPr>
              <w:rFonts w:eastAsia="Times New Roman"/>
              <w:caps w:val="false"/>
              <w:smallCaps w:val="false"/>
              <w:sz w:val="18"/>
              <w:szCs w:val="18"/>
              <w:lang w:val="en-US" w:eastAsia="en-US"/>
            </w:rPr>
          </w:pPr>
          <w:r>
            <w:rPr>
              <w:bCs/>
              <w:sz w:val="18"/>
              <w:szCs w:val="18"/>
            </w:rPr>
            <w:t>5.8</w:t>
          </w:r>
          <w:r>
            <w:rPr>
              <w:rFonts w:eastAsia="Times New Roman"/>
              <w:caps w:val="false"/>
              <w:smallCaps w:val="false"/>
              <w:sz w:val="18"/>
              <w:szCs w:val="18"/>
              <w:lang w:val="en-US" w:eastAsia="en-US"/>
            </w:rPr>
            <w:tab/>
          </w:r>
          <w:r>
            <w:rPr>
              <w:bCs/>
              <w:sz w:val="18"/>
              <w:szCs w:val="18"/>
            </w:rPr>
            <w:t>Provision of information by the PST Member</w:t>
          </w:r>
          <w:r>
            <w:rPr>
              <w:sz w:val="18"/>
              <w:szCs w:val="18"/>
            </w:rPr>
            <w:tab/>
          </w:r>
          <w:hyperlink w:anchor="__RefHeading___Toc153767103">
            <w:r>
              <w:rPr>
                <w:rStyle w:val="IndexLink"/>
                <w:sz w:val="18"/>
                <w:szCs w:val="18"/>
              </w:rPr>
              <w:t>16</w:t>
            </w:r>
          </w:hyperlink>
        </w:p>
        <w:p>
          <w:pPr>
            <w:pStyle w:val="TOC2"/>
            <w:rPr>
              <w:rFonts w:eastAsia="Times New Roman"/>
              <w:caps w:val="false"/>
              <w:smallCaps w:val="false"/>
              <w:sz w:val="18"/>
              <w:szCs w:val="18"/>
              <w:lang w:val="en-US" w:eastAsia="en-US"/>
            </w:rPr>
          </w:pPr>
          <w:r>
            <w:rPr>
              <w:sz w:val="18"/>
              <w:szCs w:val="18"/>
            </w:rPr>
            <w:t>5.9</w:t>
          </w:r>
          <w:r>
            <w:rPr>
              <w:rFonts w:eastAsia="Times New Roman"/>
              <w:caps w:val="false"/>
              <w:smallCaps w:val="false"/>
              <w:sz w:val="18"/>
              <w:szCs w:val="18"/>
              <w:lang w:val="en-US" w:eastAsia="en-US"/>
            </w:rPr>
            <w:tab/>
          </w:r>
          <w:r>
            <w:rPr>
              <w:sz w:val="18"/>
              <w:szCs w:val="18"/>
            </w:rPr>
            <w:t>Restrictive covenants</w:t>
            <w:tab/>
          </w:r>
          <w:hyperlink w:anchor="__RefHeading___Toc153767104">
            <w:r>
              <w:rPr>
                <w:rStyle w:val="IndexLink"/>
                <w:sz w:val="18"/>
                <w:szCs w:val="18"/>
              </w:rPr>
              <w:t>16</w:t>
            </w:r>
          </w:hyperlink>
        </w:p>
        <w:p>
          <w:pPr>
            <w:pStyle w:val="TOC1"/>
            <w:rPr>
              <w:rFonts w:eastAsia="Times New Roman"/>
              <w:caps w:val="false"/>
              <w:smallCaps w:val="false"/>
              <w:sz w:val="18"/>
              <w:szCs w:val="18"/>
              <w:lang w:val="en-US" w:eastAsia="en-US"/>
            </w:rPr>
          </w:pPr>
          <w:r>
            <w:rPr>
              <w:caps w:val="false"/>
              <w:smallCaps w:val="false"/>
              <w:sz w:val="18"/>
              <w:szCs w:val="18"/>
              <w:lang w:val="fr-FR" w:eastAsia="en-US"/>
            </w:rPr>
            <w:t>6.</w:t>
          </w:r>
          <w:r>
            <w:rPr>
              <w:rFonts w:eastAsia="Times New Roman"/>
              <w:caps w:val="false"/>
              <w:smallCaps w:val="false"/>
              <w:sz w:val="18"/>
              <w:szCs w:val="18"/>
              <w:lang w:val="en-US" w:eastAsia="en-US"/>
            </w:rPr>
            <w:tab/>
          </w:r>
          <w:r>
            <w:rPr>
              <w:sz w:val="18"/>
              <w:szCs w:val="18"/>
              <w:lang w:val="fr-FR" w:eastAsia="en-US"/>
            </w:rPr>
            <w:t>PARTIES' OBLIGATIONS ON TERMINATION</w:t>
          </w:r>
          <w:r>
            <w:rPr>
              <w:sz w:val="18"/>
              <w:szCs w:val="18"/>
              <w:lang w:val="en-US" w:eastAsia="en-US"/>
            </w:rPr>
            <w:tab/>
          </w:r>
          <w:hyperlink w:anchor="__RefHeading___Toc153767105">
            <w:r>
              <w:rPr>
                <w:rStyle w:val="IndexLink"/>
                <w:sz w:val="18"/>
                <w:szCs w:val="18"/>
                <w:lang w:val="en-US" w:eastAsia="en-US"/>
              </w:rPr>
              <w:t>17</w:t>
            </w:r>
          </w:hyperlink>
        </w:p>
        <w:p>
          <w:pPr>
            <w:pStyle w:val="TOC2"/>
            <w:rPr>
              <w:rFonts w:eastAsia="Times New Roman"/>
              <w:caps w:val="false"/>
              <w:smallCaps w:val="false"/>
              <w:sz w:val="18"/>
              <w:szCs w:val="18"/>
              <w:lang w:val="en-US" w:eastAsia="en-US"/>
            </w:rPr>
          </w:pPr>
          <w:r>
            <w:rPr>
              <w:sz w:val="18"/>
              <w:szCs w:val="18"/>
            </w:rPr>
            <w:t>6.1</w:t>
          </w:r>
          <w:r>
            <w:rPr>
              <w:rFonts w:eastAsia="Times New Roman"/>
              <w:caps w:val="false"/>
              <w:smallCaps w:val="false"/>
              <w:sz w:val="18"/>
              <w:szCs w:val="18"/>
              <w:lang w:val="en-US" w:eastAsia="en-US"/>
            </w:rPr>
            <w:tab/>
          </w:r>
          <w:r>
            <w:rPr>
              <w:sz w:val="18"/>
              <w:szCs w:val="18"/>
            </w:rPr>
            <w:t>Re-Transfer Employees</w:t>
            <w:tab/>
          </w:r>
          <w:hyperlink w:anchor="__RefHeading___Toc153767106">
            <w:r>
              <w:rPr>
                <w:rStyle w:val="IndexLink"/>
                <w:sz w:val="18"/>
                <w:szCs w:val="18"/>
              </w:rPr>
              <w:t>17</w:t>
            </w:r>
          </w:hyperlink>
        </w:p>
        <w:p>
          <w:pPr>
            <w:pStyle w:val="TOC2"/>
            <w:rPr>
              <w:rFonts w:eastAsia="Times New Roman"/>
              <w:caps w:val="false"/>
              <w:smallCaps w:val="false"/>
              <w:sz w:val="18"/>
              <w:szCs w:val="18"/>
              <w:lang w:val="en-US" w:eastAsia="en-US"/>
            </w:rPr>
          </w:pPr>
          <w:r>
            <w:rPr>
              <w:sz w:val="18"/>
              <w:szCs w:val="18"/>
            </w:rPr>
            <w:t>6.2</w:t>
          </w:r>
          <w:r>
            <w:rPr>
              <w:rFonts w:eastAsia="Times New Roman"/>
              <w:caps w:val="false"/>
              <w:smallCaps w:val="false"/>
              <w:sz w:val="18"/>
              <w:szCs w:val="18"/>
              <w:lang w:val="en-US" w:eastAsia="en-US"/>
            </w:rPr>
            <w:tab/>
          </w:r>
          <w:r>
            <w:rPr>
              <w:sz w:val="18"/>
              <w:szCs w:val="18"/>
            </w:rPr>
            <w:t>Restrictions on the PST Member</w:t>
            <w:tab/>
          </w:r>
          <w:hyperlink w:anchor="__RefHeading___Toc153767107">
            <w:r>
              <w:rPr>
                <w:rStyle w:val="IndexLink"/>
                <w:sz w:val="18"/>
                <w:szCs w:val="18"/>
              </w:rPr>
              <w:t>17</w:t>
            </w:r>
          </w:hyperlink>
        </w:p>
        <w:p>
          <w:pPr>
            <w:pStyle w:val="TOC1"/>
            <w:rPr>
              <w:rFonts w:eastAsia="Times New Roman"/>
              <w:caps w:val="false"/>
              <w:smallCaps w:val="false"/>
              <w:sz w:val="18"/>
              <w:szCs w:val="18"/>
              <w:lang w:val="en-US" w:eastAsia="en-US"/>
            </w:rPr>
          </w:pPr>
          <w:r>
            <w:rPr>
              <w:caps w:val="false"/>
              <w:smallCaps w:val="false"/>
              <w:sz w:val="18"/>
              <w:szCs w:val="18"/>
              <w:lang w:val="en-US" w:eastAsia="en-US"/>
            </w:rPr>
            <w:t>7.</w:t>
          </w:r>
          <w:r>
            <w:rPr>
              <w:rFonts w:eastAsia="Times New Roman"/>
              <w:caps w:val="false"/>
              <w:smallCaps w:val="false"/>
              <w:sz w:val="18"/>
              <w:szCs w:val="18"/>
              <w:lang w:val="en-US" w:eastAsia="en-US"/>
            </w:rPr>
            <w:tab/>
          </w:r>
          <w:r>
            <w:rPr>
              <w:sz w:val="18"/>
              <w:szCs w:val="18"/>
              <w:lang w:val="en-US" w:eastAsia="en-US"/>
            </w:rPr>
            <w:t>INDEMNITIES ON TERMINATION</w:t>
            <w:tab/>
          </w:r>
          <w:hyperlink w:anchor="__RefHeading___Toc153767108">
            <w:r>
              <w:rPr>
                <w:rStyle w:val="IndexLink"/>
                <w:sz w:val="18"/>
                <w:szCs w:val="18"/>
                <w:lang w:val="en-US" w:eastAsia="en-US"/>
              </w:rPr>
              <w:t>18</w:t>
            </w:r>
          </w:hyperlink>
        </w:p>
        <w:p>
          <w:pPr>
            <w:pStyle w:val="TOC2"/>
            <w:rPr>
              <w:rFonts w:eastAsia="Times New Roman"/>
              <w:caps w:val="false"/>
              <w:smallCaps w:val="false"/>
              <w:sz w:val="18"/>
              <w:szCs w:val="18"/>
              <w:lang w:val="en-US" w:eastAsia="en-US"/>
            </w:rPr>
          </w:pPr>
          <w:r>
            <w:rPr>
              <w:sz w:val="18"/>
              <w:szCs w:val="18"/>
            </w:rPr>
            <w:t>7.1</w:t>
          </w:r>
          <w:r>
            <w:rPr>
              <w:rFonts w:eastAsia="Times New Roman"/>
              <w:caps w:val="false"/>
              <w:smallCaps w:val="false"/>
              <w:sz w:val="18"/>
              <w:szCs w:val="18"/>
              <w:lang w:val="en-US" w:eastAsia="en-US"/>
            </w:rPr>
            <w:tab/>
          </w:r>
          <w:r>
            <w:rPr>
              <w:sz w:val="18"/>
              <w:szCs w:val="18"/>
            </w:rPr>
            <w:t>PST Member confirmations and indemnities</w:t>
            <w:tab/>
          </w:r>
          <w:hyperlink w:anchor="__RefHeading___Toc153767109">
            <w:r>
              <w:rPr>
                <w:rStyle w:val="IndexLink"/>
                <w:sz w:val="18"/>
                <w:szCs w:val="18"/>
              </w:rPr>
              <w:t>18</w:t>
            </w:r>
          </w:hyperlink>
        </w:p>
        <w:p>
          <w:pPr>
            <w:pStyle w:val="TOC2"/>
            <w:tabs>
              <w:tab w:val="left" w:pos="357" w:leader="none"/>
              <w:tab w:val="left" w:pos="720" w:leader="none"/>
              <w:tab w:val="left" w:pos="2741" w:leader="none"/>
              <w:tab w:val="right" w:pos="8307" w:leader="dot"/>
            </w:tabs>
            <w:rPr>
              <w:rFonts w:eastAsia="Times New Roman"/>
              <w:caps w:val="false"/>
              <w:smallCaps w:val="false"/>
              <w:sz w:val="18"/>
              <w:szCs w:val="18"/>
              <w:lang w:val="en-US" w:eastAsia="en-US"/>
            </w:rPr>
          </w:pPr>
          <w:r>
            <w:rPr>
              <w:sz w:val="18"/>
              <w:szCs w:val="18"/>
            </w:rPr>
            <w:t>ATTACHMENT 5-A:</w:t>
          </w:r>
          <w:r>
            <w:rPr>
              <w:rFonts w:eastAsia="Times New Roman"/>
              <w:caps w:val="false"/>
              <w:smallCaps w:val="false"/>
              <w:sz w:val="18"/>
              <w:szCs w:val="18"/>
              <w:lang w:val="en-US" w:eastAsia="en-US"/>
            </w:rPr>
            <w:tab/>
          </w:r>
          <w:r>
            <w:rPr>
              <w:sz w:val="18"/>
              <w:szCs w:val="18"/>
            </w:rPr>
            <w:t xml:space="preserve"> LIST OF AFFECTED EMPLOYEES</w:t>
            <w:tab/>
          </w:r>
          <w:hyperlink w:anchor="__RefHeading___Toc153767110">
            <w:r>
              <w:rPr>
                <w:rStyle w:val="IndexLink"/>
                <w:sz w:val="18"/>
                <w:szCs w:val="18"/>
              </w:rPr>
              <w:t>20</w:t>
            </w:r>
          </w:hyperlink>
        </w:p>
        <w:p>
          <w:pPr>
            <w:pStyle w:val="TOC2"/>
            <w:tabs>
              <w:tab w:val="left" w:pos="357" w:leader="none"/>
              <w:tab w:val="left" w:pos="720" w:leader="none"/>
              <w:tab w:val="left" w:pos="2741" w:leader="none"/>
              <w:tab w:val="right" w:pos="8307" w:leader="dot"/>
            </w:tabs>
            <w:rPr>
              <w:rFonts w:eastAsia="Times New Roman"/>
              <w:caps w:val="false"/>
              <w:smallCaps w:val="false"/>
              <w:sz w:val="18"/>
              <w:szCs w:val="18"/>
              <w:lang w:val="en-US" w:eastAsia="en-US"/>
            </w:rPr>
          </w:pPr>
          <w:r>
            <w:rPr>
              <w:sz w:val="18"/>
              <w:szCs w:val="18"/>
            </w:rPr>
            <w:t>ATTACHMENT 5-A:</w:t>
          </w:r>
          <w:r>
            <w:rPr>
              <w:rFonts w:eastAsia="Times New Roman"/>
              <w:caps w:val="false"/>
              <w:smallCaps w:val="false"/>
              <w:sz w:val="18"/>
              <w:szCs w:val="18"/>
              <w:lang w:val="en-US" w:eastAsia="en-US"/>
            </w:rPr>
            <w:tab/>
          </w:r>
          <w:r>
            <w:rPr>
              <w:sz w:val="18"/>
              <w:szCs w:val="18"/>
            </w:rPr>
            <w:t xml:space="preserve"> LIST OF AFFECTED EMPLOYEES</w:t>
            <w:tab/>
          </w:r>
          <w:hyperlink w:anchor="__RefHeading___Toc153767111">
            <w:r>
              <w:rPr>
                <w:rStyle w:val="IndexLink"/>
                <w:sz w:val="18"/>
                <w:szCs w:val="18"/>
              </w:rPr>
              <w:t>20</w:t>
            </w:r>
          </w:hyperlink>
        </w:p>
        <w:p>
          <w:pPr>
            <w:pStyle w:val="TOC2"/>
            <w:tabs>
              <w:tab w:val="left" w:pos="357" w:leader="none"/>
              <w:tab w:val="left" w:pos="720" w:leader="none"/>
              <w:tab w:val="left" w:pos="2727" w:leader="none"/>
              <w:tab w:val="right" w:pos="8307" w:leader="dot"/>
            </w:tabs>
            <w:rPr>
              <w:rFonts w:eastAsia="Times New Roman"/>
              <w:caps w:val="false"/>
              <w:smallCaps w:val="false"/>
              <w:sz w:val="18"/>
              <w:szCs w:val="18"/>
              <w:lang w:val="en-US" w:eastAsia="en-US"/>
            </w:rPr>
          </w:pPr>
          <w:r>
            <w:rPr>
              <w:sz w:val="18"/>
              <w:szCs w:val="18"/>
            </w:rPr>
            <w:t>ATTACHMENT 5-B:</w:t>
          </w:r>
          <w:r>
            <w:rPr>
              <w:rFonts w:eastAsia="Times New Roman"/>
              <w:caps w:val="false"/>
              <w:smallCaps w:val="false"/>
              <w:sz w:val="18"/>
              <w:szCs w:val="18"/>
              <w:lang w:val="en-US" w:eastAsia="en-US"/>
            </w:rPr>
            <w:tab/>
          </w:r>
          <w:r>
            <w:rPr>
              <w:sz w:val="18"/>
              <w:szCs w:val="18"/>
            </w:rPr>
            <w:t xml:space="preserve"> CONFIDENTIALITY AGREEMENT</w:t>
            <w:tab/>
          </w:r>
          <w:hyperlink w:anchor="__RefHeading___Toc153767112">
            <w:r>
              <w:rPr>
                <w:rStyle w:val="IndexLink"/>
                <w:sz w:val="18"/>
                <w:szCs w:val="18"/>
              </w:rPr>
              <w:t>21</w:t>
            </w:r>
          </w:hyperlink>
        </w:p>
        <w:p>
          <w:pPr>
            <w:pStyle w:val="TOC2"/>
            <w:tabs>
              <w:tab w:val="left" w:pos="357" w:leader="none"/>
              <w:tab w:val="left" w:pos="720" w:leader="none"/>
              <w:tab w:val="left" w:pos="2741" w:leader="none"/>
              <w:tab w:val="right" w:pos="8307" w:leader="dot"/>
            </w:tabs>
            <w:rPr>
              <w:rFonts w:eastAsia="Times New Roman"/>
              <w:caps w:val="false"/>
              <w:smallCaps w:val="false"/>
              <w:sz w:val="18"/>
              <w:szCs w:val="18"/>
              <w:lang w:val="en-US" w:eastAsia="en-US"/>
            </w:rPr>
          </w:pPr>
          <w:r>
            <w:rPr>
              <w:sz w:val="18"/>
              <w:szCs w:val="18"/>
            </w:rPr>
            <w:t>ATTACHMENT 5-D:</w:t>
          </w:r>
          <w:r>
            <w:rPr>
              <w:rFonts w:eastAsia="Times New Roman"/>
              <w:caps w:val="false"/>
              <w:smallCaps w:val="false"/>
              <w:sz w:val="18"/>
              <w:szCs w:val="18"/>
              <w:lang w:val="en-US" w:eastAsia="en-US"/>
            </w:rPr>
            <w:tab/>
          </w:r>
          <w:r>
            <w:rPr>
              <w:sz w:val="18"/>
              <w:szCs w:val="18"/>
            </w:rPr>
            <w:t xml:space="preserve"> KEY PST PERSONNEL</w:t>
            <w:tab/>
          </w:r>
          <w:hyperlink w:anchor="__RefHeading___Toc153767113">
            <w:r>
              <w:rPr>
                <w:rStyle w:val="IndexLink"/>
                <w:sz w:val="18"/>
                <w:szCs w:val="18"/>
              </w:rPr>
              <w:t>22</w:t>
            </w:r>
          </w:hyperlink>
        </w:p>
        <w:p>
          <w:pPr>
            <w:pStyle w:val="TOC2"/>
            <w:tabs>
              <w:tab w:val="left" w:pos="357" w:leader="none"/>
              <w:tab w:val="left" w:pos="720" w:leader="none"/>
              <w:tab w:val="left" w:pos="2714" w:leader="none"/>
              <w:tab w:val="right" w:pos="8307" w:leader="dot"/>
            </w:tabs>
            <w:rPr>
              <w:rFonts w:eastAsia="Times New Roman"/>
              <w:caps w:val="false"/>
              <w:smallCaps w:val="false"/>
              <w:sz w:val="18"/>
              <w:szCs w:val="18"/>
              <w:lang w:val="en-US" w:eastAsia="en-US"/>
            </w:rPr>
          </w:pPr>
          <w:r>
            <w:rPr>
              <w:sz w:val="18"/>
              <w:szCs w:val="18"/>
            </w:rPr>
            <w:t>ATTACHMENT 5-E:</w:t>
          </w:r>
          <w:r>
            <w:rPr>
              <w:rFonts w:eastAsia="Times New Roman"/>
              <w:caps w:val="false"/>
              <w:smallCaps w:val="false"/>
              <w:sz w:val="18"/>
              <w:szCs w:val="18"/>
              <w:lang w:val="en-US" w:eastAsia="en-US"/>
            </w:rPr>
            <w:tab/>
          </w:r>
          <w:r>
            <w:rPr>
              <w:sz w:val="18"/>
              <w:szCs w:val="18"/>
            </w:rPr>
            <w:t xml:space="preserve"> PENSIONS</w:t>
            <w:tab/>
          </w:r>
          <w:hyperlink w:anchor="__RefHeading___Toc153767114">
            <w:r>
              <w:rPr>
                <w:rStyle w:val="IndexLink"/>
                <w:sz w:val="18"/>
                <w:szCs w:val="18"/>
              </w:rPr>
              <w:t>23</w:t>
            </w:r>
          </w:hyperlink>
        </w:p>
        <w:p>
          <w:pPr>
            <w:pStyle w:val="TOC2"/>
            <w:tabs>
              <w:tab w:val="left" w:pos="357" w:leader="none"/>
              <w:tab w:val="left" w:pos="720" w:leader="none"/>
              <w:tab w:val="left" w:pos="2701" w:leader="none"/>
              <w:tab w:val="right" w:pos="8307" w:leader="dot"/>
            </w:tabs>
            <w:rPr>
              <w:rFonts w:eastAsia="Times New Roman"/>
              <w:sz w:val="18"/>
              <w:szCs w:val="18"/>
              <w:lang w:val="en-US" w:eastAsia="en-US"/>
            </w:rPr>
          </w:pPr>
          <w:r>
            <w:rPr>
              <w:caps w:val="false"/>
              <w:smallCaps w:val="false"/>
              <w:sz w:val="18"/>
              <w:szCs w:val="18"/>
            </w:rPr>
            <w:t>ATTACHMENT 5-F:</w:t>
          </w:r>
          <w:r>
            <w:rPr>
              <w:rFonts w:eastAsia="Times New Roman"/>
              <w:caps w:val="false"/>
              <w:smallCaps w:val="false"/>
              <w:sz w:val="18"/>
              <w:szCs w:val="18"/>
              <w:lang w:val="en-US" w:eastAsia="en-US"/>
            </w:rPr>
            <w:tab/>
          </w:r>
          <w:r>
            <w:rPr>
              <w:caps w:val="false"/>
              <w:smallCaps w:val="false"/>
              <w:sz w:val="18"/>
              <w:szCs w:val="18"/>
            </w:rPr>
            <w:t xml:space="preserve"> PERSONNEL PROJECTION MATRIX</w:t>
            <w:tab/>
          </w:r>
          <w:hyperlink w:anchor="__RefHeading___Toc153767115">
            <w:r>
              <w:rPr>
                <w:rStyle w:val="IndexLink"/>
                <w:caps w:val="false"/>
                <w:smallCaps w:val="false"/>
                <w:sz w:val="18"/>
                <w:szCs w:val="18"/>
              </w:rPr>
              <w:t>24</w:t>
            </w:r>
          </w:hyperlink>
          <w:r>
            <w:rPr>
              <w:rStyle w:val="IndexLink"/>
              <w:smallCaps w:val="false"/>
              <w:caps w:val="false"/>
              <w:sz w:val="18"/>
              <w:szCs w:val="18"/>
            </w:rPr>
            <w:fldChar w:fldCharType="end"/>
          </w:r>
        </w:p>
      </w:sdtContent>
    </w:sdt>
    <w:p>
      <w:pPr>
        <w:pStyle w:val="Normal"/>
        <w:tabs>
          <w:tab w:val="clear" w:pos="720"/>
          <w:tab w:val="left" w:pos="5580" w:leader="none"/>
        </w:tabs>
        <w:spacing w:lineRule="exact" w:line="300" w:before="0" w:after="240"/>
        <w:rPr>
          <w:rFonts w:eastAsia="Times New Roman"/>
          <w:caps/>
          <w:sz w:val="18"/>
          <w:szCs w:val="18"/>
          <w:lang w:val="en-US" w:eastAsia="en-US"/>
        </w:rPr>
      </w:pPr>
      <w:r>
        <w:rPr>
          <w:rFonts w:eastAsia="Times New Roman"/>
          <w:caps/>
          <w:sz w:val="18"/>
          <w:szCs w:val="18"/>
          <w:lang w:val="en-US" w:eastAsia="en-US"/>
        </w:rPr>
      </w:r>
    </w:p>
    <w:p>
      <w:pPr>
        <w:sectPr>
          <w:headerReference w:type="default" r:id="rId4"/>
          <w:headerReference w:type="first" r:id="rId5"/>
          <w:footerReference w:type="default" r:id="rId6"/>
          <w:footerReference w:type="first" r:id="rId7"/>
          <w:type w:val="nextPage"/>
          <w:pgSz w:w="11906" w:h="16838"/>
          <w:pgMar w:left="1797" w:right="1797" w:gutter="0" w:header="720" w:top="1440" w:footer="720" w:bottom="1797"/>
          <w:pgNumType w:start="1" w:fmt="lowerRoman"/>
          <w:formProt w:val="false"/>
          <w:textDirection w:val="lrTb"/>
          <w:docGrid w:type="default" w:linePitch="360" w:charSpace="0"/>
        </w:sectPr>
        <w:pStyle w:val="Normal"/>
        <w:tabs>
          <w:tab w:val="clear" w:pos="720"/>
          <w:tab w:val="left" w:pos="5580" w:leader="none"/>
        </w:tabs>
        <w:spacing w:lineRule="exact" w:line="300" w:before="0" w:after="240"/>
        <w:rPr>
          <w:sz w:val="22"/>
          <w:szCs w:val="22"/>
        </w:rPr>
      </w:pPr>
      <w:r>
        <w:rPr>
          <w:sz w:val="22"/>
          <w:szCs w:val="22"/>
        </w:rPr>
      </w:r>
    </w:p>
    <w:p>
      <w:pPr>
        <w:pStyle w:val="Normal"/>
        <w:tabs>
          <w:tab w:val="clear" w:pos="720"/>
          <w:tab w:val="left" w:pos="5580" w:leader="none"/>
        </w:tabs>
        <w:spacing w:lineRule="exact" w:line="300" w:before="0" w:after="240"/>
        <w:rPr>
          <w:sz w:val="22"/>
          <w:szCs w:val="22"/>
        </w:rPr>
      </w:pPr>
      <w:r>
        <w:rPr>
          <w:sz w:val="22"/>
          <w:szCs w:val="22"/>
        </w:rPr>
      </w:r>
    </w:p>
    <w:p>
      <w:pPr>
        <w:pStyle w:val="Normal"/>
        <w:jc w:val="center"/>
        <w:rPr>
          <w:b/>
          <w:bCs/>
          <w:sz w:val="22"/>
          <w:szCs w:val="22"/>
        </w:rPr>
      </w:pPr>
      <w:r>
        <w:rPr>
          <w:b/>
          <w:bCs/>
          <w:sz w:val="22"/>
          <w:szCs w:val="22"/>
        </w:rPr>
        <w:t>PART 1 – PERSONNEL TRANSFER</w:t>
      </w:r>
    </w:p>
    <w:p>
      <w:pPr>
        <w:pStyle w:val="Normal"/>
        <w:jc w:val="center"/>
        <w:rPr>
          <w:b/>
          <w:bCs/>
          <w:sz w:val="22"/>
          <w:szCs w:val="22"/>
        </w:rPr>
      </w:pPr>
      <w:r>
        <w:rPr>
          <w:b/>
          <w:bCs/>
          <w:sz w:val="22"/>
          <w:szCs w:val="22"/>
        </w:rPr>
      </w:r>
    </w:p>
    <w:p>
      <w:pPr>
        <w:pStyle w:val="FWOutL1"/>
        <w:numPr>
          <w:ilvl w:val="0"/>
          <w:numId w:val="0"/>
        </w:numPr>
        <w:ind w:firstLine="720" w:start="0" w:end="0"/>
        <w:rPr>
          <w:sz w:val="22"/>
          <w:szCs w:val="22"/>
        </w:rPr>
      </w:pPr>
      <w:bookmarkStart w:id="1" w:name="__RefHeading___Toc153767071"/>
      <w:bookmarkEnd w:id="1"/>
      <w:r>
        <w:rPr>
          <w:sz w:val="22"/>
          <w:szCs w:val="22"/>
        </w:rPr>
        <w:t>1</w:t>
        <w:tab/>
        <w:t>SUPPLIER OBLIGATIONS for AFFECTED EMPLOYEES</w:t>
      </w:r>
    </w:p>
    <w:p>
      <w:pPr>
        <w:pStyle w:val="Normal"/>
        <w:tabs>
          <w:tab w:val="clear" w:pos="720"/>
          <w:tab w:val="left" w:pos="5580" w:leader="none"/>
        </w:tabs>
        <w:spacing w:lineRule="exact" w:line="300" w:before="0" w:after="240"/>
        <w:rPr>
          <w:sz w:val="22"/>
          <w:szCs w:val="22"/>
        </w:rPr>
      </w:pPr>
      <w:r>
        <w:rPr>
          <w:sz w:val="22"/>
          <w:szCs w:val="22"/>
        </w:rPr>
      </w:r>
    </w:p>
    <w:p>
      <w:pPr>
        <w:pStyle w:val="FWOutL2"/>
        <w:numPr>
          <w:ilvl w:val="1"/>
          <w:numId w:val="11"/>
        </w:numPr>
        <w:ind w:hanging="0" w:start="0"/>
        <w:rPr>
          <w:sz w:val="22"/>
          <w:szCs w:val="22"/>
        </w:rPr>
      </w:pPr>
      <w:bookmarkStart w:id="2" w:name="__RefHeading___Toc153767072"/>
      <w:bookmarkEnd w:id="2"/>
      <w:r>
        <w:rPr>
          <w:sz w:val="22"/>
          <w:szCs w:val="22"/>
        </w:rPr>
        <w:t>Attachments</w:t>
      </w:r>
    </w:p>
    <w:p>
      <w:pPr>
        <w:pStyle w:val="Normal"/>
        <w:jc w:val="both"/>
        <w:rPr>
          <w:sz w:val="22"/>
          <w:szCs w:val="22"/>
        </w:rPr>
      </w:pPr>
      <w:r>
        <w:rPr>
          <w:sz w:val="22"/>
          <w:szCs w:val="22"/>
        </w:rPr>
        <w:t>The following Attachments are attached to this Exhibit and are hereby incorporated by reference:</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5-A: </w:t>
      </w:r>
      <w:r>
        <w:rPr>
          <w:i/>
          <w:sz w:val="22"/>
          <w:szCs w:val="22"/>
        </w:rPr>
        <w:t>List of Affected Employees</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5-B: </w:t>
      </w:r>
      <w:r>
        <w:rPr>
          <w:i/>
          <w:sz w:val="22"/>
          <w:szCs w:val="22"/>
        </w:rPr>
        <w:t>Confidentiality Agreement</w:t>
      </w:r>
      <w:r>
        <w:rPr>
          <w:sz w:val="22"/>
          <w:szCs w:val="22"/>
        </w:rPr>
        <w:t>.</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Attachment 5-C [Intentionally left blank]</w:t>
      </w:r>
    </w:p>
    <w:p>
      <w:pPr>
        <w:pStyle w:val="Normal"/>
        <w:ind w:start="360" w:end="0"/>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5-D: </w:t>
      </w:r>
      <w:r>
        <w:rPr>
          <w:i/>
          <w:sz w:val="22"/>
          <w:szCs w:val="22"/>
        </w:rPr>
        <w:t>Key PST Personnel</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5-E: </w:t>
      </w:r>
      <w:r>
        <w:rPr>
          <w:i/>
          <w:sz w:val="22"/>
          <w:szCs w:val="22"/>
        </w:rPr>
        <w:t>Pensions</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5-F: </w:t>
      </w:r>
      <w:r>
        <w:rPr>
          <w:i/>
          <w:sz w:val="22"/>
          <w:szCs w:val="22"/>
        </w:rPr>
        <w:t>Personnel Projection Matrix</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5-G: </w:t>
      </w:r>
      <w:r>
        <w:rPr>
          <w:i/>
          <w:sz w:val="22"/>
          <w:szCs w:val="22"/>
        </w:rPr>
        <w:t>Employment Protocol</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5-H: </w:t>
      </w:r>
      <w:r>
        <w:rPr>
          <w:i/>
          <w:sz w:val="22"/>
          <w:szCs w:val="22"/>
        </w:rPr>
        <w:t>Pre-Employment Screening</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Attachment 5-I:</w:t>
      </w:r>
      <w:r>
        <w:rPr>
          <w:i/>
          <w:sz w:val="22"/>
          <w:szCs w:val="22"/>
        </w:rPr>
        <w:t xml:space="preserve"> Sensitive Functions</w:t>
      </w:r>
    </w:p>
    <w:p>
      <w:pPr>
        <w:pStyle w:val="Normal"/>
        <w:jc w:val="both"/>
        <w:rPr>
          <w:sz w:val="22"/>
          <w:szCs w:val="22"/>
        </w:rPr>
      </w:pPr>
      <w:r>
        <w:rPr>
          <w:sz w:val="22"/>
          <w:szCs w:val="22"/>
        </w:rPr>
      </w:r>
    </w:p>
    <w:p>
      <w:pPr>
        <w:pStyle w:val="Normal"/>
        <w:numPr>
          <w:ilvl w:val="0"/>
          <w:numId w:val="10"/>
        </w:numPr>
        <w:jc w:val="both"/>
        <w:rPr>
          <w:sz w:val="22"/>
          <w:szCs w:val="22"/>
        </w:rPr>
      </w:pPr>
      <w:r>
        <w:rPr>
          <w:sz w:val="22"/>
          <w:szCs w:val="22"/>
        </w:rPr>
        <w:t xml:space="preserve">Attachment 5-J: </w:t>
      </w:r>
      <w:r>
        <w:rPr>
          <w:i/>
          <w:sz w:val="22"/>
          <w:szCs w:val="22"/>
        </w:rPr>
        <w:t>Harmonisation Costs</w:t>
      </w:r>
    </w:p>
    <w:p>
      <w:pPr>
        <w:pStyle w:val="Normal"/>
        <w:tabs>
          <w:tab w:val="clear" w:pos="720"/>
          <w:tab w:val="left" w:pos="5580" w:leader="none"/>
        </w:tabs>
        <w:spacing w:lineRule="exact" w:line="300" w:before="0" w:after="240"/>
        <w:rPr>
          <w:sz w:val="22"/>
          <w:szCs w:val="22"/>
        </w:rPr>
      </w:pPr>
      <w:r>
        <w:rPr>
          <w:sz w:val="22"/>
          <w:szCs w:val="22"/>
        </w:rPr>
      </w:r>
    </w:p>
    <w:p>
      <w:pPr>
        <w:pStyle w:val="FWOutL2"/>
        <w:numPr>
          <w:ilvl w:val="1"/>
          <w:numId w:val="11"/>
        </w:numPr>
        <w:ind w:hanging="0" w:start="0"/>
        <w:rPr>
          <w:sz w:val="22"/>
          <w:szCs w:val="22"/>
        </w:rPr>
      </w:pPr>
      <w:bookmarkStart w:id="3" w:name="__RefHeading___Toc153767073"/>
      <w:bookmarkEnd w:id="3"/>
      <w:r>
        <w:rPr>
          <w:sz w:val="22"/>
          <w:szCs w:val="22"/>
        </w:rPr>
        <w:t>Transfer of Affected Employees</w:t>
      </w:r>
    </w:p>
    <w:p>
      <w:pPr>
        <w:pStyle w:val="FWOutL3"/>
        <w:numPr>
          <w:ilvl w:val="2"/>
          <w:numId w:val="11"/>
        </w:numPr>
        <w:ind w:hanging="0" w:start="0" w:end="0"/>
        <w:rPr>
          <w:sz w:val="22"/>
          <w:szCs w:val="22"/>
        </w:rPr>
      </w:pPr>
      <w:r>
        <w:rPr>
          <w:sz w:val="22"/>
          <w:szCs w:val="22"/>
        </w:rPr>
        <w:t xml:space="preserve">In the Netherlands, the Affected Employees are employed by EuroBank Personeel VOF. EuroBank and the PST Suppliers declare that ARD is applicable to the transaction as contemplated in this MSA. In Belgium all local legislation has to be taken into account, including the Collective Labour Agreement Act of 5 December 1968 and the applicable sectoral and/or company Collective Labour Agreements (CAO-wet 5 december 1968 en de toepasselijke sectorale en/of bedrijfsCAO’s) and all corresponding regulations. </w:t>
      </w:r>
      <w:r>
        <w:rPr>
          <w:bCs/>
          <w:sz w:val="22"/>
          <w:szCs w:val="22"/>
        </w:rPr>
      </w:r>
      <w:r>
        <w:rPr>
          <w:sz w:val="22"/>
          <w:szCs w:val="22"/>
        </w:rPr>
      </w:r>
      <w:r>
        <w:rPr>
          <w:i/>
          <w:sz w:val="22"/>
          <w:szCs w:val="22"/>
        </w:rPr>
      </w:r>
      <w:r>
        <w:rPr>
          <w:sz w:val="22"/>
          <w:szCs w:val="22"/>
        </w:rPr>
      </w:r>
    </w:p>
    <w:p>
      <w:pPr>
        <w:pStyle w:val="FWOutL3"/>
        <w:numPr>
          <w:ilvl w:val="2"/>
          <w:numId w:val="11"/>
        </w:numPr>
        <w:ind w:hanging="0" w:start="0" w:end="0"/>
        <w:rPr>
          <w:rFonts w:eastAsia="Arial Unicode MS"/>
          <w:sz w:val="22"/>
          <w:szCs w:val="22"/>
        </w:rPr>
      </w:pPr>
      <w:r>
        <w:rPr>
          <w:color w:val="000000"/>
          <w:sz w:val="22"/>
          <w:szCs w:val="22"/>
        </w:rPr>
        <w:t xml:space="preserve">From the Commencement Date each PST Member shall employ and assume full responsibility and liability with respect to the relevant Affected Employees that are designated to transfer to it in accordance with the provisions of this Exhibit 5 including the relevant Employment Protocol(s) attached to this Exhibit 5 as Attachment 5-G. To avoid all doubt, this Exhibit 5 will not create any liability of a PST Member for any Affected Employees other than the ones that are designated to transfer to it. If an Affected Employee successfully claims that his/her contract of employment is not transferred from a EuroBank Group member to the relevant PST Supplier because ARD is not applicable, the relevant EuroBank Group member as employer will continue to assume full responsibility and liability with respect to that Affected Employee. </w:t>
      </w:r>
      <w:r>
        <w:rPr>
          <w:rFonts w:eastAsia="Arial Unicode MS"/>
          <w:sz w:val="22"/>
          <w:szCs w:val="22"/>
        </w:rPr>
      </w:r>
      <w:bookmarkStart w:id="4" w:name="_DV_C7"/>
      <w:r>
        <w:rPr>
          <w:rFonts w:eastAsia="Arial Unicode MS"/>
          <w:sz w:val="22"/>
          <w:szCs w:val="22"/>
        </w:rPr>
      </w:r>
      <w:bookmarkStart w:id="5" w:name="_DV_M4"/>
      <w:bookmarkEnd w:id="4"/>
      <w:bookmarkEnd w:id="5"/>
      <w:r>
        <w:rPr>
          <w:rFonts w:eastAsia="Arial Unicode MS"/>
          <w:sz w:val="22"/>
          <w:szCs w:val="22"/>
        </w:rPr>
      </w:r>
      <w:bookmarkStart w:id="6" w:name="_DV_C8"/>
      <w:r>
        <w:rPr>
          <w:rFonts w:eastAsia="Arial Unicode MS"/>
          <w:sz w:val="22"/>
          <w:szCs w:val="22"/>
        </w:rPr>
      </w:r>
      <w:bookmarkStart w:id="7" w:name="_DV_M5"/>
      <w:bookmarkEnd w:id="6"/>
      <w:bookmarkEnd w:id="7"/>
      <w:r>
        <w:rPr>
          <w:rFonts w:eastAsia="Arial Unicode MS"/>
          <w:sz w:val="22"/>
          <w:szCs w:val="22"/>
        </w:rPr>
      </w:r>
    </w:p>
    <w:p>
      <w:pPr>
        <w:pStyle w:val="FWOutL3"/>
        <w:numPr>
          <w:ilvl w:val="2"/>
          <w:numId w:val="11"/>
        </w:numPr>
        <w:ind w:hanging="0" w:start="0" w:end="0"/>
        <w:rPr>
          <w:sz w:val="22"/>
          <w:szCs w:val="22"/>
        </w:rPr>
      </w:pPr>
      <w:r>
        <w:rPr>
          <w:color w:val="000000"/>
          <w:sz w:val="22"/>
          <w:szCs w:val="22"/>
        </w:rPr>
        <w:t>It is not expected that ARD will apply to the Affected Employees that will be offered employment by 2IM, nor that any other Affected Employees or other employees of EuroBank Group will have any claim under ARD to transfer to 2IM. The parties will work together in good faith to minimise any implications of ARD with respect to the Affected Employees that will be employed by 2IM. Due to the limited number of Affected Employees that will be employed by 2IM, EuroBank and 2IM will not agree upon an Employment Protocol as set out in Attachment 5-G, but will agree on an individual basis on the terms and conditions of employment that will be offered by 2IM to these employees. If the relevant Affected Employees do not accept a comparable offer of employment by 2IM, EuroBank and 2IM will consult with each other on a possible new offer and the additional cost thereof. If ARD appears to be applicable to the Affected Employees transferring to 2IM which as a consequence results in 2IM incurring harmonisation cost, EuroBank will compensate such extra costs to 2IM in accordance with the agreement reached on harmonisation costs as set out in Attachment 5-J to Exhibit 5.</w:t>
      </w:r>
      <w:bookmarkStart w:id="8" w:name="_DV_C12"/>
      <w:r>
        <w:rPr>
          <w:color w:val="000000"/>
          <w:sz w:val="22"/>
          <w:szCs w:val="22"/>
        </w:rPr>
      </w:r>
      <w:bookmarkStart w:id="9" w:name="_DV_M7"/>
      <w:bookmarkEnd w:id="8"/>
      <w:bookmarkEnd w:id="9"/>
      <w:r>
        <w:rPr>
          <w:color w:val="000000"/>
          <w:sz w:val="22"/>
          <w:szCs w:val="22"/>
        </w:rPr>
      </w:r>
      <w:bookmarkStart w:id="10" w:name="_DV_C13"/>
      <w:r>
        <w:rPr>
          <w:color w:val="000000"/>
          <w:sz w:val="22"/>
          <w:szCs w:val="22"/>
        </w:rPr>
      </w:r>
      <w:bookmarkStart w:id="11" w:name="_DV_M8"/>
      <w:bookmarkEnd w:id="10"/>
      <w:bookmarkEnd w:id="11"/>
      <w:r>
        <w:rPr>
          <w:sz w:val="22"/>
          <w:szCs w:val="22"/>
        </w:rPr>
      </w:r>
    </w:p>
    <w:p>
      <w:pPr>
        <w:pStyle w:val="FWOutL3"/>
        <w:numPr>
          <w:ilvl w:val="2"/>
          <w:numId w:val="11"/>
        </w:numPr>
        <w:ind w:hanging="0" w:start="0" w:end="0"/>
        <w:rPr>
          <w:sz w:val="22"/>
          <w:szCs w:val="22"/>
        </w:rPr>
      </w:pPr>
      <w:r>
        <w:rPr>
          <w:bCs/>
          <w:sz w:val="22"/>
          <w:szCs w:val="22"/>
        </w:rPr>
        <w:t xml:space="preserve">Each PST Member warrants that the HR information given by it in the Response, the RFP walk through and the BAFP and the supporting documents in respect of its employment experience, policies and practice was true and correct at that time and that, unless provided differently in this MSA, the Affected Employees will be employed in line with the relevant policies and practices as applicable at the relevant time. </w:t>
      </w:r>
    </w:p>
    <w:p>
      <w:pPr>
        <w:pStyle w:val="FWOutL3"/>
        <w:numPr>
          <w:ilvl w:val="2"/>
          <w:numId w:val="11"/>
        </w:numPr>
        <w:ind w:hanging="0" w:start="0" w:end="0"/>
        <w:rPr>
          <w:sz w:val="22"/>
          <w:szCs w:val="22"/>
        </w:rPr>
      </w:pPr>
      <w:r>
        <w:rPr>
          <w:sz w:val="22"/>
          <w:szCs w:val="22"/>
        </w:rPr>
        <w:t xml:space="preserve">None of the PST Members will approach any Affected Employees before the Effective Date unless agreed otherwise by EuroBank. </w:t>
      </w:r>
    </w:p>
    <w:p>
      <w:pPr>
        <w:pStyle w:val="FWOutL3"/>
        <w:numPr>
          <w:ilvl w:val="2"/>
          <w:numId w:val="11"/>
        </w:numPr>
        <w:ind w:hanging="0" w:start="0" w:end="0"/>
        <w:rPr>
          <w:sz w:val="22"/>
          <w:szCs w:val="22"/>
        </w:rPr>
      </w:pPr>
      <w:r>
        <w:rPr>
          <w:sz w:val="22"/>
          <w:szCs w:val="22"/>
        </w:rPr>
        <w:t>The relevant PST Supplier recognises that works councils, trade unions and other employee representatives play an important role in connection with the employment of the Affected Employees and the relevant PST Member confirms that it holds regular talks with such employee representatives.</w:t>
      </w:r>
    </w:p>
    <w:p>
      <w:pPr>
        <w:pStyle w:val="FWOutL3"/>
        <w:numPr>
          <w:ilvl w:val="2"/>
          <w:numId w:val="11"/>
        </w:numPr>
        <w:ind w:hanging="0" w:start="0" w:end="0"/>
        <w:rPr>
          <w:color w:val="008000"/>
          <w:sz w:val="22"/>
          <w:szCs w:val="22"/>
        </w:rPr>
      </w:pPr>
      <w:r>
        <w:rPr>
          <w:bCs/>
          <w:sz w:val="22"/>
          <w:szCs w:val="22"/>
        </w:rPr>
        <w:t xml:space="preserve">EuroBank warrants that the HR information given by any EuroBank Group member in the RFP, due diligence and RFP walk through in respect of its employment experience, policies and practice was true and correct at the time the information was given. </w:t>
      </w:r>
    </w:p>
    <w:p>
      <w:pPr>
        <w:pStyle w:val="FWOutL3"/>
        <w:numPr>
          <w:ilvl w:val="2"/>
          <w:numId w:val="11"/>
        </w:numPr>
        <w:ind w:hanging="0" w:start="0" w:end="0"/>
        <w:rPr>
          <w:sz w:val="22"/>
          <w:szCs w:val="22"/>
        </w:rPr>
      </w:pPr>
      <w:r>
        <w:rPr>
          <w:sz w:val="22"/>
          <w:szCs w:val="22"/>
        </w:rPr>
        <w:t>EuroBank Group will</w:t>
      </w:r>
    </w:p>
    <w:p>
      <w:pPr>
        <w:pStyle w:val="FWOutL4"/>
        <w:numPr>
          <w:ilvl w:val="3"/>
          <w:numId w:val="11"/>
        </w:numPr>
        <w:ind w:hanging="0" w:start="0"/>
        <w:rPr>
          <w:sz w:val="22"/>
          <w:szCs w:val="22"/>
        </w:rPr>
      </w:pPr>
      <w:r>
        <w:rPr>
          <w:sz w:val="22"/>
          <w:szCs w:val="22"/>
        </w:rPr>
        <w:t>not hinder the PST Member in employing the Affected Employees;</w:t>
      </w:r>
    </w:p>
    <w:p>
      <w:pPr>
        <w:pStyle w:val="FWOutL4"/>
        <w:numPr>
          <w:ilvl w:val="3"/>
          <w:numId w:val="11"/>
        </w:numPr>
        <w:ind w:hanging="0" w:start="0"/>
        <w:rPr>
          <w:sz w:val="22"/>
          <w:szCs w:val="22"/>
        </w:rPr>
      </w:pPr>
      <w:r>
        <w:rPr>
          <w:sz w:val="22"/>
          <w:szCs w:val="22"/>
        </w:rPr>
        <w:t>if requested by the PST Member, give reasonable assistance to employ the relevant Affected Employees, including the provision of reasonable access for the PST Member to the Affected Employees for interviews and all necessary support of that process for employment. On the Effective Date, EuroBank will provide an organizational chart showing the roles, responsibilities, authority and salaries, as well other relevant information or resource values (“brongegevens”) necessary to enable the efficient transfer of all relevant Affected Employees.</w:t>
      </w:r>
      <w:r>
        <w:rPr>
          <w:i/>
          <w:sz w:val="22"/>
          <w:szCs w:val="22"/>
        </w:rPr>
      </w:r>
      <w:r>
        <w:rPr>
          <w:sz w:val="22"/>
          <w:szCs w:val="22"/>
        </w:rPr>
      </w:r>
    </w:p>
    <w:p>
      <w:pPr>
        <w:pStyle w:val="FWOutL3"/>
        <w:numPr>
          <w:ilvl w:val="2"/>
          <w:numId w:val="11"/>
        </w:numPr>
        <w:ind w:hanging="0" w:start="0" w:end="0"/>
        <w:rPr>
          <w:sz w:val="22"/>
          <w:szCs w:val="22"/>
          <w:lang w:val="en-US"/>
        </w:rPr>
      </w:pPr>
      <w:r>
        <w:rPr>
          <w:sz w:val="22"/>
          <w:szCs w:val="22"/>
        </w:rPr>
        <w:t>In case employees of EuroBank Technics (economisch samenwerkingsverband) would be on the list of Affected Employees which is attached as Attachment 5-A to this Exhibit, EuroBank and the PST agree to negotiate in good faith and in the spirit of this Exhibit 5, an exhibit describing the specific rights and obligations of both Parties regarding the Affected Employees, which prior to Commencement Date were employed by EuroBank Technics. Nothing in this Section will affect the obligations of EuroBank as described under Section 2.2.1 of this Exhibit.</w:t>
      </w:r>
      <w:r>
        <w:rPr>
          <w:i/>
          <w:sz w:val="22"/>
          <w:szCs w:val="22"/>
        </w:rPr>
      </w:r>
      <w:r>
        <w:rPr>
          <w:sz w:val="22"/>
          <w:szCs w:val="22"/>
        </w:rPr>
      </w:r>
    </w:p>
    <w:p>
      <w:pPr>
        <w:pStyle w:val="FWOutL3"/>
        <w:numPr>
          <w:ilvl w:val="2"/>
          <w:numId w:val="11"/>
        </w:numPr>
        <w:ind w:hanging="0" w:start="0" w:end="0"/>
        <w:rPr>
          <w:bCs/>
          <w:sz w:val="22"/>
          <w:szCs w:val="22"/>
        </w:rPr>
      </w:pPr>
      <w:r>
        <w:rPr>
          <w:bCs/>
          <w:sz w:val="22"/>
          <w:szCs w:val="22"/>
        </w:rPr>
        <w:t>On the Commencement Date the relevant EuroBank Group member will deliver to the relevant PST Member in digital or in paper form, per Affected Employee, the personnel file available with respect to such employee. The personnel file will include all available information, amongst others history of employment, labour contract, employee benefits, training certificates, accrued holiday entitlements. To the extent that any of this information would not be available, EuroBank will use its best efforts to assist the relevant PST Member to resolve the difficulties arising as a consequence thereof. EuroBank will be responsible for obtaining individual consent of the Affected Employee regarding the transfer of “Arbo” files .</w:t>
      </w:r>
    </w:p>
    <w:p>
      <w:pPr>
        <w:pStyle w:val="FWOutL3"/>
        <w:numPr>
          <w:ilvl w:val="2"/>
          <w:numId w:val="11"/>
        </w:numPr>
        <w:ind w:hanging="0" w:start="0" w:end="0"/>
        <w:rPr>
          <w:sz w:val="22"/>
          <w:szCs w:val="22"/>
        </w:rPr>
      </w:pPr>
      <w:r>
        <w:rPr>
          <w:sz w:val="22"/>
          <w:szCs w:val="22"/>
        </w:rPr>
        <w:t>EuroBank and the relevant PST Supplier shall jointly communicate to the Affected Employees information regarding the transfer of employment to the relevant PST Member using methods and content to be agreed as soon as practicable prior to the Commencement Date.</w:t>
      </w:r>
    </w:p>
    <w:p>
      <w:pPr>
        <w:pStyle w:val="FWOutL2"/>
        <w:numPr>
          <w:ilvl w:val="1"/>
          <w:numId w:val="11"/>
        </w:numPr>
        <w:ind w:hanging="0" w:start="0"/>
        <w:rPr>
          <w:sz w:val="22"/>
          <w:szCs w:val="22"/>
        </w:rPr>
      </w:pPr>
      <w:bookmarkStart w:id="12" w:name="__RefHeading___Toc153767074"/>
      <w:bookmarkEnd w:id="12"/>
      <w:r>
        <w:rPr>
          <w:sz w:val="22"/>
          <w:szCs w:val="22"/>
        </w:rPr>
        <w:t>Terms and conditions</w:t>
      </w:r>
    </w:p>
    <w:p>
      <w:pPr>
        <w:pStyle w:val="FWOutL3"/>
        <w:numPr>
          <w:ilvl w:val="2"/>
          <w:numId w:val="11"/>
        </w:numPr>
        <w:ind w:hanging="0" w:start="0" w:end="0"/>
        <w:rPr>
          <w:sz w:val="22"/>
          <w:szCs w:val="22"/>
        </w:rPr>
      </w:pPr>
      <w:r>
        <w:rPr>
          <w:bCs/>
          <w:sz w:val="22"/>
          <w:szCs w:val="22"/>
        </w:rPr>
        <w:t xml:space="preserve">Other than in the ordinary course of business the relevant EuroBank Group member will not between the date of the MOU and the Commencement Date change the terms and conditions of employment of the Affected Employees or make any promises or conduct any negotiations to that effect without the prior written consent of the relevant PST Member. </w:t>
      </w:r>
      <w:r>
        <w:rPr>
          <w:sz w:val="22"/>
          <w:szCs w:val="22"/>
        </w:rPr>
      </w:r>
    </w:p>
    <w:p>
      <w:pPr>
        <w:pStyle w:val="FWOutL3"/>
        <w:numPr>
          <w:ilvl w:val="2"/>
          <w:numId w:val="11"/>
        </w:numPr>
        <w:ind w:hanging="0" w:start="0" w:end="0"/>
        <w:rPr>
          <w:sz w:val="22"/>
          <w:szCs w:val="22"/>
        </w:rPr>
      </w:pPr>
      <w:r>
        <w:rPr>
          <w:sz w:val="22"/>
          <w:szCs w:val="22"/>
        </w:rPr>
        <w:t>Prior to the Commencement Date, the PST Supplier will confirm to each Affected Employee in writing to employ that person (or do all such things as are required by the law governing the employment of that person) as an employee of the PST Supplier from the Commencement Date onwards. In accordance with the applicable legislation and the relevant agreed Employment Protocol (see Attachment 5-G), the terms and conditions of employment of the Affected Employees (including benefits) shall be comparable to those enjoyed by such Affected Employee immediately before the Commencement Date.</w:t>
      </w:r>
    </w:p>
    <w:p>
      <w:pPr>
        <w:pStyle w:val="FWOutL3"/>
        <w:numPr>
          <w:ilvl w:val="2"/>
          <w:numId w:val="11"/>
        </w:numPr>
        <w:ind w:hanging="0" w:start="0" w:end="0"/>
        <w:rPr>
          <w:sz w:val="22"/>
          <w:szCs w:val="22"/>
        </w:rPr>
      </w:pPr>
      <w:r>
        <w:rPr>
          <w:sz w:val="22"/>
          <w:szCs w:val="22"/>
        </w:rPr>
        <w:t xml:space="preserve">The PST </w:t>
      </w:r>
      <w:bookmarkStart w:id="13" w:name="OLE_LINK1"/>
      <w:r>
        <w:rPr>
          <w:sz w:val="22"/>
          <w:szCs w:val="22"/>
        </w:rPr>
        <w:t xml:space="preserve">Supplier </w:t>
      </w:r>
      <w:bookmarkEnd w:id="13"/>
      <w:r>
        <w:rPr>
          <w:sz w:val="22"/>
          <w:szCs w:val="22"/>
        </w:rPr>
        <w:t>shall unless otherwise agreed in the relevant Employment Protocols (see Attachment 5-G):</w:t>
      </w:r>
    </w:p>
    <w:p>
      <w:pPr>
        <w:pStyle w:val="FWOutL4"/>
        <w:numPr>
          <w:ilvl w:val="3"/>
          <w:numId w:val="11"/>
        </w:numPr>
        <w:ind w:hanging="0" w:start="0"/>
        <w:rPr>
          <w:sz w:val="22"/>
          <w:szCs w:val="22"/>
        </w:rPr>
      </w:pPr>
      <w:r>
        <w:rPr>
          <w:sz w:val="22"/>
          <w:szCs w:val="22"/>
        </w:rPr>
        <w:t>maintain and recognise each Affected Employee’s total uninterrupted service time with the relevant EuroBank Group member, and any time with a previous employer to the extent that the relevant EuroBank Group member has recognised or is legally obliged to respect continuity of employment. To avoid any doubt, in case the Affected Employees would after Commencement Date fall under the pension scheme applicable with the relevant PST Supplier, the seniority accrued with EuroBank Group will not be taken into account for the calculation of the seniority with regard to the accrual of rights in the pension scheme applicable within the relevant PST Member. If the Affected Employees would continue to participate in the EuroBank pension scheme in Belgium “VZW Kas van de Aanvullende Pensioenen van de NV EuroBank België” the relevant PST Supplier will respect the seniority accrued with EuroBank België NV;</w:t>
      </w:r>
      <w:r>
        <w:rPr>
          <w:i/>
          <w:sz w:val="22"/>
          <w:szCs w:val="22"/>
        </w:rPr>
      </w:r>
      <w:r>
        <w:rPr>
          <w:sz w:val="22"/>
          <w:szCs w:val="22"/>
        </w:rPr>
      </w:r>
      <w:r>
        <w:rPr>
          <w:color w:val="000000"/>
          <w:sz w:val="22"/>
          <w:szCs w:val="22"/>
        </w:rPr>
      </w:r>
      <w:r>
        <w:rPr>
          <w:sz w:val="22"/>
          <w:szCs w:val="22"/>
        </w:rPr>
      </w:r>
      <w:r>
        <w:rPr>
          <w:color w:val="000000"/>
          <w:sz w:val="22"/>
          <w:szCs w:val="22"/>
        </w:rPr>
      </w:r>
    </w:p>
    <w:p>
      <w:pPr>
        <w:pStyle w:val="FWOutL4"/>
        <w:numPr>
          <w:ilvl w:val="3"/>
          <w:numId w:val="11"/>
        </w:numPr>
        <w:ind w:hanging="0" w:start="0"/>
        <w:rPr>
          <w:bCs/>
          <w:sz w:val="22"/>
          <w:szCs w:val="22"/>
        </w:rPr>
      </w:pPr>
      <w:r>
        <w:rPr>
          <w:bCs/>
          <w:sz w:val="22"/>
          <w:szCs w:val="22"/>
        </w:rPr>
        <w:t>ensure that there is no break in insurance cover for Affected Employees and that the coverage is maintained for each Affected Employee and his/her eligible dependants with the exception of a break in insurance cover that is caused by negligent acts or omissions of the relevant Affected Employee or EuroBank Group;</w:t>
      </w:r>
    </w:p>
    <w:p>
      <w:pPr>
        <w:pStyle w:val="FWOutL4"/>
        <w:numPr>
          <w:ilvl w:val="3"/>
          <w:numId w:val="11"/>
        </w:numPr>
        <w:ind w:hanging="0" w:start="0"/>
        <w:rPr>
          <w:sz w:val="22"/>
          <w:szCs w:val="22"/>
        </w:rPr>
      </w:pPr>
      <w:r>
        <w:rPr>
          <w:bCs/>
          <w:sz w:val="22"/>
          <w:szCs w:val="22"/>
        </w:rPr>
        <w:t>provide performance objectives to each Affected Employee within 90 days or as soon as practicable following the Commencement Date and provide performance reviews in a timely fashion to Affected Employees; if no performance objectives can be established the appraisal grade will be set to “</w:t>
      </w:r>
      <w:r>
        <w:rPr>
          <w:sz w:val="22"/>
          <w:szCs w:val="22"/>
        </w:rPr>
        <w:t>n</w:t>
      </w:r>
      <w:r>
        <w:rPr>
          <w:bCs/>
          <w:sz w:val="22"/>
          <w:szCs w:val="22"/>
        </w:rPr>
        <w:t>ormaal/goed”. In the Employment Protocols parties will agree upon the manner in which the performance of the Affected Employees during the period preceding the Commencement Date will be dealt with in terms of appraisal at the PST Supplier in case the Commencement Date and appraisal date are close together;</w:t>
      </w:r>
    </w:p>
    <w:p>
      <w:pPr>
        <w:pStyle w:val="FWOutL4"/>
        <w:numPr>
          <w:ilvl w:val="3"/>
          <w:numId w:val="11"/>
        </w:numPr>
        <w:ind w:hanging="0" w:start="0"/>
        <w:rPr>
          <w:bCs/>
          <w:sz w:val="22"/>
          <w:szCs w:val="22"/>
        </w:rPr>
      </w:pPr>
      <w:r>
        <w:rPr>
          <w:bCs/>
          <w:sz w:val="22"/>
          <w:szCs w:val="22"/>
        </w:rPr>
        <w:t>provide sufficient orientation on-the-job and formal training to each Affected Employee to facilitate the employee's integration into the relevant PST Supplier’s workforce, and familiarisation with the relevant PST Supplier’s policies and procedures;</w:t>
      </w:r>
    </w:p>
    <w:p>
      <w:pPr>
        <w:pStyle w:val="FWOutL4"/>
        <w:numPr>
          <w:ilvl w:val="3"/>
          <w:numId w:val="11"/>
        </w:numPr>
        <w:ind w:hanging="0" w:start="0"/>
        <w:rPr>
          <w:sz w:val="22"/>
          <w:szCs w:val="22"/>
        </w:rPr>
      </w:pPr>
      <w:r>
        <w:rPr>
          <w:sz w:val="22"/>
          <w:szCs w:val="22"/>
        </w:rPr>
        <w:t>provide training, skills development and career growth opportunities to Affected Employees that are at least as favourable as those offered generally to other employees of the relevant PST Supplier of similar rank and position.</w:t>
      </w:r>
    </w:p>
    <w:p>
      <w:pPr>
        <w:pStyle w:val="FWOutL4"/>
        <w:numPr>
          <w:ilvl w:val="3"/>
          <w:numId w:val="11"/>
        </w:numPr>
        <w:ind w:hanging="0" w:start="0"/>
        <w:rPr>
          <w:b/>
          <w:bCs/>
          <w:sz w:val="22"/>
          <w:szCs w:val="22"/>
        </w:rPr>
      </w:pPr>
      <w:r>
        <w:rPr>
          <w:sz w:val="22"/>
          <w:szCs w:val="22"/>
        </w:rPr>
        <w:t>assume full responsibility for any travel and relocation requirements and costs of the Affected Employees caused as a result of the provision of the Services by the relevant PST Supplier (if any);</w:t>
      </w:r>
    </w:p>
    <w:p>
      <w:pPr>
        <w:pStyle w:val="FWOutL4"/>
        <w:numPr>
          <w:ilvl w:val="3"/>
          <w:numId w:val="11"/>
        </w:numPr>
        <w:ind w:hanging="0" w:start="0"/>
        <w:rPr>
          <w:bCs/>
          <w:sz w:val="22"/>
          <w:szCs w:val="22"/>
        </w:rPr>
      </w:pPr>
      <w:r>
        <w:rPr>
          <w:bCs/>
          <w:sz w:val="22"/>
          <w:szCs w:val="22"/>
        </w:rPr>
        <w:t>save as may be agreed with the relevant Affected Employee, not change the terms and conditions of employment applicable to Affected Employees to their detriment, or possible detriment, for a period of 12 months from the Commencement Date unless otherwise agreed upon in the relevant Employment Protocol (see Attachment 5-G) and/or in a collective labour agreement;</w:t>
      </w:r>
    </w:p>
    <w:p>
      <w:pPr>
        <w:pStyle w:val="FWOutL4"/>
        <w:numPr>
          <w:ilvl w:val="3"/>
          <w:numId w:val="11"/>
        </w:numPr>
        <w:ind w:hanging="0" w:start="0"/>
        <w:rPr>
          <w:bCs/>
          <w:sz w:val="22"/>
          <w:szCs w:val="22"/>
        </w:rPr>
      </w:pPr>
      <w:bookmarkStart w:id="14" w:name="_Ref114570017"/>
      <w:r>
        <w:rPr>
          <w:bCs/>
          <w:sz w:val="22"/>
          <w:szCs w:val="22"/>
        </w:rPr>
        <w:t>not terminate the employment of any Affected Employee immediately prior to the Commencement Date working for a EuroBank Group member in the Netherlands during a period of 12 months from the Commencement Date, except for serious misconduct or cause;</w:t>
      </w:r>
      <w:bookmarkEnd w:id="14"/>
    </w:p>
    <w:p>
      <w:pPr>
        <w:pStyle w:val="FWOutL4"/>
        <w:numPr>
          <w:ilvl w:val="3"/>
          <w:numId w:val="11"/>
        </w:numPr>
        <w:ind w:hanging="0" w:start="0"/>
        <w:rPr>
          <w:bCs/>
          <w:sz w:val="22"/>
          <w:szCs w:val="22"/>
        </w:rPr>
      </w:pPr>
      <w:bookmarkStart w:id="15" w:name="_Ref133642373"/>
      <w:r>
        <w:rPr>
          <w:bCs/>
          <w:sz w:val="22"/>
          <w:szCs w:val="22"/>
        </w:rPr>
        <w:t>not terminate the employment of any Affected Employee, working for EuroBank België NV immediately prior to the Commencement Date, during the remaining period of the EuroBank CAO in Belgium dated 14 December 2004 and expiring on 31 December 2007 but in any case during a period of 12 months from the Commencement Date, except for serious misconduct or cause. To avoid any doubt, Section 1.4 in the EuroBank CAO of 14 December 2004 terminates at the latest on 31 December 2007;</w:t>
      </w:r>
      <w:r>
        <w:rPr>
          <w:color w:val="000000"/>
          <w:sz w:val="22"/>
          <w:szCs w:val="22"/>
        </w:rPr>
      </w:r>
      <w:r>
        <w:rPr>
          <w:bCs/>
          <w:sz w:val="22"/>
          <w:szCs w:val="22"/>
        </w:rPr>
      </w:r>
      <w:bookmarkEnd w:id="15"/>
    </w:p>
    <w:p>
      <w:pPr>
        <w:pStyle w:val="FWOutL4"/>
        <w:numPr>
          <w:ilvl w:val="3"/>
          <w:numId w:val="11"/>
        </w:numPr>
        <w:ind w:hanging="0" w:start="0"/>
        <w:rPr>
          <w:bCs/>
          <w:sz w:val="22"/>
          <w:szCs w:val="22"/>
        </w:rPr>
      </w:pPr>
      <w:r>
        <w:rPr>
          <w:bCs/>
          <w:sz w:val="22"/>
          <w:szCs w:val="22"/>
        </w:rPr>
        <w:t xml:space="preserve">on expiry of the periods referred to in Sections </w:t>
      </w:r>
      <w:r>
        <w:rPr>
          <w:bCs/>
          <w:sz w:val="22"/>
          <w:szCs w:val="22"/>
        </w:rPr>
        <w:fldChar w:fldCharType="begin"/>
      </w:r>
      <w:r>
        <w:rPr>
          <w:sz w:val="22"/>
          <w:szCs w:val="22"/>
          <w:bCs/>
        </w:rPr>
        <w:instrText xml:space="preserve"> REF _Ref114570017 \r \r \h </w:instrText>
      </w:r>
      <w:r>
        <w:rPr>
          <w:sz w:val="22"/>
          <w:szCs w:val="22"/>
          <w:bCs/>
        </w:rPr>
        <w:fldChar w:fldCharType="separate"/>
      </w:r>
      <w:r>
        <w:rPr>
          <w:sz w:val="22"/>
          <w:szCs w:val="22"/>
          <w:bCs/>
        </w:rPr>
        <w:t>(h)</w:t>
      </w:r>
      <w:r>
        <w:rPr>
          <w:sz w:val="22"/>
          <w:szCs w:val="22"/>
          <w:bCs/>
        </w:rPr>
        <w:fldChar w:fldCharType="end"/>
      </w:r>
      <w:r>
        <w:rPr>
          <w:bCs/>
          <w:sz w:val="22"/>
          <w:szCs w:val="22"/>
        </w:rPr>
        <w:t xml:space="preserve"> and </w:t>
      </w:r>
      <w:r>
        <w:rPr>
          <w:bCs/>
          <w:sz w:val="22"/>
          <w:szCs w:val="22"/>
        </w:rPr>
        <w:fldChar w:fldCharType="begin"/>
      </w:r>
      <w:r>
        <w:rPr>
          <w:sz w:val="22"/>
          <w:szCs w:val="22"/>
          <w:bCs/>
        </w:rPr>
        <w:instrText xml:space="preserve"> REF _Ref133642373 \r \r \h </w:instrText>
      </w:r>
      <w:r>
        <w:rPr>
          <w:sz w:val="22"/>
          <w:szCs w:val="22"/>
          <w:bCs/>
        </w:rPr>
        <w:fldChar w:fldCharType="separate"/>
      </w:r>
      <w:r>
        <w:rPr>
          <w:sz w:val="22"/>
          <w:szCs w:val="22"/>
          <w:bCs/>
        </w:rPr>
        <w:t>(i)</w:t>
      </w:r>
      <w:r>
        <w:rPr>
          <w:sz w:val="22"/>
          <w:szCs w:val="22"/>
          <w:bCs/>
        </w:rPr>
        <w:fldChar w:fldCharType="end"/>
      </w:r>
      <w:r>
        <w:rPr>
          <w:bCs/>
          <w:sz w:val="22"/>
          <w:szCs w:val="22"/>
        </w:rPr>
        <w:t>, prior to terminating the employment of any Affected Employee, other than for serious misconduct or cause, the relevant PST shall use reasonable endeavours to redeploy the relevant employee within the relevant PST ’s organisation or the organisation of the other PST s or 2IM;</w:t>
      </w:r>
    </w:p>
    <w:p>
      <w:pPr>
        <w:pStyle w:val="FWOutL4"/>
        <w:numPr>
          <w:ilvl w:val="3"/>
          <w:numId w:val="11"/>
        </w:numPr>
        <w:ind w:hanging="0" w:start="0"/>
        <w:rPr>
          <w:b/>
          <w:bCs/>
          <w:sz w:val="22"/>
          <w:szCs w:val="22"/>
        </w:rPr>
      </w:pPr>
      <w:r>
        <w:rPr>
          <w:sz w:val="22"/>
          <w:szCs w:val="22"/>
        </w:rPr>
        <w:t>provide the Affected Employees with the same employment opportunities as the relevant PST Supplier’s existing employees;</w:t>
      </w:r>
    </w:p>
    <w:p>
      <w:pPr>
        <w:pStyle w:val="FWOutL4"/>
        <w:numPr>
          <w:ilvl w:val="3"/>
          <w:numId w:val="11"/>
        </w:numPr>
        <w:ind w:hanging="0" w:start="0"/>
        <w:rPr>
          <w:bCs/>
          <w:sz w:val="22"/>
          <w:szCs w:val="22"/>
        </w:rPr>
      </w:pPr>
      <w:r>
        <w:rPr>
          <w:bCs/>
          <w:sz w:val="22"/>
          <w:szCs w:val="22"/>
        </w:rPr>
        <w:t>comply with the legal obligations relating to the well-being of workers in the performance of their work as applicable; and</w:t>
      </w:r>
    </w:p>
    <w:p>
      <w:pPr>
        <w:pStyle w:val="FWOutL4"/>
        <w:numPr>
          <w:ilvl w:val="3"/>
          <w:numId w:val="11"/>
        </w:numPr>
        <w:ind w:hanging="0" w:start="0"/>
        <w:rPr>
          <w:sz w:val="22"/>
          <w:szCs w:val="22"/>
        </w:rPr>
      </w:pPr>
      <w:r>
        <w:rPr>
          <w:sz w:val="22"/>
          <w:szCs w:val="22"/>
        </w:rPr>
        <w:t>ensure that all communications to the Affected Employees predominantly take place in the by law required language.</w:t>
      </w:r>
    </w:p>
    <w:p>
      <w:pPr>
        <w:pStyle w:val="FWOutL3"/>
        <w:numPr>
          <w:ilvl w:val="0"/>
          <w:numId w:val="0"/>
        </w:numPr>
        <w:ind w:hanging="0" w:start="0"/>
        <w:rPr/>
      </w:pPr>
      <w:r>
        <w:rPr>
          <w:bCs/>
          <w:color w:val="000000"/>
          <w:sz w:val="22"/>
          <w:szCs w:val="22"/>
        </w:rPr>
        <w:t>1.3.4</w:t>
        <w:tab/>
      </w:r>
      <w:r>
        <w:rPr>
          <w:b/>
          <w:color w:val="000000"/>
          <w:sz w:val="22"/>
          <w:szCs w:val="22"/>
        </w:rPr>
        <w:t xml:space="preserve">Training and development </w:t>
      </w:r>
      <w:r>
        <w:rPr>
          <w:b/>
          <w:sz w:val="22"/>
          <w:szCs w:val="22"/>
        </w:rPr>
        <w:t>costs</w:t>
      </w:r>
      <w:bookmarkStart w:id="16" w:name="_DV_C27"/>
      <w:r>
        <w:rPr>
          <w:rStyle w:val="DeltaViewDeletion"/>
          <w:b/>
          <w:color w:val="000000"/>
          <w:sz w:val="22"/>
          <w:szCs w:val="22"/>
        </w:rPr>
        <w:t xml:space="preserve"> </w:t>
      </w:r>
      <w:bookmarkStart w:id="17" w:name="_DV_M20"/>
      <w:bookmarkEnd w:id="16"/>
      <w:bookmarkEnd w:id="17"/>
    </w:p>
    <w:p>
      <w:pPr>
        <w:pStyle w:val="fwoutl41"/>
        <w:ind w:hanging="0" w:start="0" w:end="0"/>
        <w:rPr>
          <w:color w:val="000000"/>
          <w:sz w:val="22"/>
          <w:szCs w:val="22"/>
        </w:rPr>
      </w:pPr>
      <w:r>
        <w:rPr>
          <w:color w:val="000000"/>
          <w:sz w:val="22"/>
          <w:szCs w:val="22"/>
          <w:lang w:val="en-US"/>
        </w:rPr>
        <w:t xml:space="preserve">In respect of training and development activities EuroBank and the relevant PST Member have agreed the following: </w:t>
      </w:r>
    </w:p>
    <w:p>
      <w:pPr>
        <w:pStyle w:val="fwoutl41"/>
        <w:rPr>
          <w:color w:val="000000"/>
          <w:sz w:val="22"/>
          <w:szCs w:val="22"/>
          <w:lang w:val="en-US"/>
        </w:rPr>
      </w:pPr>
      <w:bookmarkStart w:id="18" w:name="_DV_M21"/>
      <w:bookmarkEnd w:id="18"/>
      <w:r>
        <w:rPr>
          <w:color w:val="000000"/>
          <w:sz w:val="22"/>
          <w:szCs w:val="22"/>
          <w:lang w:val="en-US"/>
        </w:rPr>
        <w:t>(a)</w:t>
        <w:tab/>
        <w:t>in case training and development activities start or continue after the Commencement Date, the relevant EuroBank Group member will inform the relevant PST Member of any training or development activities that are or have been agreed with the Affected Employee in the period between the date of signing of the MOU and the Commencement Date. In case the training and development activities imply out of pocket expenses (such as tuition fees) of more than EUR 10,000 the relevant EuroBank Group member and the relevant PST Member will have to agree upon the activities and the budget thereof;</w:t>
      </w:r>
      <w:bookmarkStart w:id="19" w:name="_DV_M22"/>
      <w:bookmarkEnd w:id="19"/>
      <w:r>
        <w:rPr>
          <w:color w:val="000000"/>
          <w:sz w:val="22"/>
          <w:szCs w:val="22"/>
          <w:lang w:val="en-US"/>
        </w:rPr>
      </w:r>
      <w:bookmarkStart w:id="20" w:name="_DV_M23"/>
      <w:bookmarkEnd w:id="20"/>
      <w:r>
        <w:rPr>
          <w:color w:val="000000"/>
          <w:sz w:val="22"/>
          <w:szCs w:val="22"/>
          <w:lang w:val="en-US"/>
        </w:rPr>
      </w:r>
    </w:p>
    <w:p>
      <w:pPr>
        <w:pStyle w:val="fwoutl41"/>
        <w:rPr>
          <w:color w:val="000000"/>
          <w:sz w:val="22"/>
          <w:szCs w:val="22"/>
          <w:lang w:val="en-US"/>
        </w:rPr>
      </w:pPr>
      <w:bookmarkStart w:id="21" w:name="_DV_M25"/>
      <w:bookmarkEnd w:id="21"/>
      <w:r>
        <w:rPr>
          <w:color w:val="000000"/>
          <w:sz w:val="22"/>
          <w:szCs w:val="22"/>
          <w:lang w:val="en-US"/>
        </w:rPr>
        <w:t>(b)</w:t>
        <w:tab/>
        <w:t>with respect to training and development activities that were or are agreed with Affected Employees before the Effective Date and that start or continue after the Commencement Date, the relevant EuroBank Group member will bear the out of pocket expenses (such as tuition fees) relating to the training and development activities;</w:t>
      </w:r>
      <w:bookmarkStart w:id="22" w:name="_DV_M26"/>
      <w:bookmarkEnd w:id="22"/>
      <w:r>
        <w:rPr>
          <w:color w:val="000000"/>
          <w:sz w:val="22"/>
          <w:szCs w:val="22"/>
          <w:lang w:val="en-US"/>
        </w:rPr>
      </w:r>
      <w:bookmarkStart w:id="23" w:name="_DV_M27"/>
      <w:bookmarkEnd w:id="23"/>
      <w:r>
        <w:rPr>
          <w:color w:val="000000"/>
          <w:sz w:val="22"/>
          <w:szCs w:val="22"/>
          <w:lang w:val="en-US"/>
        </w:rPr>
      </w:r>
    </w:p>
    <w:p>
      <w:pPr>
        <w:pStyle w:val="fwoutl41"/>
        <w:rPr>
          <w:color w:val="000000"/>
          <w:sz w:val="22"/>
          <w:szCs w:val="22"/>
          <w:lang w:val="en-US"/>
        </w:rPr>
      </w:pPr>
      <w:bookmarkStart w:id="24" w:name="_DV_M29"/>
      <w:bookmarkEnd w:id="24"/>
      <w:r>
        <w:rPr>
          <w:color w:val="000000"/>
          <w:sz w:val="22"/>
          <w:szCs w:val="22"/>
          <w:lang w:val="en-US"/>
        </w:rPr>
        <w:t>(c)</w:t>
        <w:tab/>
        <w:t>with respect to training and development activities of Affected Employees that are agreed upon in the period between the Effective Date and the Commencement Date and that will start or continue after the Commencement Date, the relevant PST Member will have to give its prior written consent with regard to training and development activities of Affected Employees and with regard to the budget for these activities. This consent shall not be unreasonably withheld. The out of pocket costs (</w:t>
      </w:r>
      <w:bookmarkStart w:id="25" w:name="_DV_M30"/>
      <w:bookmarkEnd w:id="25"/>
      <w:r>
        <w:rPr>
          <w:color w:val="000000"/>
          <w:sz w:val="22"/>
          <w:szCs w:val="22"/>
          <w:lang w:val="en-US"/>
        </w:rPr>
        <w:t>such as the tuition fees) relating to the training and development activities that have been agreed upon in the period between the Effective Date and the Commencement Date will be borne by the relevant PST Member;</w:t>
      </w:r>
    </w:p>
    <w:p>
      <w:pPr>
        <w:pStyle w:val="fwoutl41"/>
        <w:rPr>
          <w:color w:val="000000"/>
          <w:sz w:val="22"/>
          <w:szCs w:val="22"/>
          <w:lang w:val="en-US"/>
        </w:rPr>
      </w:pPr>
      <w:bookmarkStart w:id="26" w:name="_DV_M31"/>
      <w:bookmarkEnd w:id="26"/>
      <w:r>
        <w:rPr>
          <w:color w:val="000000"/>
          <w:sz w:val="22"/>
          <w:szCs w:val="22"/>
          <w:lang w:val="en-US"/>
        </w:rPr>
        <w:t>(d)</w:t>
        <w:tab/>
        <w:t>Under the condition of what has been stipulated in the preceding Sections with regard to consent to the training and development activities, the relevant PST Member whereto the Affected Employee is transferred, agrees that the relevant EuroBank Group member in its capacity of employer will bear all the salary costs with respect to the Affected Employee following and relating to the time spent on training and/or development activities relating to the period up to Commencement Date and that the relevant PST Member whereto the Affected Employee is transferred, will bear the salary costs following and relating to the time spent on training and/or development activities relating to the period from the Commencement Date onwards.</w:t>
      </w:r>
    </w:p>
    <w:p>
      <w:pPr>
        <w:pStyle w:val="fwoutl41"/>
        <w:ind w:hanging="0" w:start="0" w:end="0"/>
        <w:rPr/>
      </w:pPr>
      <w:r>
        <w:rPr>
          <w:sz w:val="22"/>
          <w:szCs w:val="22"/>
        </w:rPr>
        <w:t>1.3.5</w:t>
        <w:tab/>
      </w:r>
      <w:r>
        <w:rPr>
          <w:rStyle w:val="DeltaViewInsertion"/>
          <w:b/>
          <w:bCs/>
          <w:color w:val="000000"/>
          <w:sz w:val="22"/>
          <w:szCs w:val="22"/>
          <w:u w:val="none"/>
          <w:lang w:val="en-US"/>
        </w:rPr>
        <w:t>Pensions</w:t>
      </w:r>
    </w:p>
    <w:p>
      <w:pPr>
        <w:pStyle w:val="FWOutL3"/>
        <w:numPr>
          <w:ilvl w:val="0"/>
          <w:numId w:val="0"/>
        </w:numPr>
        <w:ind w:hanging="0" w:start="0"/>
        <w:rPr>
          <w:sz w:val="22"/>
          <w:szCs w:val="22"/>
        </w:rPr>
      </w:pPr>
      <w:r>
        <w:rPr>
          <w:rStyle w:val="DeltaViewInsertion"/>
          <w:color w:val="000000"/>
          <w:sz w:val="22"/>
          <w:szCs w:val="22"/>
          <w:u w:val="none"/>
          <w:lang w:val="en-US"/>
        </w:rPr>
        <w:t>The terms on and the arrangements regarding pension and related benefit entitlements of the Affected Employees, who are to be transferred to the PST Suppliers, after the Commencement Date are set out in Attachment 5-E.</w:t>
      </w:r>
    </w:p>
    <w:p>
      <w:pPr>
        <w:pStyle w:val="Normal"/>
        <w:jc w:val="center"/>
        <w:rPr>
          <w:b/>
          <w:bCs/>
          <w:sz w:val="22"/>
          <w:szCs w:val="22"/>
        </w:rPr>
      </w:pPr>
      <w:r>
        <w:rPr>
          <w:b/>
          <w:bCs/>
          <w:sz w:val="22"/>
          <w:szCs w:val="22"/>
        </w:rPr>
      </w:r>
    </w:p>
    <w:p>
      <w:pPr>
        <w:pStyle w:val="Normal"/>
        <w:jc w:val="center"/>
        <w:rPr>
          <w:b/>
          <w:bCs/>
          <w:sz w:val="22"/>
          <w:szCs w:val="22"/>
        </w:rPr>
      </w:pPr>
      <w:r>
        <w:rPr>
          <w:b/>
          <w:bCs/>
          <w:sz w:val="22"/>
          <w:szCs w:val="22"/>
        </w:rPr>
        <w:t>PART 2 - EMPLOYEES – VARIOUS</w:t>
      </w:r>
    </w:p>
    <w:p>
      <w:pPr>
        <w:pStyle w:val="Normal"/>
        <w:jc w:val="center"/>
        <w:rPr>
          <w:b/>
          <w:bCs/>
          <w:sz w:val="22"/>
          <w:szCs w:val="22"/>
        </w:rPr>
      </w:pPr>
      <w:r>
        <w:rPr>
          <w:b/>
          <w:bCs/>
          <w:sz w:val="22"/>
          <w:szCs w:val="22"/>
        </w:rPr>
      </w:r>
    </w:p>
    <w:p>
      <w:pPr>
        <w:pStyle w:val="FWOutL1"/>
        <w:numPr>
          <w:ilvl w:val="0"/>
          <w:numId w:val="11"/>
        </w:numPr>
        <w:ind w:hanging="0" w:start="0"/>
        <w:rPr>
          <w:sz w:val="22"/>
          <w:szCs w:val="22"/>
        </w:rPr>
      </w:pPr>
      <w:bookmarkStart w:id="27" w:name="__RefHeading___Toc153767075"/>
      <w:bookmarkEnd w:id="27"/>
      <w:r>
        <w:rPr>
          <w:sz w:val="22"/>
          <w:szCs w:val="22"/>
        </w:rPr>
        <w:t>GENERAL EMPLOYMENT INDEMNITIES</w:t>
      </w:r>
    </w:p>
    <w:p>
      <w:pPr>
        <w:pStyle w:val="FWOutL2"/>
        <w:numPr>
          <w:ilvl w:val="1"/>
          <w:numId w:val="11"/>
        </w:numPr>
        <w:ind w:hanging="0" w:start="0"/>
        <w:rPr>
          <w:sz w:val="22"/>
          <w:szCs w:val="22"/>
        </w:rPr>
      </w:pPr>
      <w:bookmarkStart w:id="28" w:name="__RefHeading___Toc153767076"/>
      <w:bookmarkEnd w:id="28"/>
      <w:r>
        <w:rPr>
          <w:sz w:val="22"/>
          <w:szCs w:val="22"/>
        </w:rPr>
        <w:t>No employment relationship</w:t>
      </w:r>
    </w:p>
    <w:p>
      <w:pPr>
        <w:pStyle w:val="FWOutL3"/>
        <w:numPr>
          <w:ilvl w:val="2"/>
          <w:numId w:val="11"/>
        </w:numPr>
        <w:ind w:hanging="0" w:start="0" w:end="0"/>
        <w:rPr>
          <w:sz w:val="22"/>
          <w:szCs w:val="22"/>
        </w:rPr>
      </w:pPr>
      <w:r>
        <w:rPr>
          <w:sz w:val="22"/>
          <w:szCs w:val="22"/>
        </w:rPr>
        <w:t xml:space="preserve">The relevant PST Member and EuroBank consider that nothing in this MSA shall give rise to an employment relationship between the relevant PST Member Personnel and any member of the EuroBank Group and/or any other recipients of the Services. If an employment relationship arises, the relevant PST Member shall indemnify the members of the EuroBank Group in the same way it indemnifies EuroBank in Section 2.2.2 of this Exhibit 5. </w:t>
      </w:r>
      <w:r>
        <w:rPr>
          <w:sz w:val="22"/>
          <w:szCs w:val="22"/>
        </w:rPr>
      </w:r>
      <w:r>
        <w:rPr>
          <w:sz w:val="22"/>
          <w:szCs w:val="22"/>
        </w:rPr>
      </w:r>
      <w:r>
        <w:rPr>
          <w:sz w:val="22"/>
          <w:szCs w:val="22"/>
        </w:rPr>
      </w:r>
      <w:r>
        <w:rPr>
          <w:sz w:val="22"/>
          <w:szCs w:val="22"/>
        </w:rPr>
      </w:r>
      <w:r>
        <w:rPr>
          <w:sz w:val="22"/>
          <w:szCs w:val="22"/>
        </w:rPr>
      </w:r>
      <w:r>
        <w:rPr>
          <w:sz w:val="22"/>
          <w:szCs w:val="22"/>
        </w:rPr>
      </w:r>
    </w:p>
    <w:p>
      <w:pPr>
        <w:pStyle w:val="FWOutL3"/>
        <w:numPr>
          <w:ilvl w:val="2"/>
          <w:numId w:val="11"/>
        </w:numPr>
        <w:ind w:hanging="0" w:start="0" w:end="0"/>
        <w:rPr>
          <w:sz w:val="22"/>
          <w:szCs w:val="22"/>
        </w:rPr>
      </w:pPr>
      <w:r>
        <w:rPr>
          <w:sz w:val="22"/>
          <w:szCs w:val="22"/>
        </w:rPr>
        <w:t xml:space="preserve">Nothing contained in this MSA shall be construed to give either Party the legal power to direct and control the day-to-day activities of the other Party, except insofar as relating to: </w:t>
      </w:r>
    </w:p>
    <w:p>
      <w:pPr>
        <w:pStyle w:val="FWOutL4"/>
        <w:numPr>
          <w:ilvl w:val="3"/>
          <w:numId w:val="11"/>
        </w:numPr>
        <w:ind w:hanging="0" w:start="0"/>
        <w:rPr>
          <w:sz w:val="22"/>
          <w:szCs w:val="22"/>
        </w:rPr>
      </w:pPr>
      <w:r>
        <w:rPr>
          <w:sz w:val="22"/>
          <w:szCs w:val="22"/>
        </w:rPr>
        <w:t xml:space="preserve">the fulfilment of obligations established by law upon either Party to comply with the well-being at the place of work (in particular health and safety regulations); </w:t>
      </w:r>
    </w:p>
    <w:p>
      <w:pPr>
        <w:pStyle w:val="FWOutL4"/>
        <w:numPr>
          <w:ilvl w:val="3"/>
          <w:numId w:val="11"/>
        </w:numPr>
        <w:ind w:hanging="0" w:start="0"/>
        <w:rPr>
          <w:sz w:val="22"/>
          <w:szCs w:val="22"/>
        </w:rPr>
      </w:pPr>
      <w:r>
        <w:rPr>
          <w:sz w:val="22"/>
          <w:szCs w:val="22"/>
        </w:rPr>
        <w:t>instructions given, including but not limited to those relating to working time, which are in execution of the Services to be performed under the terms and conditions of this MSA; and</w:t>
      </w:r>
    </w:p>
    <w:p>
      <w:pPr>
        <w:pStyle w:val="FWOutL4"/>
        <w:numPr>
          <w:ilvl w:val="3"/>
          <w:numId w:val="11"/>
        </w:numPr>
        <w:ind w:hanging="0" w:start="0"/>
        <w:rPr>
          <w:sz w:val="22"/>
          <w:szCs w:val="22"/>
        </w:rPr>
      </w:pPr>
      <w:r>
        <w:rPr>
          <w:sz w:val="22"/>
          <w:szCs w:val="22"/>
        </w:rPr>
        <w:t>any advice from the appeal commission (“</w:t>
      </w:r>
      <w:r>
        <w:rPr>
          <w:i/>
          <w:sz w:val="22"/>
          <w:szCs w:val="22"/>
        </w:rPr>
        <w:t>Begeleidingscommissie</w:t>
      </w:r>
      <w:r>
        <w:rPr>
          <w:sz w:val="22"/>
          <w:szCs w:val="22"/>
        </w:rPr>
        <w:t>”) as meant in Section 5.1 of the Dutch Employment Protocols as set out in Attachment 5-G that is followed by the Parties or under mandatory law needs to be followed by the Parties.</w:t>
      </w:r>
    </w:p>
    <w:p>
      <w:pPr>
        <w:pStyle w:val="FWOutL3"/>
        <w:numPr>
          <w:ilvl w:val="2"/>
          <w:numId w:val="11"/>
        </w:numPr>
        <w:ind w:hanging="0" w:start="0" w:end="0"/>
        <w:rPr/>
      </w:pPr>
      <w:r>
        <w:rPr/>
        <w:t>Subject to the foregoing, both Parties expressly undertake not to exercise the employer's authority (amongst others disciplinary actions, holiday requests, salary reviews, dismissal of performance evaluation for promotion or salary increases), guidance or control or part thereof over the employees of the other Party.</w:t>
      </w:r>
    </w:p>
    <w:p>
      <w:pPr>
        <w:pStyle w:val="FWOutL2"/>
        <w:numPr>
          <w:ilvl w:val="1"/>
          <w:numId w:val="11"/>
        </w:numPr>
        <w:ind w:hanging="0" w:start="0"/>
        <w:rPr>
          <w:sz w:val="22"/>
          <w:szCs w:val="22"/>
        </w:rPr>
      </w:pPr>
      <w:bookmarkStart w:id="29" w:name="__RefHeading___Toc153767077"/>
      <w:bookmarkStart w:id="30" w:name="_Ref122836649"/>
      <w:bookmarkEnd w:id="29"/>
      <w:r>
        <w:rPr>
          <w:sz w:val="22"/>
          <w:szCs w:val="22"/>
        </w:rPr>
        <w:t>Indemnities</w:t>
      </w:r>
      <w:bookmarkEnd w:id="30"/>
    </w:p>
    <w:p>
      <w:pPr>
        <w:pStyle w:val="FWOutL3"/>
        <w:numPr>
          <w:ilvl w:val="2"/>
          <w:numId w:val="11"/>
        </w:numPr>
        <w:ind w:hanging="0" w:start="0" w:end="0"/>
        <w:rPr>
          <w:b/>
          <w:bCs/>
          <w:color w:val="000000"/>
          <w:sz w:val="22"/>
          <w:szCs w:val="22"/>
        </w:rPr>
      </w:pPr>
      <w:r>
        <w:rPr>
          <w:b/>
          <w:bCs/>
          <w:color w:val="000000"/>
          <w:sz w:val="22"/>
          <w:szCs w:val="22"/>
        </w:rPr>
        <w:t xml:space="preserve">EuroBank Confirmations and Indemnities </w:t>
      </w:r>
    </w:p>
    <w:p>
      <w:pPr>
        <w:pStyle w:val="fwoutl41"/>
        <w:ind w:hanging="0" w:start="0" w:end="0"/>
        <w:rPr>
          <w:sz w:val="22"/>
          <w:szCs w:val="22"/>
          <w:lang w:val="en-US"/>
        </w:rPr>
      </w:pPr>
      <w:bookmarkStart w:id="31" w:name="_DV_M35"/>
      <w:bookmarkEnd w:id="31"/>
      <w:r>
        <w:rPr>
          <w:sz w:val="22"/>
          <w:szCs w:val="22"/>
          <w:lang w:val="en-US"/>
        </w:rPr>
        <w:t>EuroBank Group confirms that:</w:t>
      </w:r>
    </w:p>
    <w:p>
      <w:pPr>
        <w:pStyle w:val="FWOutL4"/>
        <w:numPr>
          <w:ilvl w:val="3"/>
          <w:numId w:val="11"/>
        </w:numPr>
        <w:ind w:hanging="0" w:start="0"/>
        <w:rPr>
          <w:sz w:val="22"/>
          <w:szCs w:val="22"/>
          <w:lang w:val="en-US"/>
        </w:rPr>
      </w:pPr>
      <w:r>
        <w:rPr>
          <w:sz w:val="22"/>
          <w:szCs w:val="22"/>
          <w:lang w:val="en-US"/>
        </w:rPr>
        <w:t>other than in the ordinary course of business, since the date of the MOU there has been no material increase in the number of Affected Employees identified in the RFA/Business Case;</w:t>
      </w:r>
    </w:p>
    <w:p>
      <w:pPr>
        <w:pStyle w:val="FWOutL4"/>
        <w:numPr>
          <w:ilvl w:val="3"/>
          <w:numId w:val="11"/>
        </w:numPr>
        <w:ind w:hanging="0" w:start="0"/>
        <w:rPr>
          <w:sz w:val="22"/>
          <w:szCs w:val="22"/>
          <w:lang w:val="en-US"/>
        </w:rPr>
      </w:pPr>
      <w:r>
        <w:rPr>
          <w:sz w:val="22"/>
          <w:szCs w:val="22"/>
          <w:lang w:val="en-US"/>
        </w:rPr>
        <w:t xml:space="preserve">up to the Commencement Date with respect to the Affected Employees, it has always made all payments required to be made and has fully paid all compensation, salary, bonuses, commission, end-of year premiums, vacation pay, social security </w:t>
      </w:r>
      <w:r>
        <w:rPr>
          <w:sz w:val="22"/>
          <w:szCs w:val="22"/>
        </w:rPr>
        <w:t>contributions</w:t>
      </w:r>
      <w:r>
        <w:rPr>
          <w:sz w:val="22"/>
          <w:szCs w:val="22"/>
          <w:lang w:val="en-US"/>
        </w:rPr>
        <w:t>, withholding taxes, pension rights, insurance premiums, termination indemnities due under applicable laws and/or their respective employment agreements;</w:t>
      </w:r>
    </w:p>
    <w:p>
      <w:pPr>
        <w:pStyle w:val="FWOutL4"/>
        <w:numPr>
          <w:ilvl w:val="3"/>
          <w:numId w:val="11"/>
        </w:numPr>
        <w:ind w:hanging="0" w:start="0"/>
        <w:rPr>
          <w:rFonts w:eastAsia="Arial Unicode MS"/>
          <w:color w:val="000000"/>
          <w:sz w:val="22"/>
          <w:szCs w:val="22"/>
          <w:lang w:val="en-US"/>
        </w:rPr>
      </w:pPr>
      <w:r>
        <w:rPr>
          <w:sz w:val="22"/>
          <w:szCs w:val="22"/>
          <w:lang w:val="en-US"/>
        </w:rPr>
        <w:t xml:space="preserve">up to the Commencement Date with respect to the Affected Employees, it has complied in all respects with all obligations under any applicable labour law and social security legislation, pension plans as well as with all collective rules and any applicable employment agreements, employment policies or works rules in accordance with their respective terms, including obligations under ARD with regard to information or consultation with any Affected Employee or with the employees’ representatives </w:t>
      </w:r>
      <w:r>
        <w:rPr>
          <w:color w:val="000000"/>
          <w:sz w:val="22"/>
          <w:szCs w:val="22"/>
        </w:rPr>
        <w:t>in connection with the transaction contemplated in this MSA</w:t>
      </w:r>
      <w:bookmarkStart w:id="32" w:name="_DV_M39"/>
      <w:bookmarkStart w:id="33" w:name="_DV_M38"/>
      <w:bookmarkEnd w:id="32"/>
      <w:bookmarkEnd w:id="33"/>
      <w:r>
        <w:rPr>
          <w:sz w:val="22"/>
          <w:szCs w:val="22"/>
          <w:lang w:val="en-US"/>
        </w:rPr>
        <w:t>;</w:t>
      </w:r>
    </w:p>
    <w:p>
      <w:pPr>
        <w:pStyle w:val="FWOutL4"/>
        <w:numPr>
          <w:ilvl w:val="3"/>
          <w:numId w:val="11"/>
        </w:numPr>
        <w:ind w:hanging="0" w:start="0"/>
        <w:rPr>
          <w:color w:val="000000"/>
          <w:sz w:val="22"/>
          <w:szCs w:val="22"/>
        </w:rPr>
      </w:pPr>
      <w:bookmarkStart w:id="34" w:name="_DV_C54"/>
      <w:bookmarkStart w:id="35" w:name="_DV_M51"/>
      <w:bookmarkStart w:id="36" w:name="_DV_M43"/>
      <w:bookmarkStart w:id="37" w:name="_DV_M42"/>
      <w:bookmarkStart w:id="38" w:name="_DV_M40"/>
      <w:bookmarkEnd w:id="35"/>
      <w:bookmarkEnd w:id="36"/>
      <w:bookmarkEnd w:id="37"/>
      <w:bookmarkEnd w:id="38"/>
      <w:r>
        <w:rPr>
          <w:color w:val="000000"/>
          <w:sz w:val="22"/>
          <w:szCs w:val="22"/>
        </w:rPr>
        <w:t xml:space="preserve">there are no current or former employees of any member of the EuroBank Group or contractors or persons performing directly or indirectly services for any member of the EuroBank Group other than the Affected Employees who can successfully claim to be employed by a PST Member on the basis of ARD as a result of the transaction as contemplated by this MSA; </w:t>
      </w:r>
      <w:r>
        <w:rPr>
          <w:sz w:val="22"/>
          <w:szCs w:val="22"/>
          <w:lang w:val="en-US"/>
        </w:rPr>
      </w:r>
      <w:r>
        <w:rPr>
          <w:color w:val="000000"/>
          <w:sz w:val="22"/>
          <w:szCs w:val="22"/>
        </w:rPr>
      </w:r>
      <w:bookmarkEnd w:id="34"/>
    </w:p>
    <w:p>
      <w:pPr>
        <w:pStyle w:val="FWOutL4"/>
        <w:numPr>
          <w:ilvl w:val="3"/>
          <w:numId w:val="11"/>
        </w:numPr>
        <w:ind w:hanging="0" w:start="0"/>
        <w:rPr>
          <w:color w:val="000000"/>
          <w:sz w:val="22"/>
          <w:szCs w:val="22"/>
        </w:rPr>
      </w:pPr>
      <w:bookmarkStart w:id="39" w:name="_DV_M52"/>
      <w:bookmarkEnd w:id="39"/>
      <w:r>
        <w:rPr>
          <w:color w:val="000000"/>
          <w:sz w:val="22"/>
          <w:szCs w:val="22"/>
        </w:rPr>
        <w:t>all information which any member of the EuroBank Group has provided to the relevant PST Members for the purposes of the PST Members meeting their obligations relating to information and/or consultation of employees or their representatives is accurate in all material respects;</w:t>
      </w:r>
    </w:p>
    <w:p>
      <w:pPr>
        <w:pStyle w:val="FWOutL4"/>
        <w:numPr>
          <w:ilvl w:val="3"/>
          <w:numId w:val="11"/>
        </w:numPr>
        <w:ind w:hanging="0" w:start="0"/>
        <w:rPr>
          <w:color w:val="000000"/>
          <w:sz w:val="22"/>
          <w:szCs w:val="22"/>
        </w:rPr>
      </w:pPr>
      <w:bookmarkStart w:id="40" w:name="_DV_M54"/>
      <w:bookmarkStart w:id="41" w:name="_DV_M53"/>
      <w:bookmarkEnd w:id="40"/>
      <w:bookmarkEnd w:id="41"/>
      <w:r>
        <w:rPr>
          <w:color w:val="000000"/>
          <w:sz w:val="22"/>
          <w:szCs w:val="22"/>
        </w:rPr>
        <w:t xml:space="preserve">the Affected Employees transferring to the relevant PST Member do not represent more FTE’s than the FTE’s work that is transferred to the relevant PST </w:t>
      </w:r>
      <w:r>
        <w:rPr>
          <w:sz w:val="22"/>
          <w:szCs w:val="22"/>
          <w:lang w:val="en-US"/>
        </w:rPr>
        <w:t>Member</w:t>
      </w:r>
      <w:r>
        <w:rPr>
          <w:color w:val="000000"/>
          <w:sz w:val="22"/>
          <w:szCs w:val="22"/>
        </w:rPr>
        <w:t xml:space="preserve"> as a result of the transaction as contemplated by this MSA;</w:t>
      </w:r>
    </w:p>
    <w:p>
      <w:pPr>
        <w:pStyle w:val="FWOutL4"/>
        <w:numPr>
          <w:ilvl w:val="3"/>
          <w:numId w:val="11"/>
        </w:numPr>
        <w:ind w:hanging="0" w:start="0"/>
        <w:rPr>
          <w:color w:val="000000"/>
          <w:sz w:val="22"/>
          <w:szCs w:val="22"/>
        </w:rPr>
      </w:pPr>
      <w:bookmarkStart w:id="42" w:name="_Ref137738550"/>
      <w:r>
        <w:rPr>
          <w:color w:val="000000"/>
          <w:sz w:val="22"/>
          <w:szCs w:val="22"/>
        </w:rPr>
        <w:t>as per the Commencement Date there are no pending or actual pending dismissals, terminations, notices (other than voluntary resignation by any Affected Employee other than for cause) or disputes between EuroBank Group and any Affected Employee;</w:t>
      </w:r>
      <w:bookmarkEnd w:id="42"/>
    </w:p>
    <w:p>
      <w:pPr>
        <w:pStyle w:val="Normal"/>
        <w:jc w:val="both"/>
        <w:rPr>
          <w:color w:val="000000"/>
          <w:sz w:val="22"/>
          <w:szCs w:val="22"/>
          <w:lang w:val="en-US"/>
        </w:rPr>
      </w:pPr>
      <w:bookmarkStart w:id="43" w:name="_DV_M55"/>
      <w:bookmarkEnd w:id="43"/>
      <w:r>
        <w:rPr>
          <w:color w:val="000000"/>
          <w:sz w:val="22"/>
          <w:szCs w:val="22"/>
        </w:rPr>
        <w:t>In case of a breach of any of the above confirmations, EuroBank will indemnify the relevant PST Member against any liability resulting from such a breach. In case of a breach of Section 2.2.1 (g), the indemnification will be subject to Section 2.4 in the event of a dismissal or termination of employment following an incorrect harmonization.</w:t>
      </w:r>
      <w:r>
        <w:rPr>
          <w:sz w:val="22"/>
          <w:szCs w:val="22"/>
          <w:lang w:val="en-US"/>
        </w:rPr>
      </w:r>
      <w:r>
        <w:rPr>
          <w:color w:val="000000"/>
          <w:sz w:val="22"/>
          <w:szCs w:val="22"/>
        </w:rPr>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p>
    <w:p>
      <w:pPr>
        <w:pStyle w:val="Normal"/>
        <w:jc w:val="both"/>
        <w:rPr>
          <w:color w:val="000000"/>
          <w:sz w:val="22"/>
          <w:szCs w:val="22"/>
          <w:lang w:val="en-US"/>
        </w:rPr>
      </w:pPr>
      <w:r>
        <w:rPr>
          <w:color w:val="000000"/>
          <w:sz w:val="22"/>
          <w:szCs w:val="22"/>
          <w:lang w:val="en-US"/>
        </w:rPr>
      </w:r>
    </w:p>
    <w:p>
      <w:pPr>
        <w:pStyle w:val="Normal"/>
        <w:jc w:val="both"/>
        <w:rPr/>
      </w:pPr>
      <w:r>
        <w:rPr>
          <w:color w:val="000000"/>
          <w:sz w:val="22"/>
          <w:szCs w:val="22"/>
        </w:rPr>
        <w:t>With respect to occupational diseases, EuroBank will only be held liable for the proportion of the liability relating to the period that the relevant Affected Employee was employed by the relevant EuroBank Group member or any of its legal predecessors .</w:t>
      </w:r>
      <w:r>
        <w:rPr>
          <w:sz w:val="22"/>
          <w:szCs w:val="22"/>
          <w:lang w:val="en-US"/>
        </w:rPr>
      </w:r>
      <w:r>
        <w:rPr>
          <w:color w:val="000000"/>
          <w:sz w:val="22"/>
          <w:szCs w:val="22"/>
        </w:rPr>
      </w:r>
    </w:p>
    <w:p>
      <w:pPr>
        <w:pStyle w:val="Normal"/>
        <w:jc w:val="both"/>
        <w:rPr>
          <w:color w:val="000000"/>
          <w:sz w:val="22"/>
          <w:szCs w:val="22"/>
        </w:rPr>
      </w:pPr>
      <w:r>
        <w:rPr>
          <w:color w:val="000000"/>
          <w:sz w:val="22"/>
          <w:szCs w:val="22"/>
        </w:rPr>
      </w:r>
    </w:p>
    <w:p>
      <w:pPr>
        <w:pStyle w:val="Normal"/>
        <w:jc w:val="both"/>
        <w:rPr/>
      </w:pPr>
      <w:r>
        <w:rPr>
          <w:sz w:val="22"/>
          <w:szCs w:val="22"/>
          <w:lang w:val="en-US"/>
        </w:rPr>
        <w:t>Furthermore, EuroBank will indemnify and hold harmless the relevant PST Member for the rights of Affected Employees that are accrued before Commencement Date, but that can only be claimed after Commencement Date, such as but not limited to the pro rated 13th month premium, pro rated vacation pay, overtime hours that have been performed before Commencement Date but for which before Commencement Date no overtime pay and/or compensatory rest has been awarded to the Affected Employees. In that regard, EuroBank will calculate the entire cost of these rights and will after approval by the relevant PST Member at the latest on Commencement Date pay to the relevant PST Member the amount corresponding to the above mentioned amounts.</w:t>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p>
    <w:p>
      <w:pPr>
        <w:pStyle w:val="Normal"/>
        <w:jc w:val="both"/>
        <w:rPr>
          <w:rFonts w:eastAsia="Times New Roman"/>
          <w:sz w:val="22"/>
          <w:szCs w:val="22"/>
          <w:lang w:val="en-US"/>
        </w:rPr>
      </w:pPr>
      <w:r>
        <w:rPr>
          <w:rFonts w:eastAsia="Times New Roman"/>
          <w:sz w:val="22"/>
          <w:szCs w:val="22"/>
          <w:lang w:val="en-US"/>
        </w:rPr>
      </w:r>
    </w:p>
    <w:p>
      <w:pPr>
        <w:pStyle w:val="fwoutl41"/>
        <w:ind w:hanging="0" w:start="0" w:end="0"/>
        <w:rPr>
          <w:color w:val="000000"/>
          <w:sz w:val="22"/>
          <w:szCs w:val="22"/>
          <w:lang w:val="en-US"/>
        </w:rPr>
      </w:pPr>
      <w:r>
        <w:rPr>
          <w:color w:val="000000"/>
          <w:sz w:val="22"/>
          <w:szCs w:val="22"/>
        </w:rPr>
        <w:t>In case of any actual or threatened legal proceedings against a PST Member with regard to claims falling under the scope of this Section, the PST Member shall as soon as reasonably possible inform EuroBank, and the relevant PST Member shall in consultation with EuroBank, if necessary or reasonable, conduct proceedings, and any negotiations relating to those proceedings.</w:t>
      </w:r>
    </w:p>
    <w:p>
      <w:pPr>
        <w:pStyle w:val="fwoutl41"/>
        <w:ind w:hanging="0" w:start="0" w:end="0"/>
        <w:rPr>
          <w:color w:val="000000"/>
          <w:sz w:val="22"/>
          <w:szCs w:val="22"/>
        </w:rPr>
      </w:pPr>
      <w:bookmarkStart w:id="44" w:name="_DV_C75"/>
      <w:r>
        <w:rPr>
          <w:color w:val="000000"/>
          <w:sz w:val="22"/>
          <w:szCs w:val="22"/>
        </w:rPr>
        <w:t>EuroBank will inform the relevant PST Member to the best of its knowledge whether lawsuits or material disputes are pending or threatened by any Affected Employee or other persons that have claimed or would consider claiming that they should have been transferred to any PST Member.</w:t>
      </w:r>
      <w:bookmarkStart w:id="45" w:name="_DV_M56"/>
      <w:bookmarkEnd w:id="44"/>
      <w:bookmarkEnd w:id="45"/>
      <w:r>
        <w:rPr>
          <w:color w:val="000000"/>
          <w:sz w:val="22"/>
          <w:szCs w:val="22"/>
        </w:rPr>
      </w:r>
    </w:p>
    <w:p>
      <w:pPr>
        <w:pStyle w:val="fwoutl41"/>
        <w:ind w:hanging="0" w:start="0" w:end="0"/>
        <w:rPr>
          <w:color w:val="000000"/>
          <w:sz w:val="22"/>
          <w:szCs w:val="22"/>
        </w:rPr>
      </w:pPr>
      <w:r>
        <w:rPr>
          <w:color w:val="000000"/>
          <w:sz w:val="22"/>
          <w:szCs w:val="22"/>
        </w:rPr>
        <w:t>The PST Member shall not make any claim under this Section unless in aggregate their claims exceed EUR 30,000.</w:t>
      </w:r>
    </w:p>
    <w:p>
      <w:pPr>
        <w:pStyle w:val="FWOutL3"/>
        <w:numPr>
          <w:ilvl w:val="2"/>
          <w:numId w:val="11"/>
        </w:numPr>
        <w:ind w:hanging="0" w:start="0" w:end="0"/>
        <w:rPr>
          <w:b/>
          <w:bCs/>
          <w:color w:val="000000"/>
          <w:sz w:val="22"/>
          <w:szCs w:val="22"/>
        </w:rPr>
      </w:pPr>
      <w:r>
        <w:rPr>
          <w:b/>
          <w:bCs/>
          <w:color w:val="000000"/>
          <w:sz w:val="22"/>
          <w:szCs w:val="22"/>
        </w:rPr>
        <w:t>PST Confirmations and Indemnities</w:t>
      </w:r>
    </w:p>
    <w:p>
      <w:pPr>
        <w:pStyle w:val="fwoutl41"/>
        <w:ind w:hanging="0" w:start="0" w:end="0"/>
        <w:rPr/>
      </w:pPr>
      <w:bookmarkStart w:id="46" w:name="_DV_M58"/>
      <w:bookmarkEnd w:id="46"/>
      <w:r>
        <w:rPr>
          <w:sz w:val="22"/>
          <w:szCs w:val="22"/>
        </w:rPr>
        <w:t>The relevant PST Member confirms that all information which the relevant PST Member has provided to any EuroBank Group member for the purposes of any EuroBank Group member meeting, its obligations relating to information and/or consultation of employees or their representatives in connection with the transaction contemplated in this MSA, is accurate in all material aspects.</w:t>
      </w:r>
      <w:bookmarkStart w:id="47" w:name="_DV_M61"/>
      <w:bookmarkStart w:id="48" w:name="_DV_M59"/>
      <w:bookmarkEnd w:id="47"/>
      <w:bookmarkEnd w:id="48"/>
      <w:r>
        <w:rPr>
          <w:sz w:val="22"/>
          <w:szCs w:val="22"/>
        </w:rPr>
      </w:r>
      <w:r>
        <w:rPr>
          <w:color w:val="000000"/>
          <w:sz w:val="22"/>
          <w:szCs w:val="22"/>
        </w:rPr>
      </w:r>
      <w:bookmarkStart w:id="49" w:name="_DV_M62"/>
      <w:bookmarkEnd w:id="49"/>
      <w:r>
        <w:rPr>
          <w:color w:val="000000"/>
          <w:sz w:val="22"/>
          <w:szCs w:val="22"/>
        </w:rPr>
      </w:r>
    </w:p>
    <w:p>
      <w:pPr>
        <w:pStyle w:val="Normal"/>
        <w:jc w:val="both"/>
        <w:rPr>
          <w:sz w:val="22"/>
          <w:szCs w:val="22"/>
        </w:rPr>
      </w:pPr>
      <w:r>
        <w:rPr>
          <w:sz w:val="22"/>
          <w:szCs w:val="22"/>
        </w:rPr>
        <w:t>In case of a breach of this confirmation, the relevant PST Member will indemnify EuroBank against any liability incurred by any member of EuroBank Group resulting from such a breach.</w:t>
      </w:r>
    </w:p>
    <w:p>
      <w:pPr>
        <w:pStyle w:val="Normal"/>
        <w:jc w:val="both"/>
        <w:rPr>
          <w:sz w:val="22"/>
          <w:szCs w:val="22"/>
        </w:rPr>
      </w:pPr>
      <w:r>
        <w:rPr>
          <w:sz w:val="22"/>
          <w:szCs w:val="22"/>
        </w:rPr>
      </w:r>
    </w:p>
    <w:p>
      <w:pPr>
        <w:pStyle w:val="Normal"/>
        <w:jc w:val="both"/>
        <w:rPr>
          <w:sz w:val="22"/>
          <w:szCs w:val="22"/>
          <w:lang w:val="en-US"/>
        </w:rPr>
      </w:pPr>
      <w:bookmarkStart w:id="50" w:name="_DV_C81"/>
      <w:r>
        <w:rPr>
          <w:sz w:val="22"/>
          <w:szCs w:val="22"/>
        </w:rPr>
        <w:t>In case of any actual or threatened legal proceedings against any EuroBank Group member with regard to claims falling under the scope of this article, EuroBank shall as soon as reasonably possible inform the relevant PST Member, and EuroBank as representative of the relevant EuroBank Group member shall consult with the relevant PST Member, if necessary or reasonable, with respect to the conduct of these proceedings, and any negotiations relating to those proceedings.</w:t>
      </w:r>
      <w:bookmarkEnd w:id="50"/>
    </w:p>
    <w:p>
      <w:pPr>
        <w:pStyle w:val="Normal"/>
        <w:jc w:val="both"/>
        <w:rPr>
          <w:sz w:val="22"/>
          <w:szCs w:val="22"/>
          <w:lang w:val="en-US"/>
        </w:rPr>
      </w:pPr>
      <w:r>
        <w:rPr>
          <w:sz w:val="22"/>
          <w:szCs w:val="22"/>
          <w:lang w:val="en-US"/>
        </w:rPr>
      </w:r>
    </w:p>
    <w:p>
      <w:pPr>
        <w:pStyle w:val="fwoutl41"/>
        <w:ind w:hanging="0" w:start="0" w:end="0"/>
        <w:rPr>
          <w:color w:val="000000"/>
          <w:sz w:val="22"/>
          <w:szCs w:val="22"/>
        </w:rPr>
      </w:pPr>
      <w:bookmarkStart w:id="51" w:name="_DV_C82"/>
      <w:r>
        <w:rPr>
          <w:color w:val="000000"/>
          <w:sz w:val="22"/>
          <w:szCs w:val="22"/>
        </w:rPr>
        <w:t>The relevant PST Member will inform EuroBank to the best of its knowledge whether lawsuits or material disputes are pending or threatened by any employee of an EuroBank Group member other than an Affected Employee or other persons that have claimed or would consider claiming that they should have been transferred to the relevant PST Member.</w:t>
      </w:r>
      <w:bookmarkEnd w:id="51"/>
    </w:p>
    <w:p>
      <w:pPr>
        <w:pStyle w:val="FWOutL2"/>
        <w:numPr>
          <w:ilvl w:val="1"/>
          <w:numId w:val="11"/>
        </w:numPr>
        <w:ind w:hanging="0" w:start="0"/>
        <w:rPr>
          <w:b w:val="false"/>
          <w:bCs/>
          <w:color w:val="000000"/>
          <w:sz w:val="22"/>
          <w:szCs w:val="22"/>
        </w:rPr>
      </w:pPr>
      <w:bookmarkStart w:id="52" w:name="__RefHeading___Toc153767078"/>
      <w:bookmarkStart w:id="53" w:name="_Ref139189882"/>
      <w:bookmarkEnd w:id="52"/>
      <w:r>
        <w:rPr>
          <w:color w:val="000000"/>
          <w:sz w:val="22"/>
          <w:szCs w:val="22"/>
        </w:rPr>
        <w:t xml:space="preserve">PST compensation related to return of Affected Employees on the basis of "Sociaal Kader Sourcing d.d. 23 maart 2006" and the "Aanvullende Afspraken Sociaal Kader Sourcing d.d. 4 oktober 2006" or Belgian equivalent thereof </w:t>
      </w:r>
      <w:r>
        <w:rPr>
          <w:b w:val="false"/>
          <w:bCs/>
          <w:color w:val="000000"/>
        </w:rPr>
        <w:t>(</w:t>
      </w:r>
      <w:r>
        <w:rPr>
          <w:bCs/>
          <w:color w:val="000000"/>
        </w:rPr>
        <w:t>Collective Labour Agreements</w:t>
      </w:r>
      <w:r>
        <w:rPr>
          <w:rStyle w:val="Strong"/>
          <w:b w:val="false"/>
          <w:sz w:val="22"/>
          <w:szCs w:val="22"/>
        </w:rPr>
        <w:t xml:space="preserve"> Sourcing (CAO) dated 31</w:t>
      </w:r>
      <w:r>
        <w:rPr>
          <w:rStyle w:val="Strong"/>
          <w:b w:val="false"/>
          <w:sz w:val="22"/>
          <w:szCs w:val="22"/>
          <w:vertAlign w:val="superscript"/>
        </w:rPr>
        <w:t>st</w:t>
      </w:r>
      <w:r>
        <w:rPr>
          <w:rStyle w:val="Strong"/>
          <w:b w:val="false"/>
          <w:sz w:val="22"/>
          <w:szCs w:val="22"/>
        </w:rPr>
        <w:t xml:space="preserve"> May 2006</w:t>
      </w:r>
      <w:r>
        <w:rPr>
          <w:rStyle w:val="Strong"/>
          <w:b/>
          <w:sz w:val="22"/>
          <w:szCs w:val="22"/>
        </w:rPr>
        <w:t>)</w:t>
      </w:r>
      <w:bookmarkEnd w:id="53"/>
    </w:p>
    <w:p>
      <w:pPr>
        <w:pStyle w:val="FWOutL3"/>
        <w:numPr>
          <w:ilvl w:val="2"/>
          <w:numId w:val="11"/>
        </w:numPr>
        <w:ind w:hanging="0" w:start="0" w:end="0"/>
        <w:rPr>
          <w:color w:val="000000"/>
          <w:sz w:val="22"/>
          <w:szCs w:val="22"/>
        </w:rPr>
      </w:pPr>
      <w:bookmarkStart w:id="54" w:name="_Ref137739462"/>
      <w:bookmarkStart w:id="55" w:name="_DV_M67"/>
      <w:bookmarkEnd w:id="54"/>
      <w:bookmarkEnd w:id="55"/>
      <w:r>
        <w:rPr>
          <w:color w:val="000000"/>
          <w:sz w:val="22"/>
          <w:szCs w:val="22"/>
        </w:rPr>
        <w:t xml:space="preserve">With regard to the transfer of Affected Employees in the Netherlands, in case of a successful claim of an Affected Employee to return to any EuroBank Group member on the basis of article III 1.2 (in case of dismissal for financial reasons in the first year after the Commencement Date) to 1.5 of "Sociaal Kader Sourcing d.d. 23 maart 2006" and the "Aanvullende Afspraken Sociaal Kader Sourcing d.d. 4 oktober 2006", the relevant PST Member will fully indemnify EuroBank on demand for all costs and liabilities, based on the agreement on harmonisation costs as described in Attachment 5-J, incurred by any EuroBank Group member in respect of the employment or termination of employment of such Affected Employee if such right of return is caused by the relevant PST Member acting in breach of any of its obligations as contained in the MSA. </w:t>
      </w:r>
    </w:p>
    <w:p>
      <w:pPr>
        <w:pStyle w:val="fwoutl41"/>
        <w:ind w:hanging="0" w:start="0" w:end="0"/>
        <w:rPr>
          <w:rFonts w:eastAsia="MS Mincho;Arial Unicode MS"/>
          <w:color w:val="000000"/>
          <w:sz w:val="22"/>
          <w:szCs w:val="22"/>
        </w:rPr>
      </w:pPr>
      <w:bookmarkStart w:id="56" w:name="_DV_C84"/>
      <w:r>
        <w:rPr>
          <w:color w:val="000000"/>
          <w:sz w:val="22"/>
          <w:szCs w:val="22"/>
        </w:rPr>
        <w:t xml:space="preserve">In the event of a termination for cause of this MSA by EuroBank on the basis of Clause 16.2 of the MSA and a successful return of any of the Affected Employees on the basis of article III 1.1 of the "Sociaal Kader Sourcing d.d. 23 maart 2006" and the "Aanvullende Afspraken Sociaal Kader Sourcing d.d. 4 oktober 2006" as a result, the relevant PST Member will fully indemnify EuroBank on demand for all damages incurred by any EuroBank Group member based the agreement on harmonisation costs as described in Attachment 5-J in respect of the employment and termination of employment of such Affected Employees by EuroBank and/or an Incoming Supplier. EuroBank shall be required to notify the PST Member within a period of 18 months of the date of termination of the MSA of its intention to make a claim under this Clause. In any case the parties shall during this period of 18 months negotiate in good faith with a view to determining and mitigating EuroBank’s damages as set out in this Clause. </w:t>
      </w:r>
      <w:bookmarkStart w:id="57" w:name="_DV_M68"/>
      <w:bookmarkEnd w:id="56"/>
      <w:bookmarkEnd w:id="57"/>
      <w:r>
        <w:rPr>
          <w:color w:val="000000"/>
          <w:sz w:val="22"/>
          <w:szCs w:val="22"/>
        </w:rPr>
      </w:r>
      <w:r>
        <w:rPr>
          <w:rFonts w:eastAsia="MS Mincho;Arial Unicode MS"/>
          <w:color w:val="000000"/>
          <w:sz w:val="22"/>
          <w:szCs w:val="22"/>
        </w:rPr>
      </w:r>
      <w:r>
        <w:rPr>
          <w:color w:val="000000"/>
          <w:sz w:val="22"/>
          <w:szCs w:val="22"/>
        </w:rPr>
      </w:r>
      <w:r>
        <w:rPr>
          <w:rFonts w:eastAsia="MS Mincho;Arial Unicode MS"/>
          <w:color w:val="000000"/>
          <w:sz w:val="22"/>
          <w:szCs w:val="22"/>
        </w:rPr>
      </w:r>
      <w:r>
        <w:rPr>
          <w:color w:val="000000"/>
          <w:sz w:val="22"/>
          <w:szCs w:val="22"/>
        </w:rPr>
      </w:r>
      <w:r>
        <w:rPr>
          <w:sz w:val="22"/>
          <w:szCs w:val="22"/>
        </w:rPr>
      </w:r>
      <w:r>
        <w:rPr>
          <w:color w:val="000000"/>
          <w:sz w:val="22"/>
          <w:szCs w:val="22"/>
        </w:rPr>
      </w:r>
    </w:p>
    <w:p>
      <w:pPr>
        <w:pStyle w:val="fwoutl41"/>
        <w:ind w:hanging="0" w:start="0" w:end="0"/>
        <w:rPr/>
      </w:pPr>
      <w:r>
        <w:rPr>
          <w:rFonts w:eastAsia="MS Mincho;Arial Unicode MS"/>
          <w:color w:val="000000"/>
          <w:sz w:val="22"/>
          <w:szCs w:val="22"/>
        </w:rPr>
        <w:t>In case of a dismissal of an Affected Employee by a PST Member for financial reasons (bedrijfseconomische redenen) in the second or third year after the Commencement Date and a subsequent successful claim by the relevant Affected Employee to return to a EuroBank Group member based on article III 1.2 of the "Sociaal Kader Sourcing d.d. 23 maart 2006" and the "Aanvullende Afspraken Sociaal Kader Sourcing d.d. 4 oktober 2006", the relevant PST Member will only pay an indemnity to EuroBank equal to the Neutral Cantonal Court Formula.</w:t>
      </w:r>
      <w:r>
        <w:rPr>
          <w:rFonts w:eastAsia="MS Mincho;Arial Unicode MS"/>
          <w:i/>
          <w:iCs/>
          <w:color w:val="000000"/>
          <w:sz w:val="22"/>
          <w:szCs w:val="22"/>
        </w:rPr>
      </w:r>
      <w:r>
        <w:rPr>
          <w:rFonts w:eastAsia="MS Mincho;Arial Unicode MS"/>
          <w:color w:val="000000"/>
          <w:sz w:val="22"/>
          <w:szCs w:val="22"/>
        </w:rPr>
      </w:r>
    </w:p>
    <w:p>
      <w:pPr>
        <w:pStyle w:val="fwoutl41"/>
        <w:ind w:hanging="0" w:start="0" w:end="0"/>
        <w:rPr>
          <w:rFonts w:eastAsia="MS Mincho;Arial Unicode MS"/>
          <w:color w:val="000000"/>
          <w:sz w:val="22"/>
          <w:szCs w:val="22"/>
        </w:rPr>
      </w:pPr>
      <w:r>
        <w:rPr>
          <w:rFonts w:eastAsia="MS Mincho;Arial Unicode MS"/>
          <w:color w:val="000000"/>
          <w:sz w:val="22"/>
          <w:szCs w:val="22"/>
        </w:rPr>
        <w:t xml:space="preserve">PST Member will use its best endeavour to negotiate any severance payment with the Affected Employee on the basis of that Employee not exercising his/her right of return. In the event notwithstanding the PST Member best endeavours the Affected Employee does exercise his/her right of return and claim from the PST Member a severance payment which is being paid by the PST Member then the PST Member shall not be obliged to indemnify EuroBank. Subject always to the PST Member notifying EuroBank in writing prior to the payment of such severance. </w:t>
      </w:r>
    </w:p>
    <w:p>
      <w:pPr>
        <w:pStyle w:val="FWOutL3"/>
        <w:numPr>
          <w:ilvl w:val="2"/>
          <w:numId w:val="11"/>
        </w:numPr>
        <w:ind w:hanging="0" w:start="0" w:end="0"/>
        <w:rPr>
          <w:sz w:val="22"/>
          <w:szCs w:val="22"/>
        </w:rPr>
      </w:pPr>
      <w:bookmarkStart w:id="58" w:name="_Ref137739462"/>
      <w:bookmarkEnd w:id="58"/>
      <w:r>
        <w:rPr>
          <w:sz w:val="22"/>
          <w:szCs w:val="22"/>
        </w:rPr>
        <w:t>With regard to the transfer of Affected Employees in Belgium, in case of a successful claim of an Affected Employee to return to EuroBank België NV on the basis of the collective labour agreement agreed upon between EuroBank België NV and the representative trade unions on 31st May 2006 the relevant PST Supplier will pay to EuroBank on demand an indemnity that is equal to the termination indemnity (or compensation in lieu of notice) calculated on the basis of the Claeys formula (basis 2004) that would have been indebted to the Affected Employee who successfully claims to return to EuroBank in case he/she would have been dismissed by the relevant PST Supplier, increased by the employer’s part of the social security contributions (Patronale RSZ-bijdragen). An employment protocol will be drafted which further defines the obligations under the mentioned collective labour agreement.</w:t>
      </w:r>
      <w:r>
        <w:rPr>
          <w:sz w:val="22"/>
          <w:szCs w:val="22"/>
          <w:vertAlign w:val="superscript"/>
        </w:rPr>
      </w:r>
      <w:r>
        <w:rPr>
          <w:sz w:val="22"/>
          <w:szCs w:val="22"/>
        </w:rPr>
      </w:r>
      <w:r>
        <w:rPr>
          <w:i/>
          <w:sz w:val="22"/>
          <w:szCs w:val="22"/>
        </w:rPr>
      </w:r>
      <w:r>
        <w:rPr>
          <w:iCs/>
          <w:sz w:val="22"/>
          <w:szCs w:val="22"/>
        </w:rPr>
      </w:r>
      <w:r>
        <w:rPr>
          <w:sz w:val="22"/>
          <w:szCs w:val="22"/>
        </w:rPr>
      </w:r>
      <w:r>
        <w:rPr>
          <w:i/>
          <w:iCs/>
          <w:sz w:val="22"/>
          <w:szCs w:val="22"/>
        </w:rPr>
      </w:r>
      <w:r>
        <w:rPr>
          <w:sz w:val="22"/>
          <w:szCs w:val="22"/>
        </w:rPr>
      </w:r>
    </w:p>
    <w:p>
      <w:pPr>
        <w:pStyle w:val="FWOutL3"/>
        <w:numPr>
          <w:ilvl w:val="2"/>
          <w:numId w:val="11"/>
        </w:numPr>
        <w:ind w:hanging="0" w:start="0" w:end="0"/>
        <w:rPr>
          <w:rStyle w:val="DeltaViewInsertion"/>
          <w:color w:val="000000"/>
          <w:sz w:val="22"/>
          <w:szCs w:val="22"/>
          <w:u w:val="none"/>
          <w:lang w:val="en-US"/>
        </w:rPr>
      </w:pPr>
      <w:bookmarkStart w:id="59" w:name="_DV_M69"/>
      <w:bookmarkEnd w:id="59"/>
      <w:r>
        <w:rPr>
          <w:sz w:val="22"/>
          <w:szCs w:val="22"/>
        </w:rPr>
        <w:t>At the request of EuroBank, the relevant PST Member will provide all information as reasonably possible and which is reasonably necessary for the relevant EuroBank Group member to judge a claim under this Section. In case the relevant PST Member is not able to provide such documentation this will be considered an act of breach by the relevant PST Member of its obligations for the purpose of Section 2.3.</w:t>
      </w:r>
      <w:r>
        <w:rPr>
          <w:color w:val="000000"/>
          <w:sz w:val="22"/>
          <w:szCs w:val="22"/>
        </w:rPr>
      </w:r>
      <w:r>
        <w:rPr>
          <w:sz w:val="22"/>
          <w:szCs w:val="22"/>
        </w:rPr>
      </w:r>
      <w:r>
        <w:rPr>
          <w:rStyle w:val="DeltaViewInsertion"/>
          <w:color w:val="000000"/>
          <w:sz w:val="22"/>
          <w:szCs w:val="22"/>
          <w:u w:val="none"/>
        </w:rPr>
      </w:r>
      <w:bookmarkStart w:id="60" w:name="_DV_C87"/>
      <w:r>
        <w:rPr>
          <w:rStyle w:val="DeltaViewInsertion"/>
          <w:color w:val="000000"/>
          <w:sz w:val="22"/>
          <w:szCs w:val="22"/>
          <w:u w:val="none"/>
        </w:rPr>
      </w:r>
      <w:r>
        <w:rPr>
          <w:rStyle w:val="DeltaViewInsertion"/>
          <w:color w:val="000000"/>
          <w:sz w:val="22"/>
          <w:szCs w:val="22"/>
          <w:u w:val="none"/>
        </w:rPr>
      </w:r>
      <w:r>
        <w:rPr>
          <w:rStyle w:val="DeltaViewInsertion"/>
          <w:sz w:val="22"/>
          <w:u w:val="none"/>
          <w:szCs w:val="22"/>
          <w:color w:val="000000"/>
        </w:rPr>
      </w:r>
      <w:r>
        <w:rPr>
          <w:rStyle w:val="DeltaViewInsertion"/>
          <w:sz w:val="22"/>
          <w:u w:val="none"/>
          <w:szCs w:val="22"/>
          <w:color w:val="000000"/>
        </w:rPr>
      </w:r>
      <w:r>
        <w:rPr>
          <w:rStyle w:val="DeltaViewInsertion"/>
          <w:sz w:val="22"/>
          <w:u w:val="none"/>
          <w:szCs w:val="22"/>
          <w:color w:val="000000"/>
        </w:rPr>
      </w:r>
      <w:r>
        <w:rPr>
          <w:rStyle w:val="DeltaViewInsertion"/>
          <w:sz w:val="22"/>
          <w:u w:val="none"/>
          <w:szCs w:val="22"/>
          <w:color w:val="000000"/>
        </w:rPr>
      </w:r>
      <w:r>
        <w:rPr>
          <w:rStyle w:val="DeltaViewInsertion"/>
          <w:color w:val="000000"/>
          <w:sz w:val="22"/>
          <w:szCs w:val="22"/>
          <w:u w:val="none"/>
        </w:rPr>
      </w:r>
    </w:p>
    <w:p>
      <w:pPr>
        <w:pStyle w:val="FWOutL3"/>
        <w:numPr>
          <w:ilvl w:val="2"/>
          <w:numId w:val="11"/>
        </w:numPr>
        <w:ind w:hanging="0" w:start="0" w:end="0"/>
        <w:rPr>
          <w:color w:val="000000"/>
          <w:sz w:val="22"/>
          <w:szCs w:val="22"/>
          <w:lang w:val="en-US"/>
        </w:rPr>
      </w:pPr>
      <w:r>
        <w:rPr>
          <w:rStyle w:val="DeltaViewInsertion"/>
          <w:color w:val="000000"/>
          <w:sz w:val="22"/>
          <w:szCs w:val="22"/>
          <w:u w:val="none"/>
        </w:rPr>
        <w:t>EuroBank shall not require an indemnity from 2IM in the event that an Affected Employee exercises his right to return on the basis of 2IM failure to comply with ‘loopbaan ontwikkeling’ as defined in the employment protocol.</w:t>
      </w:r>
      <w:r>
        <w:rPr>
          <w:color w:val="000000"/>
          <w:sz w:val="22"/>
          <w:szCs w:val="22"/>
        </w:rPr>
      </w:r>
      <w:r>
        <w:rPr>
          <w:rStyle w:val="DeltaViewInsertion"/>
          <w:color w:val="000000"/>
          <w:sz w:val="22"/>
          <w:szCs w:val="22"/>
          <w:u w:val="none"/>
        </w:rPr>
      </w:r>
      <w:r>
        <w:rPr>
          <w:rStyle w:val="DeltaViewInsertion"/>
          <w:i/>
          <w:iCs/>
          <w:color w:val="000000"/>
          <w:sz w:val="22"/>
          <w:szCs w:val="22"/>
          <w:u w:val="none"/>
        </w:rPr>
      </w:r>
      <w:r>
        <w:rPr>
          <w:rStyle w:val="DeltaViewInsertion"/>
          <w:color w:val="000000"/>
          <w:sz w:val="22"/>
          <w:szCs w:val="22"/>
          <w:u w:val="none"/>
        </w:rPr>
      </w:r>
      <w:bookmarkEnd w:id="60"/>
    </w:p>
    <w:p>
      <w:pPr>
        <w:pStyle w:val="FWOutL2"/>
        <w:numPr>
          <w:ilvl w:val="1"/>
          <w:numId w:val="11"/>
        </w:numPr>
        <w:ind w:hanging="0" w:start="0"/>
        <w:rPr>
          <w:color w:val="000000"/>
          <w:sz w:val="22"/>
          <w:szCs w:val="22"/>
        </w:rPr>
      </w:pPr>
      <w:bookmarkStart w:id="61" w:name="__RefHeading___Toc153767079"/>
      <w:bookmarkStart w:id="62" w:name="_Ref137738970"/>
      <w:r>
        <w:rPr>
          <w:color w:val="000000"/>
          <w:sz w:val="22"/>
          <w:szCs w:val="22"/>
        </w:rPr>
        <w:t>Compensation for claims based on incorrect harmonisation</w:t>
      </w:r>
      <w:bookmarkEnd w:id="61"/>
      <w:r>
        <w:rPr>
          <w:color w:val="000000"/>
          <w:sz w:val="22"/>
          <w:szCs w:val="22"/>
        </w:rPr>
        <w:t xml:space="preserve"> </w:t>
      </w:r>
      <w:bookmarkEnd w:id="62"/>
    </w:p>
    <w:p>
      <w:pPr>
        <w:pStyle w:val="FWOutL2"/>
        <w:numPr>
          <w:ilvl w:val="0"/>
          <w:numId w:val="0"/>
        </w:numPr>
        <w:ind w:hanging="0" w:start="0"/>
        <w:rPr>
          <w:color w:val="000000"/>
          <w:sz w:val="22"/>
          <w:szCs w:val="22"/>
        </w:rPr>
      </w:pPr>
      <w:bookmarkStart w:id="63" w:name="__RefHeading___Toc153767080"/>
      <w:bookmarkEnd w:id="63"/>
      <w:r>
        <w:rPr>
          <w:color w:val="000000"/>
          <w:sz w:val="22"/>
          <w:szCs w:val="22"/>
        </w:rPr>
        <w:t>A</w:t>
        <w:tab/>
        <w:t>The Netherlands</w:t>
      </w:r>
    </w:p>
    <w:p>
      <w:pPr>
        <w:pStyle w:val="FWOutL3"/>
        <w:numPr>
          <w:ilvl w:val="2"/>
          <w:numId w:val="11"/>
        </w:numPr>
        <w:ind w:hanging="0" w:start="0" w:end="0"/>
        <w:rPr>
          <w:color w:val="000000"/>
          <w:sz w:val="22"/>
          <w:szCs w:val="22"/>
        </w:rPr>
      </w:pPr>
      <w:bookmarkStart w:id="64" w:name="_DV_M73"/>
      <w:bookmarkEnd w:id="64"/>
      <w:r>
        <w:rPr>
          <w:color w:val="000000"/>
          <w:sz w:val="22"/>
          <w:szCs w:val="22"/>
        </w:rPr>
        <w:t xml:space="preserve">If an individual Affected Employee would successfully claim that in his or her individual case there has been an incorrect harmonisation of the terms and conditions of employment by the relevant PST Supplier, EuroBank and the relevant PST Supplier will each bear 50% of the full cost incurred by the other party for the correction of the harmonisation of the terms and conditions of employment including the cost of compensation to be paid to the relevant Affected Employee, interest and reasonable legal costs incurred in connection with the dispute with the relevant employee. </w:t>
      </w:r>
      <w:r>
        <w:rPr>
          <w:rStyle w:val="DeltaViewInsertion"/>
          <w:color w:val="000000"/>
          <w:sz w:val="22"/>
          <w:szCs w:val="22"/>
          <w:u w:val="none"/>
        </w:rPr>
      </w:r>
      <w:r>
        <w:rPr>
          <w:color w:val="000000"/>
          <w:sz w:val="22"/>
          <w:szCs w:val="22"/>
        </w:rPr>
      </w:r>
      <w:r>
        <w:rPr>
          <w:rStyle w:val="DeltaViewInsertion"/>
          <w:color w:val="000000"/>
          <w:sz w:val="22"/>
          <w:szCs w:val="22"/>
          <w:u w:val="none"/>
        </w:rPr>
      </w:r>
      <w:r>
        <w:rPr>
          <w:color w:val="000000"/>
          <w:sz w:val="22"/>
          <w:szCs w:val="22"/>
        </w:rPr>
      </w:r>
      <w:r>
        <w:rPr>
          <w:rStyle w:val="DeltaViewInsertion"/>
          <w:color w:val="000000"/>
          <w:sz w:val="22"/>
          <w:szCs w:val="22"/>
          <w:u w:val="none"/>
        </w:rPr>
      </w:r>
      <w:r>
        <w:rPr>
          <w:color w:val="000000"/>
          <w:sz w:val="22"/>
          <w:szCs w:val="22"/>
        </w:rPr>
      </w:r>
    </w:p>
    <w:p>
      <w:pPr>
        <w:pStyle w:val="FWOutL3"/>
        <w:numPr>
          <w:ilvl w:val="2"/>
          <w:numId w:val="11"/>
        </w:numPr>
        <w:ind w:hanging="0" w:start="0" w:end="0"/>
        <w:rPr>
          <w:color w:val="000000"/>
          <w:sz w:val="22"/>
          <w:szCs w:val="22"/>
        </w:rPr>
      </w:pPr>
      <w:bookmarkStart w:id="65" w:name="_DV_M74"/>
      <w:bookmarkEnd w:id="65"/>
      <w:r>
        <w:rPr>
          <w:color w:val="000000"/>
          <w:sz w:val="22"/>
          <w:szCs w:val="22"/>
        </w:rPr>
        <w:t>In case of a successful collective claim by the Affected Employees based on the fact that the harmonisation of the terms and conditions of employment by the PST Suppliers would be in violation of ARD, resulting in an overall change of the terms and conditions of employment for the Affected Employees, the costs will be dealt with in line with the agreement reached between EuroBank and the relevant PST Suppliers in respect of the harmonisation cost as laid down in Attachment 5-J (Harmonisation Cost) to this Exhibit 5.</w:t>
      </w:r>
      <w:bookmarkStart w:id="66" w:name="_DV_M75"/>
      <w:bookmarkEnd w:id="66"/>
      <w:r>
        <w:rPr>
          <w:color w:val="000000"/>
          <w:sz w:val="22"/>
          <w:szCs w:val="22"/>
        </w:rPr>
      </w:r>
      <w:r>
        <w:rPr>
          <w:rStyle w:val="DeltaViewInsertion"/>
          <w:color w:val="000000"/>
          <w:sz w:val="22"/>
          <w:szCs w:val="22"/>
          <w:u w:val="none"/>
        </w:rPr>
      </w:r>
      <w:r>
        <w:rPr>
          <w:color w:val="000000"/>
          <w:sz w:val="22"/>
          <w:szCs w:val="22"/>
        </w:rPr>
      </w:r>
      <w:r>
        <w:rPr>
          <w:i/>
          <w:iCs/>
          <w:color w:val="000000"/>
          <w:sz w:val="22"/>
          <w:szCs w:val="22"/>
        </w:rPr>
      </w:r>
      <w:r>
        <w:rPr>
          <w:color w:val="000000"/>
          <w:sz w:val="22"/>
          <w:szCs w:val="22"/>
          <w:lang w:eastAsia="ja-JP"/>
        </w:rPr>
      </w:r>
      <w:r>
        <w:rPr>
          <w:color w:val="000000"/>
          <w:sz w:val="22"/>
          <w:szCs w:val="22"/>
        </w:rPr>
      </w:r>
    </w:p>
    <w:p>
      <w:pPr>
        <w:pStyle w:val="FWOutL3"/>
        <w:numPr>
          <w:ilvl w:val="2"/>
          <w:numId w:val="11"/>
        </w:numPr>
        <w:ind w:hanging="0" w:start="0" w:end="0"/>
        <w:rPr>
          <w:color w:val="000000"/>
          <w:sz w:val="22"/>
          <w:szCs w:val="22"/>
          <w:lang w:val="en-US"/>
        </w:rPr>
      </w:pPr>
      <w:bookmarkStart w:id="67" w:name="_Ref137738960"/>
      <w:bookmarkStart w:id="68" w:name="_DV_M76"/>
      <w:bookmarkEnd w:id="68"/>
      <w:r>
        <w:rPr>
          <w:color w:val="000000"/>
          <w:sz w:val="22"/>
          <w:szCs w:val="22"/>
        </w:rPr>
        <w:t xml:space="preserve">The cost arising from the resignation or termination of the employment by a court or constructive dismissal of any Affected Employee as a result of a change by the relevant PST Supplier to the terms and conditions of employment which apply to that employee after Commencement Date will be borne by EuroBank if they are incurred or if such objection has been raised before the Commencement Date, and the costs will be borne by the relevant PST Supplier if they are incurred or if such objection has been raised from Commencement Date onwards. </w:t>
      </w:r>
      <w:r>
        <w:rPr>
          <w:rStyle w:val="DeltaViewInsertion"/>
          <w:color w:val="000000"/>
          <w:sz w:val="22"/>
          <w:szCs w:val="22"/>
          <w:u w:val="none"/>
        </w:rPr>
      </w:r>
      <w:r>
        <w:rPr>
          <w:color w:val="000000"/>
          <w:sz w:val="22"/>
          <w:szCs w:val="22"/>
        </w:rPr>
      </w:r>
      <w:bookmarkStart w:id="69" w:name="_DV_M77"/>
      <w:bookmarkEnd w:id="69"/>
      <w:r>
        <w:rPr>
          <w:color w:val="000000"/>
          <w:sz w:val="22"/>
          <w:szCs w:val="22"/>
        </w:rPr>
      </w:r>
      <w:r>
        <w:rPr>
          <w:rStyle w:val="DeltaViewInsertion"/>
          <w:color w:val="000000"/>
          <w:sz w:val="22"/>
          <w:szCs w:val="22"/>
          <w:u w:val="none"/>
        </w:rPr>
      </w:r>
      <w:r>
        <w:rPr>
          <w:color w:val="000000"/>
          <w:sz w:val="22"/>
          <w:szCs w:val="22"/>
        </w:rPr>
      </w:r>
      <w:bookmarkStart w:id="70" w:name="_DV_C93"/>
      <w:r>
        <w:rPr>
          <w:color w:val="000000"/>
          <w:sz w:val="22"/>
          <w:szCs w:val="22"/>
        </w:rPr>
      </w:r>
      <w:bookmarkEnd w:id="67"/>
      <w:bookmarkEnd w:id="70"/>
      <w:r>
        <w:rPr>
          <w:color w:val="000000"/>
          <w:sz w:val="22"/>
          <w:szCs w:val="22"/>
        </w:rPr>
      </w:r>
    </w:p>
    <w:p>
      <w:pPr>
        <w:pStyle w:val="FWOutL2"/>
        <w:numPr>
          <w:ilvl w:val="0"/>
          <w:numId w:val="0"/>
        </w:numPr>
        <w:ind w:hanging="0" w:start="0"/>
        <w:rPr>
          <w:color w:val="000000"/>
          <w:sz w:val="22"/>
          <w:szCs w:val="22"/>
        </w:rPr>
      </w:pPr>
      <w:bookmarkStart w:id="71" w:name="__RefHeading___Toc153767081"/>
      <w:bookmarkEnd w:id="71"/>
      <w:r>
        <w:rPr>
          <w:color w:val="000000"/>
          <w:sz w:val="22"/>
          <w:szCs w:val="22"/>
        </w:rPr>
        <w:t>B</w:t>
        <w:tab/>
        <w:t>Belgium</w:t>
      </w:r>
    </w:p>
    <w:p>
      <w:pPr>
        <w:pStyle w:val="FWOutL3"/>
        <w:numPr>
          <w:ilvl w:val="2"/>
          <w:numId w:val="11"/>
        </w:numPr>
        <w:ind w:hanging="0" w:start="0" w:end="0"/>
        <w:rPr>
          <w:color w:val="000000"/>
          <w:sz w:val="22"/>
          <w:szCs w:val="22"/>
        </w:rPr>
      </w:pPr>
      <w:r>
        <w:rPr>
          <w:color w:val="000000"/>
          <w:sz w:val="22"/>
          <w:szCs w:val="22"/>
        </w:rPr>
        <w:t>EuroBank Belgium SA/NV undertakes, as the occasion arises, to bear 50% of the severance payment and of any protection allowance or allowances (e.g. paid educational leave, time credit, trade union delegation, etc.) (including employer’s national social security contributions), as well as the interest and proven reasonable legal expenditure inherent in an enforceable final ruling further to a legal decision with force of res judicata, subject to due and cumulative regard for the following conditions:</w:t>
      </w:r>
    </w:p>
    <w:p>
      <w:pPr>
        <w:pStyle w:val="Normal"/>
        <w:ind w:hanging="705" w:start="705" w:end="0"/>
        <w:jc w:val="both"/>
        <w:rPr>
          <w:sz w:val="22"/>
          <w:szCs w:val="22"/>
        </w:rPr>
      </w:pPr>
      <w:r>
        <w:rPr>
          <w:sz w:val="22"/>
          <w:szCs w:val="22"/>
        </w:rPr>
        <w:t>(a)</w:t>
        <w:tab/>
        <w:t>the grounds for the final ruling relate exclusively to a unilateral modification of an essential component of the employment contract of the transferred (former EuroBank) employees by the PST, further to which a violation of Collective Labour Agreement No 32bis and an immediate termination of the employment contract is observed;</w:t>
      </w:r>
    </w:p>
    <w:p>
      <w:pPr>
        <w:pStyle w:val="Normal"/>
        <w:ind w:hanging="705" w:start="705" w:end="0"/>
        <w:jc w:val="both"/>
        <w:rPr>
          <w:sz w:val="22"/>
          <w:szCs w:val="22"/>
        </w:rPr>
      </w:pPr>
      <w:r>
        <w:rPr>
          <w:sz w:val="22"/>
          <w:szCs w:val="22"/>
        </w:rPr>
      </w:r>
    </w:p>
    <w:p>
      <w:pPr>
        <w:pStyle w:val="Normal"/>
        <w:ind w:hanging="705" w:start="705" w:end="0"/>
        <w:jc w:val="both"/>
        <w:rPr>
          <w:sz w:val="22"/>
          <w:szCs w:val="22"/>
        </w:rPr>
      </w:pPr>
      <w:r>
        <w:rPr>
          <w:sz w:val="22"/>
          <w:szCs w:val="22"/>
        </w:rPr>
        <w:t>(b)</w:t>
        <w:tab/>
        <w:t>the modifications planned were made known to EuroBank Belgium SA/NV and the employee concerned at the latest 14 calendar days before Commencement Date. This condition only applies if EuroBank Belgium SA/NV informs the PST Supplier in full one month before Commencement Date of all applicable employment conditions (individual information slip). As regards employees transferred to VendorA, however, this period is extended to 12 months after Commencement Date as regards unilateral modifications to the employment contract relating exclusively to:</w:t>
      </w:r>
    </w:p>
    <w:p>
      <w:pPr>
        <w:pStyle w:val="Normal"/>
        <w:ind w:hanging="705" w:start="705" w:end="0"/>
        <w:jc w:val="both"/>
        <w:rPr>
          <w:sz w:val="22"/>
          <w:szCs w:val="22"/>
        </w:rPr>
      </w:pPr>
      <w:r>
        <w:rPr>
          <w:sz w:val="22"/>
          <w:szCs w:val="22"/>
        </w:rPr>
      </w:r>
    </w:p>
    <w:p>
      <w:pPr>
        <w:pStyle w:val="Normal"/>
        <w:ind w:hanging="705" w:start="1410" w:end="0"/>
        <w:jc w:val="both"/>
        <w:rPr>
          <w:sz w:val="22"/>
          <w:szCs w:val="22"/>
        </w:rPr>
      </w:pPr>
      <w:r>
        <w:rPr>
          <w:sz w:val="22"/>
          <w:szCs w:val="22"/>
        </w:rPr>
        <w:t>(i)</w:t>
        <w:tab/>
        <w:t>either a change in the fixed place of employment of the employee to the Brussels region;</w:t>
      </w:r>
    </w:p>
    <w:p>
      <w:pPr>
        <w:pStyle w:val="Normal"/>
        <w:ind w:hanging="705" w:start="1410" w:end="0"/>
        <w:jc w:val="both"/>
        <w:rPr>
          <w:sz w:val="22"/>
          <w:szCs w:val="22"/>
        </w:rPr>
      </w:pPr>
      <w:r>
        <w:rPr>
          <w:sz w:val="22"/>
          <w:szCs w:val="22"/>
        </w:rPr>
      </w:r>
    </w:p>
    <w:p>
      <w:pPr>
        <w:pStyle w:val="Normal"/>
        <w:ind w:hanging="705" w:start="1410" w:end="0"/>
        <w:jc w:val="both"/>
        <w:rPr>
          <w:sz w:val="22"/>
          <w:szCs w:val="22"/>
        </w:rPr>
      </w:pPr>
      <w:r>
        <w:rPr>
          <w:sz w:val="22"/>
          <w:szCs w:val="22"/>
        </w:rPr>
        <w:t>(ii)</w:t>
        <w:tab/>
        <w:t>or a change in the place of employment further to temporary employment with VendorA customers within a reasonable distance of the home address and/or fixed place of employment within the Brussels region of the employee concerned.</w:t>
      </w:r>
    </w:p>
    <w:p>
      <w:pPr>
        <w:pStyle w:val="Normal"/>
        <w:jc w:val="both"/>
        <w:rPr>
          <w:sz w:val="22"/>
          <w:szCs w:val="22"/>
        </w:rPr>
      </w:pPr>
      <w:r>
        <w:rPr>
          <w:sz w:val="22"/>
          <w:szCs w:val="22"/>
        </w:rPr>
      </w:r>
    </w:p>
    <w:p>
      <w:pPr>
        <w:pStyle w:val="Normal"/>
        <w:ind w:hanging="705" w:start="705" w:end="0"/>
        <w:jc w:val="both"/>
        <w:rPr>
          <w:sz w:val="22"/>
          <w:szCs w:val="22"/>
        </w:rPr>
      </w:pPr>
      <w:r>
        <w:rPr>
          <w:sz w:val="22"/>
          <w:szCs w:val="22"/>
        </w:rPr>
        <w:t>(c)</w:t>
        <w:tab/>
        <w:t>this unilateral modification was applied at the latest on Commencement Date pursuant to action taken by the PST Supplier. As regards the change of the place of employment within VendorA, further to the application of the above paragraph, a period of 12 months as of Commencement Date is taken into account;</w:t>
      </w:r>
    </w:p>
    <w:p>
      <w:pPr>
        <w:pStyle w:val="Normal"/>
        <w:jc w:val="both"/>
        <w:rPr>
          <w:sz w:val="22"/>
          <w:szCs w:val="22"/>
        </w:rPr>
      </w:pPr>
      <w:r>
        <w:rPr>
          <w:sz w:val="22"/>
          <w:szCs w:val="22"/>
        </w:rPr>
      </w:r>
    </w:p>
    <w:p>
      <w:pPr>
        <w:pStyle w:val="Normal"/>
        <w:ind w:hanging="705" w:start="705" w:end="0"/>
        <w:jc w:val="both"/>
        <w:rPr>
          <w:sz w:val="22"/>
          <w:szCs w:val="22"/>
        </w:rPr>
      </w:pPr>
      <w:r>
        <w:rPr>
          <w:sz w:val="22"/>
          <w:szCs w:val="22"/>
        </w:rPr>
        <w:t>(d)</w:t>
        <w:tab/>
        <w:t>the case is actually brought before the competent court within a period of 12 months as of Commencement Date;</w:t>
      </w:r>
    </w:p>
    <w:p>
      <w:pPr>
        <w:pStyle w:val="Normal"/>
        <w:jc w:val="both"/>
        <w:rPr>
          <w:sz w:val="22"/>
          <w:szCs w:val="22"/>
        </w:rPr>
      </w:pPr>
      <w:r>
        <w:rPr>
          <w:sz w:val="22"/>
          <w:szCs w:val="22"/>
        </w:rPr>
      </w:r>
    </w:p>
    <w:p>
      <w:pPr>
        <w:pStyle w:val="Normal"/>
        <w:ind w:hanging="705" w:start="705" w:end="0"/>
        <w:jc w:val="both"/>
        <w:rPr>
          <w:sz w:val="22"/>
          <w:szCs w:val="22"/>
        </w:rPr>
      </w:pPr>
      <w:r>
        <w:rPr>
          <w:sz w:val="22"/>
          <w:szCs w:val="22"/>
        </w:rPr>
        <w:t>(e)</w:t>
        <w:tab/>
        <w:t xml:space="preserve">the changes to the ‘EuroBank status’ of the employees transferred pursuant to the application of Collective Labour Agreement No 32bis take effect after prior and express written approval from EuroBank Belgium SA/NV. EuroBank Belgium SA/NV undertakes to give its approval whenever the individuals concerned give their approval. Moreover, EuroBank Belgium SA/NV undertakes to lend its full cooperation in good faith in this context. </w:t>
      </w:r>
    </w:p>
    <w:p>
      <w:pPr>
        <w:pStyle w:val="Normal"/>
        <w:ind w:hanging="705" w:start="705" w:end="0"/>
        <w:jc w:val="both"/>
        <w:rPr>
          <w:sz w:val="22"/>
          <w:szCs w:val="22"/>
        </w:rPr>
      </w:pPr>
      <w:r>
        <w:rPr>
          <w:sz w:val="22"/>
          <w:szCs w:val="22"/>
        </w:rPr>
      </w:r>
    </w:p>
    <w:p>
      <w:pPr>
        <w:pStyle w:val="Normal"/>
        <w:ind w:hanging="705" w:start="705" w:end="0"/>
        <w:jc w:val="both"/>
        <w:rPr>
          <w:sz w:val="22"/>
          <w:szCs w:val="22"/>
        </w:rPr>
      </w:pPr>
      <w:r>
        <w:rPr>
          <w:sz w:val="22"/>
          <w:szCs w:val="22"/>
        </w:rPr>
        <w:t>(f)</w:t>
        <w:tab/>
        <w:t>EuroBank Belgium SA/NV is immediately and fully informed of any threat of a claim or a case being brought before a court by an individual employee, a group of employees, their authorised representatives and/or the representative employees organisations, by being given a copy of all useful documents;</w:t>
      </w:r>
    </w:p>
    <w:p>
      <w:pPr>
        <w:pStyle w:val="Normal"/>
        <w:jc w:val="both"/>
        <w:rPr>
          <w:sz w:val="22"/>
          <w:szCs w:val="22"/>
        </w:rPr>
      </w:pPr>
      <w:r>
        <w:rPr>
          <w:sz w:val="22"/>
          <w:szCs w:val="22"/>
        </w:rPr>
      </w:r>
    </w:p>
    <w:p>
      <w:pPr>
        <w:pStyle w:val="Normal"/>
        <w:ind w:hanging="705" w:start="705" w:end="0"/>
        <w:jc w:val="both"/>
        <w:rPr>
          <w:sz w:val="22"/>
          <w:szCs w:val="22"/>
        </w:rPr>
      </w:pPr>
      <w:r>
        <w:rPr>
          <w:sz w:val="22"/>
          <w:szCs w:val="22"/>
        </w:rPr>
        <w:t>(g)</w:t>
        <w:tab/>
        <w:t xml:space="preserve">EuroBank Belgium SA/NV and the PST are working actively together with a view to preparing a defence in law that is as effective as possible. </w:t>
      </w:r>
    </w:p>
    <w:p>
      <w:pPr>
        <w:pStyle w:val="Normal"/>
        <w:jc w:val="both"/>
        <w:rPr>
          <w:sz w:val="22"/>
          <w:szCs w:val="22"/>
        </w:rPr>
      </w:pPr>
      <w:r>
        <w:rPr>
          <w:sz w:val="22"/>
          <w:szCs w:val="22"/>
        </w:rPr>
      </w:r>
    </w:p>
    <w:p>
      <w:pPr>
        <w:pStyle w:val="FWOutL2"/>
        <w:numPr>
          <w:ilvl w:val="1"/>
          <w:numId w:val="11"/>
        </w:numPr>
        <w:ind w:hanging="0" w:start="0"/>
        <w:rPr>
          <w:color w:val="000000"/>
          <w:sz w:val="22"/>
          <w:szCs w:val="22"/>
        </w:rPr>
      </w:pPr>
      <w:bookmarkStart w:id="72" w:name="__RefHeading___Toc153767082"/>
      <w:bookmarkStart w:id="73" w:name="_DV_M78"/>
      <w:bookmarkEnd w:id="72"/>
      <w:bookmarkEnd w:id="73"/>
      <w:r>
        <w:rPr>
          <w:color w:val="000000"/>
          <w:sz w:val="22"/>
          <w:szCs w:val="22"/>
        </w:rPr>
        <w:t>Hardship cases</w:t>
      </w:r>
    </w:p>
    <w:p>
      <w:pPr>
        <w:pStyle w:val="fwoutl41"/>
        <w:ind w:hanging="0" w:start="0" w:end="0"/>
        <w:rPr/>
      </w:pPr>
      <w:bookmarkStart w:id="74" w:name="_DV_M79"/>
      <w:bookmarkEnd w:id="74"/>
      <w:r>
        <w:rPr>
          <w:color w:val="000000"/>
          <w:sz w:val="22"/>
          <w:szCs w:val="22"/>
        </w:rPr>
        <w:t>EuroBank will on or before the Effective Date identify those Affected Employees who have received in each of the two years immediately preceding the Effective Date a 4-appraisal (4 beoordeling) or worse or three warning letters (blaam) in the 5 years preceding the Effective Date. In such circumstances the parties shall negotiate in good faith with a view to reaching a solution for that individual.</w:t>
      </w:r>
      <w:r>
        <w:rPr>
          <w:i/>
          <w:iCs/>
          <w:color w:val="000000"/>
          <w:sz w:val="22"/>
          <w:szCs w:val="22"/>
        </w:rPr>
      </w:r>
      <w:r>
        <w:rPr>
          <w:color w:val="000000"/>
          <w:sz w:val="22"/>
          <w:szCs w:val="22"/>
        </w:rPr>
      </w:r>
      <w:r>
        <w:rPr>
          <w:i/>
          <w:color w:val="000000"/>
          <w:sz w:val="22"/>
          <w:szCs w:val="22"/>
        </w:rPr>
      </w:r>
      <w:r>
        <w:rPr>
          <w:color w:val="000000"/>
          <w:sz w:val="22"/>
          <w:szCs w:val="22"/>
        </w:rPr>
      </w:r>
    </w:p>
    <w:p>
      <w:pPr>
        <w:pStyle w:val="FWOutL2"/>
        <w:numPr>
          <w:ilvl w:val="1"/>
          <w:numId w:val="11"/>
        </w:numPr>
        <w:ind w:hanging="0" w:start="0"/>
        <w:rPr>
          <w:color w:val="000000"/>
          <w:sz w:val="22"/>
          <w:szCs w:val="22"/>
        </w:rPr>
      </w:pPr>
      <w:bookmarkStart w:id="75" w:name="__RefHeading___Toc153767083"/>
      <w:bookmarkEnd w:id="75"/>
      <w:r>
        <w:rPr>
          <w:color w:val="000000"/>
          <w:sz w:val="22"/>
          <w:szCs w:val="22"/>
        </w:rPr>
        <w:t>Harmonisation cost</w:t>
      </w:r>
    </w:p>
    <w:p>
      <w:pPr>
        <w:pStyle w:val="FWOutL2"/>
        <w:numPr>
          <w:ilvl w:val="0"/>
          <w:numId w:val="0"/>
        </w:numPr>
        <w:ind w:hanging="0" w:start="0"/>
        <w:rPr>
          <w:b w:val="false"/>
          <w:bCs/>
          <w:color w:val="000000"/>
          <w:sz w:val="22"/>
          <w:szCs w:val="22"/>
        </w:rPr>
      </w:pPr>
      <w:bookmarkStart w:id="76" w:name="__RefHeading___Toc153767084"/>
      <w:bookmarkEnd w:id="76"/>
      <w:r>
        <w:rPr>
          <w:b w:val="false"/>
          <w:bCs/>
          <w:color w:val="000000"/>
          <w:sz w:val="22"/>
          <w:szCs w:val="22"/>
        </w:rPr>
        <w:t>Attachment 5-J to this Exhibit 5 contains the agreement on harmonisation costs.</w:t>
      </w:r>
    </w:p>
    <w:p>
      <w:pPr>
        <w:pStyle w:val="FWOutL1"/>
        <w:numPr>
          <w:ilvl w:val="0"/>
          <w:numId w:val="11"/>
        </w:numPr>
        <w:ind w:hanging="0" w:start="0"/>
        <w:rPr>
          <w:sz w:val="22"/>
          <w:szCs w:val="22"/>
        </w:rPr>
      </w:pPr>
      <w:bookmarkStart w:id="77" w:name="__RefHeading___Toc153767085"/>
      <w:bookmarkEnd w:id="77"/>
      <w:r>
        <w:rPr>
          <w:sz w:val="22"/>
          <w:szCs w:val="22"/>
        </w:rPr>
        <w:t>CRITICAL AFFECTED personnel AND Key PST Personnel</w:t>
      </w:r>
    </w:p>
    <w:p>
      <w:pPr>
        <w:pStyle w:val="FWOutL2"/>
        <w:numPr>
          <w:ilvl w:val="1"/>
          <w:numId w:val="11"/>
        </w:numPr>
        <w:ind w:hanging="0" w:start="0"/>
        <w:rPr>
          <w:sz w:val="22"/>
          <w:szCs w:val="22"/>
          <w:lang w:val="en-US"/>
        </w:rPr>
      </w:pPr>
      <w:bookmarkStart w:id="78" w:name="__RefHeading___Toc153767086"/>
      <w:bookmarkStart w:id="79" w:name="_Ref114570174"/>
      <w:bookmarkEnd w:id="79"/>
      <w:r>
        <w:rPr>
          <w:sz w:val="22"/>
          <w:szCs w:val="22"/>
          <w:lang w:val="en-US"/>
        </w:rPr>
        <w:t>Critical Affected Personnel</w:t>
      </w:r>
      <w:bookmarkEnd w:id="78"/>
      <w:r>
        <w:rPr>
          <w:sz w:val="22"/>
          <w:szCs w:val="22"/>
          <w:lang w:val="en-US"/>
        </w:rPr>
        <w:t xml:space="preserve"> </w:t>
      </w:r>
    </w:p>
    <w:p>
      <w:pPr>
        <w:pStyle w:val="FWOutL3"/>
        <w:numPr>
          <w:ilvl w:val="2"/>
          <w:numId w:val="11"/>
        </w:numPr>
        <w:ind w:hanging="0" w:start="0" w:end="0"/>
        <w:rPr>
          <w:sz w:val="22"/>
          <w:szCs w:val="22"/>
        </w:rPr>
      </w:pPr>
      <w:r>
        <w:rPr>
          <w:sz w:val="22"/>
          <w:szCs w:val="22"/>
        </w:rPr>
        <w:t>Prior to the Commencement Date and before any offers of employment are made by the relevant PST Member to Affected Employees, EuroBank will identify a limited number of Critical Affected Personnel the names of which will be included in Attachment 5-A to this Exhibit 5.</w:t>
      </w:r>
      <w:r>
        <w:rPr>
          <w:color w:val="000000"/>
          <w:sz w:val="22"/>
          <w:szCs w:val="22"/>
        </w:rPr>
      </w:r>
      <w:r>
        <w:rPr>
          <w:sz w:val="22"/>
          <w:szCs w:val="22"/>
        </w:rPr>
      </w:r>
    </w:p>
    <w:p>
      <w:pPr>
        <w:pStyle w:val="FWOutL3"/>
        <w:numPr>
          <w:ilvl w:val="2"/>
          <w:numId w:val="11"/>
        </w:numPr>
        <w:ind w:hanging="0" w:start="0" w:end="0"/>
        <w:rPr>
          <w:sz w:val="22"/>
          <w:szCs w:val="22"/>
        </w:rPr>
      </w:pPr>
      <w:r>
        <w:rPr>
          <w:sz w:val="22"/>
          <w:szCs w:val="22"/>
        </w:rPr>
        <w:t>No more than 15% of Affected Personnel which transfer to a PST Member will be identified as Critical Affected Personnel, unless otherwise agreed by the Parties.</w:t>
      </w:r>
    </w:p>
    <w:p>
      <w:pPr>
        <w:pStyle w:val="FWOutL3"/>
        <w:numPr>
          <w:ilvl w:val="2"/>
          <w:numId w:val="11"/>
        </w:numPr>
        <w:ind w:hanging="0" w:start="0" w:end="0"/>
        <w:rPr>
          <w:b/>
          <w:bCs/>
          <w:sz w:val="22"/>
          <w:szCs w:val="22"/>
        </w:rPr>
      </w:pPr>
      <w:r>
        <w:rPr>
          <w:sz w:val="22"/>
          <w:szCs w:val="22"/>
        </w:rPr>
        <w:t>EuroBank requires that the Critical Affected Employees be retained on the EuroBank account for at least 2 years after the Commencement Date (except in case of a voluntary resignation of the employees or involuntary termination for cause).</w:t>
      </w:r>
    </w:p>
    <w:p>
      <w:pPr>
        <w:pStyle w:val="FWOutL2"/>
        <w:numPr>
          <w:ilvl w:val="1"/>
          <w:numId w:val="11"/>
        </w:numPr>
        <w:ind w:hanging="0" w:start="0"/>
        <w:rPr>
          <w:sz w:val="22"/>
          <w:szCs w:val="22"/>
          <w:lang w:val="de-DE"/>
        </w:rPr>
      </w:pPr>
      <w:bookmarkStart w:id="80" w:name="_Ref114570174"/>
      <w:bookmarkStart w:id="81" w:name="__RefHeading___Toc153767087"/>
      <w:bookmarkEnd w:id="80"/>
      <w:r>
        <w:rPr>
          <w:sz w:val="22"/>
          <w:szCs w:val="22"/>
          <w:lang w:val="de-DE"/>
        </w:rPr>
        <w:t>Key PST Personnel</w:t>
      </w:r>
      <w:bookmarkEnd w:id="81"/>
      <w:r>
        <w:rPr>
          <w:sz w:val="22"/>
          <w:szCs w:val="22"/>
          <w:lang w:val="de-DE"/>
        </w:rPr>
        <w:t xml:space="preserve"> </w:t>
      </w:r>
    </w:p>
    <w:p>
      <w:pPr>
        <w:pStyle w:val="FWOutL3"/>
        <w:numPr>
          <w:ilvl w:val="2"/>
          <w:numId w:val="11"/>
        </w:numPr>
        <w:ind w:hanging="0" w:start="0" w:end="0"/>
        <w:rPr>
          <w:sz w:val="22"/>
          <w:szCs w:val="22"/>
        </w:rPr>
      </w:pPr>
      <w:bookmarkStart w:id="82" w:name="_Ref122836891"/>
      <w:r>
        <w:rPr>
          <w:sz w:val="22"/>
          <w:szCs w:val="22"/>
        </w:rPr>
        <w:t>The Key PST Personnel positions and the Key PST Personnel approved by EuroBank to fill these positions as at the Commencement Date, and the initial period of assignment, are contained in Attachment 5-D to this Exhibit 5.</w:t>
      </w:r>
      <w:bookmarkEnd w:id="82"/>
    </w:p>
    <w:p>
      <w:pPr>
        <w:pStyle w:val="FWOutL3"/>
        <w:numPr>
          <w:ilvl w:val="2"/>
          <w:numId w:val="11"/>
        </w:numPr>
        <w:ind w:hanging="0" w:start="0" w:end="0"/>
        <w:rPr>
          <w:bCs/>
          <w:sz w:val="22"/>
          <w:szCs w:val="22"/>
        </w:rPr>
      </w:pPr>
      <w:r>
        <w:rPr>
          <w:sz w:val="22"/>
          <w:szCs w:val="22"/>
        </w:rPr>
        <w:t>EuroBank and the relevant PST Member may jointly, from time to time, designate new or alternative or vary (the number of) Key PST Personnel positions.</w:t>
      </w:r>
      <w:r>
        <w:rPr>
          <w:bCs/>
          <w:sz w:val="22"/>
          <w:szCs w:val="22"/>
        </w:rPr>
      </w:r>
    </w:p>
    <w:p>
      <w:pPr>
        <w:pStyle w:val="FWOutL3"/>
        <w:numPr>
          <w:ilvl w:val="2"/>
          <w:numId w:val="11"/>
        </w:numPr>
        <w:ind w:hanging="0" w:start="0" w:end="0"/>
        <w:rPr>
          <w:sz w:val="22"/>
          <w:szCs w:val="22"/>
        </w:rPr>
      </w:pPr>
      <w:r>
        <w:rPr>
          <w:sz w:val="22"/>
          <w:szCs w:val="22"/>
        </w:rPr>
        <w:t>Key PST Personnel will be assigned to the performance of the Services for a minimum of 2 consecutive years, unless EuroBank agrees otherwise. During this period, the relevant PST Member will not transfer, reassign or remove any of the Key PST Personnel (except as a result of voluntary resignation or involuntary termination for cause) without EuroBank’s prior approval.</w:t>
      </w:r>
    </w:p>
    <w:p>
      <w:pPr>
        <w:pStyle w:val="FWOutL2"/>
        <w:numPr>
          <w:ilvl w:val="1"/>
          <w:numId w:val="11"/>
        </w:numPr>
        <w:ind w:hanging="0" w:start="0"/>
        <w:rPr>
          <w:sz w:val="22"/>
          <w:szCs w:val="22"/>
        </w:rPr>
      </w:pPr>
      <w:bookmarkStart w:id="83" w:name="__RefHeading___Toc153767088"/>
      <w:bookmarkStart w:id="84" w:name="_Ref114570228"/>
      <w:bookmarkStart w:id="85" w:name="_Ref114570131"/>
      <w:bookmarkEnd w:id="83"/>
      <w:r>
        <w:rPr>
          <w:sz w:val="22"/>
          <w:szCs w:val="22"/>
        </w:rPr>
        <w:t>Approvals procedure</w:t>
      </w:r>
      <w:bookmarkEnd w:id="84"/>
      <w:bookmarkEnd w:id="85"/>
    </w:p>
    <w:p>
      <w:pPr>
        <w:pStyle w:val="FWOutL3"/>
        <w:numPr>
          <w:ilvl w:val="2"/>
          <w:numId w:val="11"/>
        </w:numPr>
        <w:ind w:hanging="0" w:start="0" w:end="0"/>
        <w:rPr>
          <w:sz w:val="22"/>
          <w:szCs w:val="22"/>
        </w:rPr>
      </w:pPr>
      <w:r>
        <w:rPr>
          <w:sz w:val="22"/>
          <w:szCs w:val="22"/>
        </w:rPr>
        <w:t>Before assigning an individual to serve in a Key PST Personnel position, whether as an initial assignment or a subsequent assignment, the relevant PST Member will:</w:t>
      </w:r>
    </w:p>
    <w:p>
      <w:pPr>
        <w:pStyle w:val="FWOutL4"/>
        <w:numPr>
          <w:ilvl w:val="3"/>
          <w:numId w:val="11"/>
        </w:numPr>
        <w:ind w:hanging="0" w:start="0"/>
        <w:rPr>
          <w:sz w:val="22"/>
          <w:szCs w:val="22"/>
        </w:rPr>
      </w:pPr>
      <w:r>
        <w:rPr>
          <w:sz w:val="22"/>
          <w:szCs w:val="22"/>
        </w:rPr>
        <w:t>notify EuroBank of the proposed assignment within a reasonable time frame prior to the planned assignment and, as a standard, four weeks prior to a planned assignment;</w:t>
      </w:r>
    </w:p>
    <w:p>
      <w:pPr>
        <w:pStyle w:val="FWOutL4"/>
        <w:numPr>
          <w:ilvl w:val="3"/>
          <w:numId w:val="11"/>
        </w:numPr>
        <w:ind w:hanging="0" w:start="0"/>
        <w:rPr>
          <w:sz w:val="22"/>
          <w:szCs w:val="22"/>
        </w:rPr>
      </w:pPr>
      <w:r>
        <w:rPr>
          <w:sz w:val="22"/>
          <w:szCs w:val="22"/>
        </w:rPr>
        <w:t>provide EuroBank with a plan describing the steps and education that will be performed regarding the turnover of responsibility to the proposed individual;</w:t>
      </w:r>
    </w:p>
    <w:p>
      <w:pPr>
        <w:pStyle w:val="FWOutL4"/>
        <w:numPr>
          <w:ilvl w:val="3"/>
          <w:numId w:val="11"/>
        </w:numPr>
        <w:ind w:hanging="0" w:start="0"/>
        <w:rPr>
          <w:sz w:val="22"/>
          <w:szCs w:val="22"/>
        </w:rPr>
      </w:pPr>
      <w:r>
        <w:rPr>
          <w:sz w:val="22"/>
          <w:szCs w:val="22"/>
        </w:rPr>
        <w:t>provide EuroBank with a resume and any other information about the individual reasonably requested by EuroBank;</w:t>
      </w:r>
    </w:p>
    <w:p>
      <w:pPr>
        <w:pStyle w:val="FWOutL4"/>
        <w:numPr>
          <w:ilvl w:val="3"/>
          <w:numId w:val="11"/>
        </w:numPr>
        <w:ind w:hanging="0" w:start="0"/>
        <w:rPr>
          <w:sz w:val="22"/>
          <w:szCs w:val="22"/>
        </w:rPr>
      </w:pPr>
      <w:r>
        <w:rPr>
          <w:sz w:val="22"/>
          <w:szCs w:val="22"/>
        </w:rPr>
        <w:t>provide reasonable opportunity for EuroBank to interview the individual; and</w:t>
      </w:r>
    </w:p>
    <w:p>
      <w:pPr>
        <w:pStyle w:val="FWOutL4"/>
        <w:numPr>
          <w:ilvl w:val="3"/>
          <w:numId w:val="11"/>
        </w:numPr>
        <w:ind w:hanging="0" w:start="0"/>
        <w:rPr>
          <w:sz w:val="22"/>
          <w:szCs w:val="22"/>
        </w:rPr>
      </w:pPr>
      <w:r>
        <w:rPr>
          <w:sz w:val="22"/>
          <w:szCs w:val="22"/>
        </w:rPr>
        <w:t>obtain EuroBank’s written approval prior to assigning any individual to a Key PST Personnel position.</w:t>
      </w:r>
    </w:p>
    <w:p>
      <w:pPr>
        <w:pStyle w:val="FWOutL3"/>
        <w:numPr>
          <w:ilvl w:val="2"/>
          <w:numId w:val="11"/>
        </w:numPr>
        <w:ind w:hanging="0" w:start="0" w:end="0"/>
        <w:rPr>
          <w:sz w:val="22"/>
          <w:szCs w:val="22"/>
        </w:rPr>
      </w:pPr>
      <w:r>
        <w:rPr>
          <w:sz w:val="22"/>
          <w:szCs w:val="22"/>
        </w:rPr>
        <w:t>If EuroBank in good faith objects to the proposed assignment or removal of an individual in a Key PST Personnel position:</w:t>
      </w:r>
    </w:p>
    <w:p>
      <w:pPr>
        <w:pStyle w:val="FWOutL4"/>
        <w:numPr>
          <w:ilvl w:val="3"/>
          <w:numId w:val="11"/>
        </w:numPr>
        <w:ind w:hanging="0" w:start="0"/>
        <w:rPr>
          <w:sz w:val="22"/>
          <w:szCs w:val="22"/>
        </w:rPr>
      </w:pPr>
      <w:r>
        <w:rPr>
          <w:sz w:val="22"/>
          <w:szCs w:val="22"/>
        </w:rPr>
        <w:t>the Parties will attempt to resolve EuroBank's concerns on a mutually agreeable basis;</w:t>
      </w:r>
    </w:p>
    <w:p>
      <w:pPr>
        <w:pStyle w:val="FWOutL4"/>
        <w:numPr>
          <w:ilvl w:val="3"/>
          <w:numId w:val="11"/>
        </w:numPr>
        <w:ind w:hanging="0" w:start="0"/>
        <w:rPr>
          <w:sz w:val="22"/>
          <w:szCs w:val="22"/>
        </w:rPr>
      </w:pPr>
      <w:r>
        <w:rPr>
          <w:sz w:val="22"/>
          <w:szCs w:val="22"/>
        </w:rPr>
        <w:t>if the Parties have not been able to resolve EuroBank's concerns within 5 business days, the relevant PST Member will not assign or remove the individual, and will propose to EuroBank the assignment of another individual of suitable ability and qualifications;</w:t>
      </w:r>
    </w:p>
    <w:p>
      <w:pPr>
        <w:pStyle w:val="FWOutL3"/>
        <w:numPr>
          <w:ilvl w:val="2"/>
          <w:numId w:val="11"/>
        </w:numPr>
        <w:ind w:hanging="0" w:start="0" w:end="0"/>
        <w:rPr>
          <w:sz w:val="22"/>
          <w:szCs w:val="22"/>
        </w:rPr>
      </w:pPr>
      <w:r>
        <w:rPr>
          <w:sz w:val="22"/>
          <w:szCs w:val="22"/>
        </w:rPr>
        <w:t>The relevant PST Member shall maintain active succession plans for each of the personnel filling the Key PST Personnel positions.</w:t>
      </w:r>
    </w:p>
    <w:p>
      <w:pPr>
        <w:pStyle w:val="FWOutL3"/>
        <w:numPr>
          <w:ilvl w:val="2"/>
          <w:numId w:val="11"/>
        </w:numPr>
        <w:ind w:hanging="0" w:start="0" w:end="0"/>
        <w:rPr>
          <w:bCs/>
          <w:sz w:val="22"/>
          <w:szCs w:val="22"/>
        </w:rPr>
      </w:pPr>
      <w:r>
        <w:rPr>
          <w:bCs/>
          <w:sz w:val="22"/>
          <w:szCs w:val="22"/>
        </w:rPr>
        <w:t>Under no circumstances may the PST transfer or remove more than 10% of the total number of Key PST Personnel employed by the PST together in any 6 month period, unless with the consent of EuroBank which consent shall not unreasonably be withheld.</w:t>
      </w:r>
    </w:p>
    <w:p>
      <w:pPr>
        <w:pStyle w:val="FWOutL3"/>
        <w:numPr>
          <w:ilvl w:val="2"/>
          <w:numId w:val="11"/>
        </w:numPr>
        <w:ind w:hanging="0" w:start="0" w:end="0"/>
        <w:rPr>
          <w:bCs/>
          <w:sz w:val="22"/>
          <w:szCs w:val="22"/>
        </w:rPr>
      </w:pPr>
      <w:r>
        <w:rPr>
          <w:bCs/>
          <w:sz w:val="22"/>
          <w:szCs w:val="22"/>
        </w:rPr>
        <w:t xml:space="preserve">Within 5 Business Days of a member of the Key PST Personnel stopping to perform the Services, the relevant PST Member shall propose a replacement individual for approval to fill that vacant Key PST Personnel position in accordance with Section </w:t>
      </w:r>
      <w:r>
        <w:rPr>
          <w:bCs/>
          <w:sz w:val="22"/>
          <w:szCs w:val="22"/>
        </w:rPr>
        <w:fldChar w:fldCharType="begin"/>
      </w:r>
      <w:r>
        <w:rPr>
          <w:sz w:val="22"/>
          <w:szCs w:val="22"/>
          <w:bCs/>
        </w:rPr>
        <w:instrText xml:space="preserve"> REF _Ref114570131 \r \r \h </w:instrText>
      </w:r>
      <w:r>
        <w:rPr>
          <w:sz w:val="22"/>
          <w:szCs w:val="22"/>
          <w:bCs/>
        </w:rPr>
        <w:fldChar w:fldCharType="separate"/>
      </w:r>
      <w:r>
        <w:rPr>
          <w:sz w:val="22"/>
          <w:szCs w:val="22"/>
          <w:bCs/>
        </w:rPr>
        <w:t>3.3</w:t>
      </w:r>
      <w:r>
        <w:rPr>
          <w:sz w:val="22"/>
          <w:szCs w:val="22"/>
          <w:bCs/>
        </w:rPr>
        <w:fldChar w:fldCharType="end"/>
      </w:r>
      <w:r>
        <w:rPr>
          <w:bCs/>
          <w:sz w:val="22"/>
          <w:szCs w:val="22"/>
        </w:rPr>
        <w:t>.</w:t>
      </w:r>
    </w:p>
    <w:p>
      <w:pPr>
        <w:pStyle w:val="FWOutL1"/>
        <w:numPr>
          <w:ilvl w:val="0"/>
          <w:numId w:val="11"/>
        </w:numPr>
        <w:ind w:hanging="0" w:start="0"/>
        <w:rPr>
          <w:sz w:val="22"/>
          <w:szCs w:val="22"/>
        </w:rPr>
      </w:pPr>
      <w:bookmarkStart w:id="86" w:name="__RefHeading___Toc153767089"/>
      <w:bookmarkStart w:id="87" w:name="_Ref133644476"/>
      <w:bookmarkStart w:id="88" w:name="_Ref133644346"/>
      <w:bookmarkStart w:id="89" w:name="_Ref133644247"/>
      <w:bookmarkStart w:id="90" w:name="_Ref114570467"/>
      <w:bookmarkStart w:id="91" w:name="_Ref114570444"/>
      <w:bookmarkStart w:id="92" w:name="_Ref114570256"/>
      <w:bookmarkEnd w:id="86"/>
      <w:r>
        <w:rPr>
          <w:sz w:val="22"/>
          <w:szCs w:val="22"/>
        </w:rPr>
        <w:t xml:space="preserve">SCREENING OF </w:t>
      </w:r>
      <w:bookmarkEnd w:id="87"/>
      <w:bookmarkEnd w:id="88"/>
      <w:bookmarkEnd w:id="89"/>
      <w:bookmarkEnd w:id="90"/>
      <w:bookmarkEnd w:id="91"/>
      <w:bookmarkEnd w:id="92"/>
      <w:r>
        <w:rPr>
          <w:sz w:val="22"/>
          <w:szCs w:val="22"/>
        </w:rPr>
        <w:t>PST Member Personnel</w:t>
      </w:r>
    </w:p>
    <w:p>
      <w:pPr>
        <w:pStyle w:val="FWOutL2"/>
        <w:numPr>
          <w:ilvl w:val="1"/>
          <w:numId w:val="11"/>
        </w:numPr>
        <w:ind w:hanging="0" w:start="0"/>
        <w:rPr>
          <w:sz w:val="22"/>
          <w:szCs w:val="22"/>
        </w:rPr>
      </w:pPr>
      <w:bookmarkStart w:id="93" w:name="__RefHeading___Toc153767090"/>
      <w:bookmarkStart w:id="94" w:name="_Ref133644401"/>
      <w:bookmarkStart w:id="95" w:name="_Ref133644204"/>
      <w:bookmarkEnd w:id="93"/>
      <w:r>
        <w:rPr>
          <w:sz w:val="22"/>
          <w:szCs w:val="22"/>
        </w:rPr>
        <w:t>Screening</w:t>
      </w:r>
      <w:bookmarkEnd w:id="94"/>
      <w:bookmarkEnd w:id="95"/>
    </w:p>
    <w:p>
      <w:pPr>
        <w:pStyle w:val="FWOutL3"/>
        <w:numPr>
          <w:ilvl w:val="2"/>
          <w:numId w:val="11"/>
        </w:numPr>
        <w:ind w:hanging="0" w:start="0" w:end="0"/>
        <w:rPr>
          <w:sz w:val="22"/>
          <w:szCs w:val="22"/>
        </w:rPr>
      </w:pPr>
      <w:r>
        <w:rPr>
          <w:sz w:val="22"/>
          <w:szCs w:val="22"/>
        </w:rPr>
        <w:t>The relevant PST Member shall, unless otherwise agreed in writing by the relevant EuroBank Group member, at the relevant PST Member’s expense, and in accordance with applicable laws and regulations, properly screen all PST Member Personnel in connection with the assignment of the relevant PST Member Personnel to provide the Services, prior to the commencement of work on the Services, in accordance with the requirements set out in Attachment 5-H Pre Employment Screening to this Exhibit 5 as may be amended from time to time. Moreover, the relevant PST Member shall, unless otherwise agreed in writing by the relevant EuroBank Group member and in accordance with applicable laws and regulations submit for all PST Member Personnel a positive Verklaring omtrent het gedrag. EVA (Externe VerwijzingsApplicatie) screenings with respect to PST Member Personnel who perform sensitive functions, specified in Attachment 5-I Sensitive Functions, (integriteitsgevoelige functies) will be carried out by EuroBank. The costs of the EVA Screening will be borne by EuroBank. EuroBank will update the list of Sensitive Functions as appropriate and inform the PST thereof.</w:t>
      </w:r>
      <w:r>
        <w:rPr>
          <w:i/>
          <w:iCs/>
          <w:sz w:val="22"/>
          <w:szCs w:val="22"/>
        </w:rPr>
      </w:r>
      <w:r>
        <w:rPr>
          <w:sz w:val="22"/>
          <w:szCs w:val="22"/>
        </w:rPr>
      </w:r>
      <w:r>
        <w:rPr>
          <w:i/>
          <w:iCs/>
          <w:sz w:val="22"/>
          <w:szCs w:val="22"/>
        </w:rPr>
      </w:r>
      <w:r>
        <w:rPr>
          <w:sz w:val="22"/>
          <w:szCs w:val="22"/>
        </w:rPr>
      </w:r>
      <w:r>
        <w:rPr>
          <w:i/>
          <w:iCs/>
          <w:sz w:val="22"/>
          <w:szCs w:val="22"/>
        </w:rPr>
      </w:r>
      <w:r>
        <w:rPr>
          <w:sz w:val="22"/>
          <w:szCs w:val="22"/>
        </w:rPr>
      </w:r>
      <w:r>
        <w:rPr>
          <w:i/>
          <w:iCs/>
          <w:sz w:val="22"/>
          <w:szCs w:val="22"/>
        </w:rPr>
      </w:r>
      <w:r>
        <w:rPr>
          <w:sz w:val="22"/>
          <w:szCs w:val="22"/>
        </w:rPr>
      </w:r>
    </w:p>
    <w:p>
      <w:pPr>
        <w:pStyle w:val="FWOutL3"/>
        <w:numPr>
          <w:ilvl w:val="2"/>
          <w:numId w:val="11"/>
        </w:numPr>
        <w:ind w:hanging="0" w:start="0" w:end="0"/>
        <w:rPr>
          <w:sz w:val="22"/>
          <w:szCs w:val="22"/>
        </w:rPr>
      </w:pPr>
      <w:r>
        <w:rPr>
          <w:sz w:val="22"/>
          <w:szCs w:val="22"/>
        </w:rPr>
        <w:t>Nothing in Section 4 shall require the relevant PST Member to perform background screening on any individuals who transfer to the relevant PST Member directly from EuroBank. Background screening will be required if such individuals were subsequently removed from the Services by the relevant PST Member and subsequently re-engaged on the Services in which case the individuals should be screened (again) before they commence working on the Services in accordance with this Section 4.1.</w:t>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p>
    <w:p>
      <w:pPr>
        <w:pStyle w:val="FWOutL2"/>
        <w:numPr>
          <w:ilvl w:val="1"/>
          <w:numId w:val="11"/>
        </w:numPr>
        <w:ind w:hanging="0" w:start="0"/>
        <w:rPr>
          <w:sz w:val="22"/>
          <w:szCs w:val="22"/>
        </w:rPr>
      </w:pPr>
      <w:bookmarkStart w:id="96" w:name="__RefHeading___Toc153767091"/>
      <w:bookmarkEnd w:id="96"/>
      <w:r>
        <w:rPr>
          <w:sz w:val="22"/>
          <w:szCs w:val="22"/>
        </w:rPr>
        <w:t>Interview</w:t>
      </w:r>
    </w:p>
    <w:p>
      <w:pPr>
        <w:pStyle w:val="FWOutCont2"/>
        <w:rPr>
          <w:sz w:val="22"/>
          <w:szCs w:val="22"/>
        </w:rPr>
      </w:pPr>
      <w:r>
        <w:rPr>
          <w:sz w:val="22"/>
          <w:szCs w:val="22"/>
        </w:rPr>
        <w:t>The relevant PST Member Personnel selected by the relevant PST Member to perform the Services may be interviewed in relation to the screening by EuroBank prior to their assignment to provide the Services. EuroBank shall not take part in the recruitment or hiring of PST Member Personnel by the relevant PST Member.</w:t>
      </w:r>
    </w:p>
    <w:p>
      <w:pPr>
        <w:pStyle w:val="FWOutL2"/>
        <w:numPr>
          <w:ilvl w:val="1"/>
          <w:numId w:val="11"/>
        </w:numPr>
        <w:ind w:hanging="0" w:start="0"/>
        <w:rPr>
          <w:sz w:val="22"/>
          <w:szCs w:val="22"/>
        </w:rPr>
      </w:pPr>
      <w:bookmarkStart w:id="97" w:name="__RefHeading___Toc153767092"/>
      <w:bookmarkStart w:id="98" w:name="_Ref114570355"/>
      <w:bookmarkStart w:id="99" w:name="_Ref114570310"/>
      <w:bookmarkEnd w:id="97"/>
      <w:r>
        <w:rPr>
          <w:sz w:val="22"/>
          <w:szCs w:val="22"/>
        </w:rPr>
        <w:t>Background information</w:t>
      </w:r>
      <w:bookmarkEnd w:id="98"/>
      <w:bookmarkEnd w:id="99"/>
    </w:p>
    <w:p>
      <w:pPr>
        <w:pStyle w:val="FWOutL3"/>
        <w:numPr>
          <w:ilvl w:val="0"/>
          <w:numId w:val="0"/>
        </w:numPr>
        <w:ind w:hanging="0" w:start="0"/>
        <w:rPr/>
      </w:pPr>
      <w:r>
        <w:rPr>
          <w:sz w:val="22"/>
          <w:szCs w:val="22"/>
        </w:rPr>
        <w:t xml:space="preserve">The relevant PST Member shall maintain the information collected under Section </w:t>
      </w:r>
      <w:r>
        <w:rPr>
          <w:sz w:val="22"/>
          <w:szCs w:val="22"/>
        </w:rPr>
        <w:fldChar w:fldCharType="begin"/>
      </w:r>
      <w:r>
        <w:rPr>
          <w:sz w:val="22"/>
          <w:szCs w:val="22"/>
        </w:rPr>
        <w:instrText xml:space="preserve"> REF _Ref133644346 \r \r \h </w:instrText>
      </w:r>
      <w:r>
        <w:rPr>
          <w:sz w:val="22"/>
          <w:szCs w:val="22"/>
        </w:rPr>
        <w:fldChar w:fldCharType="separate"/>
      </w:r>
      <w:r>
        <w:rPr>
          <w:sz w:val="22"/>
          <w:szCs w:val="22"/>
        </w:rPr>
        <w:t>4</w:t>
      </w:r>
      <w:r>
        <w:rPr>
          <w:sz w:val="22"/>
          <w:szCs w:val="22"/>
        </w:rPr>
        <w:fldChar w:fldCharType="end"/>
      </w:r>
      <w:r>
        <w:rPr>
          <w:sz w:val="22"/>
          <w:szCs w:val="22"/>
        </w:rPr>
        <w:t xml:space="preserve"> hereof in accordance with the applicable laws and regulations. The information could potentially render an individual unsuitable for providing any part of the Services:</w:t>
      </w:r>
    </w:p>
    <w:p>
      <w:pPr>
        <w:pStyle w:val="FWOutL4"/>
        <w:numPr>
          <w:ilvl w:val="3"/>
          <w:numId w:val="11"/>
        </w:numPr>
        <w:ind w:hanging="0" w:start="0"/>
        <w:rPr>
          <w:sz w:val="22"/>
          <w:szCs w:val="22"/>
        </w:rPr>
      </w:pPr>
      <w:r>
        <w:rPr>
          <w:sz w:val="22"/>
          <w:szCs w:val="22"/>
        </w:rPr>
        <w:t>if the PST Member Personnel is not yet working on the Services, the PST Member shall not allow them to do so unless otherwise agreed in writing by the relevant EuroBank Group member; and</w:t>
      </w:r>
    </w:p>
    <w:p>
      <w:pPr>
        <w:pStyle w:val="FWOutL4"/>
        <w:numPr>
          <w:ilvl w:val="3"/>
          <w:numId w:val="11"/>
        </w:numPr>
        <w:ind w:hanging="0" w:start="0"/>
        <w:rPr>
          <w:sz w:val="22"/>
          <w:szCs w:val="22"/>
        </w:rPr>
      </w:pPr>
      <w:r>
        <w:rPr>
          <w:sz w:val="22"/>
          <w:szCs w:val="22"/>
        </w:rPr>
        <w:t>if the PST Member Personnel has already commenced working on the Services, the PST Member shall immediately notify the relevant EuroBank Group member of the unsatisfactory aspects of information received about the individual, and the relevant EuroBank Group member may require the PST Member to procure immediately the removal of the individual from the provision of the Services and/or EuroBank premises. The PST Member further agrees to substitute a suitable alternative individual, at no extra cost to EuroBank.</w:t>
      </w:r>
    </w:p>
    <w:p>
      <w:pPr>
        <w:pStyle w:val="FWOutL2"/>
        <w:numPr>
          <w:ilvl w:val="1"/>
          <w:numId w:val="11"/>
        </w:numPr>
        <w:ind w:hanging="0" w:start="0"/>
        <w:rPr>
          <w:sz w:val="22"/>
          <w:szCs w:val="22"/>
        </w:rPr>
      </w:pPr>
      <w:bookmarkStart w:id="100" w:name="__RefHeading___Toc153767093"/>
      <w:bookmarkEnd w:id="100"/>
      <w:r>
        <w:rPr>
          <w:sz w:val="22"/>
          <w:szCs w:val="22"/>
        </w:rPr>
        <w:t>Disclosure of information</w:t>
      </w:r>
    </w:p>
    <w:p>
      <w:pPr>
        <w:pStyle w:val="FWOutCont2"/>
        <w:rPr/>
      </w:pPr>
      <w:r>
        <w:rPr>
          <w:sz w:val="22"/>
          <w:szCs w:val="22"/>
        </w:rPr>
        <w:t>Subject to applicable data protection laws or other relevant legislation, if required by the relevant EuroBank Group member in connection with an audit under Clause 9 of the MSA or if otherwise required to substantiate that the screening requirements contained in Sections 4.1 and 4.3 hereof have been completed, the relevant PST Member shall disclose the information collected under Section 4 hereof to the relevant EuroBank Group member.</w:t>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p>
    <w:p>
      <w:pPr>
        <w:pStyle w:val="FWOutL2"/>
        <w:numPr>
          <w:ilvl w:val="1"/>
          <w:numId w:val="11"/>
        </w:numPr>
        <w:ind w:hanging="0" w:start="0"/>
        <w:rPr>
          <w:sz w:val="22"/>
          <w:szCs w:val="22"/>
        </w:rPr>
      </w:pPr>
      <w:bookmarkStart w:id="101" w:name="__RefHeading___Toc153767094"/>
      <w:bookmarkEnd w:id="101"/>
      <w:r>
        <w:rPr>
          <w:sz w:val="22"/>
          <w:szCs w:val="22"/>
        </w:rPr>
        <w:t>PST Member indemnities</w:t>
      </w:r>
    </w:p>
    <w:p>
      <w:pPr>
        <w:pStyle w:val="FWOutCont2"/>
        <w:rPr>
          <w:sz w:val="22"/>
          <w:szCs w:val="22"/>
        </w:rPr>
      </w:pPr>
      <w:r>
        <w:rPr>
          <w:sz w:val="22"/>
          <w:szCs w:val="22"/>
        </w:rPr>
        <w:t>The relevant PST Member agrees to indemnify EuroBank against any liability of an EuroBank Group member that may be assessed against or incurred as a result of:</w:t>
      </w:r>
    </w:p>
    <w:p>
      <w:pPr>
        <w:pStyle w:val="FWOutL4"/>
        <w:numPr>
          <w:ilvl w:val="3"/>
          <w:numId w:val="11"/>
        </w:numPr>
        <w:ind w:hanging="0" w:start="0"/>
        <w:rPr>
          <w:sz w:val="22"/>
          <w:szCs w:val="22"/>
        </w:rPr>
      </w:pPr>
      <w:r>
        <w:rPr>
          <w:sz w:val="22"/>
          <w:szCs w:val="22"/>
        </w:rPr>
        <w:t xml:space="preserve">a member of the PST Member Personnel being removed from the provision of any part of the Services by reason of the individual's failure of any aspect of the screening requirements contained in this Section </w:t>
      </w:r>
      <w:r>
        <w:rPr>
          <w:sz w:val="22"/>
          <w:szCs w:val="22"/>
        </w:rPr>
        <w:fldChar w:fldCharType="begin"/>
      </w:r>
      <w:r>
        <w:rPr>
          <w:sz w:val="22"/>
          <w:szCs w:val="22"/>
        </w:rPr>
        <w:instrText xml:space="preserve"> REF _Ref114570444 \r \r \h </w:instrText>
      </w:r>
      <w:r>
        <w:rPr>
          <w:sz w:val="22"/>
          <w:szCs w:val="22"/>
        </w:rPr>
        <w:fldChar w:fldCharType="separate"/>
      </w:r>
      <w:r>
        <w:rPr>
          <w:sz w:val="22"/>
          <w:szCs w:val="22"/>
        </w:rPr>
        <w:t>4</w:t>
      </w:r>
      <w:r>
        <w:rPr>
          <w:sz w:val="22"/>
          <w:szCs w:val="22"/>
        </w:rPr>
        <w:fldChar w:fldCharType="end"/>
      </w:r>
      <w:r>
        <w:rPr>
          <w:sz w:val="22"/>
          <w:szCs w:val="22"/>
        </w:rPr>
        <w:t>; and</w:t>
      </w:r>
    </w:p>
    <w:p>
      <w:pPr>
        <w:pStyle w:val="FWOutL4"/>
        <w:numPr>
          <w:ilvl w:val="3"/>
          <w:numId w:val="11"/>
        </w:numPr>
        <w:ind w:hanging="0" w:start="0"/>
        <w:rPr>
          <w:sz w:val="22"/>
          <w:szCs w:val="22"/>
        </w:rPr>
      </w:pPr>
      <w:r>
        <w:rPr>
          <w:sz w:val="22"/>
          <w:szCs w:val="22"/>
        </w:rPr>
        <w:t>any finding by a relevant public authority or competent court that EuroBank has liability in respect of PST Member Personnel working on its premises or Services without a work permit or the permission of the requisite authority.</w:t>
      </w:r>
    </w:p>
    <w:p>
      <w:pPr>
        <w:pStyle w:val="FWOutL1"/>
        <w:numPr>
          <w:ilvl w:val="0"/>
          <w:numId w:val="11"/>
        </w:numPr>
        <w:ind w:hanging="0" w:start="0"/>
        <w:rPr>
          <w:sz w:val="22"/>
          <w:szCs w:val="22"/>
        </w:rPr>
      </w:pPr>
      <w:bookmarkStart w:id="102" w:name="__RefHeading___Toc153767095"/>
      <w:bookmarkEnd w:id="102"/>
      <w:r>
        <w:rPr>
          <w:sz w:val="22"/>
          <w:szCs w:val="22"/>
        </w:rPr>
        <w:t>PERSONNEL and contractors</w:t>
      </w:r>
    </w:p>
    <w:p>
      <w:pPr>
        <w:pStyle w:val="FWOutL2"/>
        <w:numPr>
          <w:ilvl w:val="1"/>
          <w:numId w:val="11"/>
        </w:numPr>
        <w:ind w:hanging="0" w:start="0"/>
        <w:rPr>
          <w:sz w:val="22"/>
          <w:szCs w:val="22"/>
        </w:rPr>
      </w:pPr>
      <w:bookmarkStart w:id="103" w:name="__RefHeading___Toc153767096"/>
      <w:bookmarkEnd w:id="103"/>
      <w:r>
        <w:rPr>
          <w:sz w:val="22"/>
          <w:szCs w:val="22"/>
        </w:rPr>
        <w:t>Affected Contractors</w:t>
      </w:r>
    </w:p>
    <w:p>
      <w:pPr>
        <w:pStyle w:val="FWOutL3"/>
        <w:numPr>
          <w:ilvl w:val="2"/>
          <w:numId w:val="11"/>
        </w:numPr>
        <w:ind w:hanging="0" w:start="0" w:end="0"/>
        <w:rPr>
          <w:sz w:val="22"/>
          <w:szCs w:val="22"/>
        </w:rPr>
      </w:pPr>
      <w:r>
        <w:rPr>
          <w:sz w:val="22"/>
          <w:szCs w:val="22"/>
        </w:rPr>
        <w:t>Ultimately one month before the Commencement Date EuroBank will identify Affected Contractors. The PST Supplier will retain the services of the Affected Contractors for such time as is necessary to conduct a proper transfer of know how.</w:t>
      </w:r>
    </w:p>
    <w:p>
      <w:pPr>
        <w:pStyle w:val="FWOutL3"/>
        <w:numPr>
          <w:ilvl w:val="2"/>
          <w:numId w:val="11"/>
        </w:numPr>
        <w:ind w:hanging="0" w:start="0" w:end="0"/>
        <w:rPr>
          <w:b/>
          <w:bCs/>
          <w:sz w:val="22"/>
          <w:szCs w:val="22"/>
        </w:rPr>
      </w:pPr>
      <w:r>
        <w:rPr>
          <w:sz w:val="22"/>
          <w:szCs w:val="22"/>
        </w:rPr>
        <w:t>If applicable, the Parties will, before the Commencement Date, co-operate to effect the assignment of the contracts between EuroBank and the Affected Contractors, and where necessary, to procure the consent of the Affected Contractors to the assignment of their contracts, such assignments to take effect on the Commencement Date.</w:t>
      </w:r>
    </w:p>
    <w:p>
      <w:pPr>
        <w:pStyle w:val="FWOutL3"/>
        <w:numPr>
          <w:ilvl w:val="2"/>
          <w:numId w:val="11"/>
        </w:numPr>
        <w:ind w:hanging="0" w:start="0" w:end="0"/>
        <w:rPr>
          <w:b/>
          <w:bCs/>
          <w:sz w:val="22"/>
          <w:szCs w:val="22"/>
        </w:rPr>
      </w:pPr>
      <w:r>
        <w:rPr>
          <w:sz w:val="22"/>
          <w:szCs w:val="22"/>
        </w:rPr>
        <w:t>In all cases the relevant PST Supplier will make its best efforts to retain or hire Affected Contractors identified by EuroBank as Critical Affected Personnel.</w:t>
      </w:r>
    </w:p>
    <w:p>
      <w:pPr>
        <w:pStyle w:val="FWOutL2"/>
        <w:numPr>
          <w:ilvl w:val="1"/>
          <w:numId w:val="11"/>
        </w:numPr>
        <w:ind w:hanging="0" w:start="0"/>
        <w:rPr>
          <w:sz w:val="22"/>
          <w:szCs w:val="22"/>
        </w:rPr>
      </w:pPr>
      <w:bookmarkStart w:id="104" w:name="__RefHeading___Toc153767097"/>
      <w:bookmarkEnd w:id="104"/>
      <w:r>
        <w:rPr>
          <w:sz w:val="22"/>
          <w:szCs w:val="22"/>
        </w:rPr>
        <w:t>Staffing projections</w:t>
      </w:r>
    </w:p>
    <w:p>
      <w:pPr>
        <w:pStyle w:val="FWOutL3"/>
        <w:numPr>
          <w:ilvl w:val="0"/>
          <w:numId w:val="0"/>
        </w:numPr>
        <w:ind w:hanging="0" w:start="0"/>
        <w:rPr/>
      </w:pPr>
      <w:r>
        <w:rPr>
          <w:sz w:val="22"/>
          <w:szCs w:val="22"/>
        </w:rPr>
        <w:t>EuroBank acknowledges and agrees with the PST Supplier’s Personnel Projection Matrix on the expected staffing of the Services attached to this Exhibit as Attachment 5-F (Personnel Projection Matrix). EuroBank and the PST Suppliers agree that:</w:t>
      </w:r>
      <w:r>
        <w:rPr>
          <w:color w:val="000000"/>
          <w:sz w:val="22"/>
          <w:szCs w:val="22"/>
        </w:rPr>
      </w:r>
      <w:r>
        <w:rPr>
          <w:i/>
          <w:color w:val="000000"/>
          <w:sz w:val="22"/>
          <w:szCs w:val="22"/>
        </w:rPr>
      </w:r>
      <w:r>
        <w:rPr>
          <w:color w:val="000000"/>
          <w:sz w:val="22"/>
          <w:szCs w:val="22"/>
        </w:rPr>
      </w:r>
      <w:r>
        <w:rPr>
          <w:sz w:val="22"/>
          <w:szCs w:val="22"/>
        </w:rPr>
      </w:r>
    </w:p>
    <w:p>
      <w:pPr>
        <w:pStyle w:val="FWOutL4"/>
        <w:numPr>
          <w:ilvl w:val="3"/>
          <w:numId w:val="11"/>
        </w:numPr>
        <w:ind w:hanging="0" w:start="0"/>
        <w:rPr>
          <w:b/>
          <w:sz w:val="22"/>
          <w:szCs w:val="22"/>
        </w:rPr>
      </w:pPr>
      <w:r>
        <w:rPr>
          <w:color w:val="000000"/>
          <w:sz w:val="22"/>
          <w:szCs w:val="22"/>
        </w:rPr>
        <w:t>the PST Supplier will do its utmost to commercialise the Services with a view to retaining job security of the Affected Employees in line with the Personnel Projection Matrix (Attachment 5-F to this Exhibit 5</w:t>
      </w:r>
      <w:r>
        <w:rPr>
          <w:sz w:val="22"/>
          <w:szCs w:val="22"/>
        </w:rPr>
        <w:t xml:space="preserve">); </w:t>
      </w:r>
    </w:p>
    <w:p>
      <w:pPr>
        <w:pStyle w:val="FWOutL4"/>
        <w:numPr>
          <w:ilvl w:val="3"/>
          <w:numId w:val="11"/>
        </w:numPr>
        <w:ind w:hanging="0" w:start="0"/>
        <w:rPr>
          <w:sz w:val="22"/>
          <w:szCs w:val="22"/>
        </w:rPr>
      </w:pPr>
      <w:r>
        <w:rPr>
          <w:sz w:val="22"/>
          <w:szCs w:val="22"/>
        </w:rPr>
        <w:t>material proposed or actual changes to the staffing must be reported to EuroBank each month. A material change in staffing is considered to be a change of ten percent (10%) or more from each figure or on the total within the Personnel Projection Matrix;</w:t>
      </w:r>
      <w:r>
        <w:rPr>
          <w:color w:val="0000FF"/>
          <w:sz w:val="22"/>
          <w:szCs w:val="22"/>
        </w:rPr>
      </w:r>
      <w:r>
        <w:rPr>
          <w:sz w:val="22"/>
          <w:szCs w:val="22"/>
        </w:rPr>
      </w:r>
    </w:p>
    <w:p>
      <w:pPr>
        <w:pStyle w:val="FWOutL4"/>
        <w:numPr>
          <w:ilvl w:val="3"/>
          <w:numId w:val="11"/>
        </w:numPr>
        <w:ind w:hanging="0" w:start="0"/>
        <w:rPr>
          <w:sz w:val="22"/>
          <w:szCs w:val="22"/>
        </w:rPr>
      </w:pPr>
      <w:r>
        <w:rPr>
          <w:sz w:val="22"/>
          <w:szCs w:val="22"/>
        </w:rPr>
        <w:t>any proposed changes during the first 12 months following the Commencement Date are subject to EuroBank’s approval, which will be based on EuroBank’s reasonable satisfaction that such changes will not have an adverse impact on the PST Supplier’s ability to perform its obligations under the Agreement. The Parties agree that this review and approval does not constitute joint employment.</w:t>
      </w:r>
    </w:p>
    <w:p>
      <w:pPr>
        <w:pStyle w:val="FWOutL2"/>
        <w:numPr>
          <w:ilvl w:val="1"/>
          <w:numId w:val="11"/>
        </w:numPr>
        <w:ind w:hanging="0" w:start="0"/>
        <w:rPr>
          <w:sz w:val="22"/>
          <w:szCs w:val="22"/>
        </w:rPr>
      </w:pPr>
      <w:bookmarkStart w:id="105" w:name="__RefHeading___Toc153767098"/>
      <w:bookmarkEnd w:id="105"/>
      <w:r>
        <w:rPr>
          <w:sz w:val="22"/>
          <w:szCs w:val="22"/>
        </w:rPr>
        <w:t>Use and compliance of PST Member Personnel</w:t>
      </w:r>
    </w:p>
    <w:p>
      <w:pPr>
        <w:pStyle w:val="FWOutL3"/>
        <w:numPr>
          <w:ilvl w:val="2"/>
          <w:numId w:val="11"/>
        </w:numPr>
        <w:ind w:hanging="0" w:start="0" w:end="0"/>
        <w:rPr>
          <w:sz w:val="22"/>
          <w:szCs w:val="22"/>
        </w:rPr>
      </w:pPr>
      <w:r>
        <w:rPr>
          <w:sz w:val="22"/>
          <w:szCs w:val="22"/>
        </w:rPr>
        <w:t xml:space="preserve">The relevant PST Member shall: </w:t>
      </w:r>
    </w:p>
    <w:p>
      <w:pPr>
        <w:pStyle w:val="FWOutL4"/>
        <w:numPr>
          <w:ilvl w:val="3"/>
          <w:numId w:val="11"/>
        </w:numPr>
        <w:ind w:hanging="0" w:start="0"/>
        <w:rPr>
          <w:sz w:val="22"/>
          <w:szCs w:val="22"/>
        </w:rPr>
      </w:pPr>
      <w:r>
        <w:rPr>
          <w:sz w:val="22"/>
          <w:szCs w:val="22"/>
        </w:rPr>
        <w:t xml:space="preserve">ensure that at all times, there is an adequate number of PST Member Personnel to perform the Services; </w:t>
      </w:r>
    </w:p>
    <w:p>
      <w:pPr>
        <w:pStyle w:val="FWOutL4"/>
        <w:numPr>
          <w:ilvl w:val="3"/>
          <w:numId w:val="11"/>
        </w:numPr>
        <w:ind w:hanging="0" w:start="0"/>
        <w:rPr>
          <w:sz w:val="22"/>
          <w:szCs w:val="22"/>
        </w:rPr>
      </w:pPr>
      <w:r>
        <w:rPr>
          <w:sz w:val="22"/>
          <w:szCs w:val="22"/>
        </w:rPr>
        <w:t xml:space="preserve">screen the PST Member Personnel in accordance with Section </w:t>
      </w:r>
      <w:r>
        <w:rPr>
          <w:sz w:val="22"/>
          <w:szCs w:val="22"/>
        </w:rPr>
        <w:fldChar w:fldCharType="begin"/>
      </w:r>
      <w:r>
        <w:rPr>
          <w:sz w:val="22"/>
          <w:szCs w:val="22"/>
        </w:rPr>
        <w:instrText xml:space="preserve"> REF _Ref114570256 \r \r \h </w:instrText>
      </w:r>
      <w:r>
        <w:rPr>
          <w:sz w:val="22"/>
          <w:szCs w:val="22"/>
        </w:rPr>
        <w:fldChar w:fldCharType="separate"/>
      </w:r>
      <w:r>
        <w:rPr>
          <w:sz w:val="22"/>
          <w:szCs w:val="22"/>
        </w:rPr>
        <w:t>4</w:t>
      </w:r>
      <w:r>
        <w:rPr>
          <w:sz w:val="22"/>
          <w:szCs w:val="22"/>
        </w:rPr>
        <w:fldChar w:fldCharType="end"/>
      </w:r>
      <w:r>
        <w:rPr>
          <w:sz w:val="22"/>
          <w:szCs w:val="22"/>
        </w:rPr>
        <w:t xml:space="preserve"> of this Exhibit 5;</w:t>
      </w:r>
    </w:p>
    <w:p>
      <w:pPr>
        <w:pStyle w:val="FWOutL4"/>
        <w:numPr>
          <w:ilvl w:val="3"/>
          <w:numId w:val="11"/>
        </w:numPr>
        <w:ind w:hanging="0" w:start="0"/>
        <w:rPr>
          <w:sz w:val="22"/>
          <w:szCs w:val="22"/>
        </w:rPr>
      </w:pPr>
      <w:r>
        <w:rPr>
          <w:sz w:val="22"/>
          <w:szCs w:val="22"/>
        </w:rPr>
        <w:t>provide to EuroBank upon request, a list of PST Member Personnel, including Key PST Personnel, who shall be providing the Services;</w:t>
      </w:r>
    </w:p>
    <w:p>
      <w:pPr>
        <w:pStyle w:val="FWOutL4"/>
        <w:numPr>
          <w:ilvl w:val="3"/>
          <w:numId w:val="11"/>
        </w:numPr>
        <w:ind w:hanging="0" w:start="0"/>
        <w:rPr>
          <w:bCs/>
          <w:sz w:val="22"/>
          <w:szCs w:val="22"/>
        </w:rPr>
      </w:pPr>
      <w:bookmarkStart w:id="106" w:name="_Ref133659428"/>
      <w:r>
        <w:rPr>
          <w:bCs/>
          <w:sz w:val="22"/>
          <w:szCs w:val="22"/>
        </w:rPr>
        <w:t xml:space="preserve">ensure that prior to commencing any Services under this Agreement, each of the PST Member Personnel is aware of the confidentiality and publicity provisions of this MSA and signs EuroBank’s Standard Confidentiality Agreement undertaking as set out in Attachment B to this Exhibit 5; </w:t>
      </w:r>
      <w:bookmarkEnd w:id="106"/>
      <w:r>
        <w:rPr>
          <w:bCs/>
          <w:sz w:val="22"/>
          <w:szCs w:val="22"/>
        </w:rPr>
      </w:r>
    </w:p>
    <w:p>
      <w:pPr>
        <w:pStyle w:val="FWOutL4"/>
        <w:numPr>
          <w:ilvl w:val="3"/>
          <w:numId w:val="11"/>
        </w:numPr>
        <w:ind w:hanging="0" w:start="0"/>
        <w:rPr>
          <w:bCs/>
          <w:sz w:val="22"/>
          <w:szCs w:val="22"/>
        </w:rPr>
      </w:pPr>
      <w:r>
        <w:rPr>
          <w:bCs/>
          <w:sz w:val="22"/>
          <w:szCs w:val="22"/>
        </w:rPr>
        <w:t>ensure that the PST Member Personnel is aware of and complies with all Policies and Applicable Law in the performance of the Services and in the performance of the PST Member’s other obligations under the MSA; and</w:t>
      </w:r>
    </w:p>
    <w:p>
      <w:pPr>
        <w:pStyle w:val="FWOutL3"/>
        <w:numPr>
          <w:ilvl w:val="2"/>
          <w:numId w:val="11"/>
        </w:numPr>
        <w:ind w:hanging="0" w:start="0" w:end="0"/>
        <w:rPr>
          <w:sz w:val="22"/>
          <w:szCs w:val="22"/>
        </w:rPr>
      </w:pPr>
      <w:r>
        <w:rPr>
          <w:sz w:val="22"/>
          <w:szCs w:val="22"/>
        </w:rPr>
        <w:t>ensure that each of the PST Member Personnel:</w:t>
      </w:r>
    </w:p>
    <w:p>
      <w:pPr>
        <w:pStyle w:val="FWOutL4"/>
        <w:numPr>
          <w:ilvl w:val="3"/>
          <w:numId w:val="11"/>
        </w:numPr>
        <w:ind w:hanging="0" w:start="0"/>
        <w:rPr>
          <w:sz w:val="22"/>
          <w:szCs w:val="22"/>
        </w:rPr>
      </w:pPr>
      <w:r>
        <w:rPr>
          <w:sz w:val="22"/>
          <w:szCs w:val="22"/>
        </w:rPr>
        <w:t>is appropriately experienced, qualified and trained to perform the Services;</w:t>
      </w:r>
    </w:p>
    <w:p>
      <w:pPr>
        <w:pStyle w:val="FWOutL4"/>
        <w:numPr>
          <w:ilvl w:val="3"/>
          <w:numId w:val="11"/>
        </w:numPr>
        <w:ind w:hanging="0" w:start="0"/>
        <w:rPr>
          <w:sz w:val="22"/>
          <w:szCs w:val="22"/>
        </w:rPr>
      </w:pPr>
      <w:r>
        <w:rPr>
          <w:sz w:val="22"/>
          <w:szCs w:val="22"/>
        </w:rPr>
        <w:t>is familiar with the requirements set out in this MSA;</w:t>
      </w:r>
    </w:p>
    <w:p>
      <w:pPr>
        <w:pStyle w:val="FWOutL4"/>
        <w:numPr>
          <w:ilvl w:val="3"/>
          <w:numId w:val="11"/>
        </w:numPr>
        <w:ind w:hanging="0" w:start="0"/>
        <w:rPr>
          <w:sz w:val="22"/>
          <w:szCs w:val="22"/>
        </w:rPr>
      </w:pPr>
      <w:r>
        <w:rPr>
          <w:sz w:val="22"/>
          <w:szCs w:val="22"/>
        </w:rPr>
        <w:t>performs the Services with all reasonable skill, care and diligence; and</w:t>
      </w:r>
    </w:p>
    <w:p>
      <w:pPr>
        <w:pStyle w:val="FWOutL4"/>
        <w:numPr>
          <w:ilvl w:val="3"/>
          <w:numId w:val="11"/>
        </w:numPr>
        <w:ind w:hanging="0" w:start="0"/>
        <w:rPr>
          <w:sz w:val="22"/>
          <w:szCs w:val="22"/>
        </w:rPr>
      </w:pPr>
      <w:r>
        <w:rPr>
          <w:sz w:val="22"/>
          <w:szCs w:val="22"/>
        </w:rPr>
        <w:t>complies with the PST Member’s obligations under this MSA.</w:t>
      </w:r>
    </w:p>
    <w:p>
      <w:pPr>
        <w:pStyle w:val="FWOutL3"/>
        <w:numPr>
          <w:ilvl w:val="2"/>
          <w:numId w:val="11"/>
        </w:numPr>
        <w:ind w:hanging="0" w:start="0" w:end="0"/>
        <w:rPr>
          <w:sz w:val="22"/>
          <w:szCs w:val="22"/>
        </w:rPr>
      </w:pPr>
      <w:r>
        <w:rPr>
          <w:sz w:val="22"/>
          <w:szCs w:val="22"/>
        </w:rPr>
        <w:t>The PST Member is responsible for all recruiting and hiring costs associated with employing appropriate staff.</w:t>
      </w:r>
    </w:p>
    <w:p>
      <w:pPr>
        <w:pStyle w:val="FWOutL2"/>
        <w:numPr>
          <w:ilvl w:val="1"/>
          <w:numId w:val="11"/>
        </w:numPr>
        <w:ind w:hanging="0" w:start="0"/>
        <w:rPr>
          <w:sz w:val="22"/>
          <w:szCs w:val="22"/>
        </w:rPr>
      </w:pPr>
      <w:bookmarkStart w:id="107" w:name="__RefHeading___Toc153767099"/>
      <w:bookmarkEnd w:id="107"/>
      <w:r>
        <w:rPr>
          <w:sz w:val="22"/>
          <w:szCs w:val="22"/>
        </w:rPr>
        <w:t>Turnover of PST Supplier Personnel</w:t>
      </w:r>
    </w:p>
    <w:p>
      <w:pPr>
        <w:pStyle w:val="FWOutL3"/>
        <w:numPr>
          <w:ilvl w:val="2"/>
          <w:numId w:val="11"/>
        </w:numPr>
        <w:ind w:hanging="0" w:start="0" w:end="0"/>
        <w:rPr>
          <w:sz w:val="22"/>
          <w:szCs w:val="22"/>
        </w:rPr>
      </w:pPr>
      <w:r>
        <w:rPr>
          <w:sz w:val="22"/>
          <w:szCs w:val="22"/>
        </w:rPr>
        <w:t>The PST Supplier shall use commercially reasonable endeavours to keep the turnover of PST Supplier Personnel (the Turnover) to a low level, comparable or better than the industry average for a well-managed company in the industry of the PST Supplier. If EuroBank notifies the PST Supplier that the Turnover is not acceptable, the PST Supplier shall:</w:t>
      </w:r>
      <w:r>
        <w:rPr>
          <w:color w:val="0000FF"/>
          <w:sz w:val="22"/>
          <w:szCs w:val="22"/>
        </w:rPr>
      </w:r>
      <w:r>
        <w:rPr>
          <w:sz w:val="22"/>
          <w:szCs w:val="22"/>
        </w:rPr>
      </w:r>
      <w:r>
        <w:rPr>
          <w:b/>
          <w:bCs/>
          <w:i/>
          <w:iCs/>
          <w:sz w:val="22"/>
          <w:szCs w:val="22"/>
        </w:rPr>
      </w:r>
      <w:r>
        <w:rPr>
          <w:sz w:val="22"/>
          <w:szCs w:val="22"/>
        </w:rPr>
      </w:r>
    </w:p>
    <w:p>
      <w:pPr>
        <w:pStyle w:val="FWOutL4"/>
        <w:numPr>
          <w:ilvl w:val="3"/>
          <w:numId w:val="11"/>
        </w:numPr>
        <w:ind w:hanging="0" w:start="0"/>
        <w:rPr>
          <w:sz w:val="22"/>
          <w:szCs w:val="22"/>
        </w:rPr>
      </w:pPr>
      <w:r>
        <w:rPr>
          <w:sz w:val="22"/>
          <w:szCs w:val="22"/>
        </w:rPr>
        <w:t>report to EuroBank on the Turnover;</w:t>
      </w:r>
    </w:p>
    <w:p>
      <w:pPr>
        <w:pStyle w:val="FWOutL4"/>
        <w:numPr>
          <w:ilvl w:val="3"/>
          <w:numId w:val="11"/>
        </w:numPr>
        <w:ind w:hanging="0" w:start="0"/>
        <w:rPr>
          <w:sz w:val="22"/>
          <w:szCs w:val="22"/>
        </w:rPr>
      </w:pPr>
      <w:r>
        <w:rPr>
          <w:sz w:val="22"/>
          <w:szCs w:val="22"/>
        </w:rPr>
        <w:t>meet with EuroBank to discuss the impact of the Turnover; and</w:t>
      </w:r>
    </w:p>
    <w:p>
      <w:pPr>
        <w:pStyle w:val="FWOutL4"/>
        <w:numPr>
          <w:ilvl w:val="3"/>
          <w:numId w:val="11"/>
        </w:numPr>
        <w:ind w:hanging="0" w:start="0"/>
        <w:rPr>
          <w:b/>
          <w:sz w:val="22"/>
          <w:szCs w:val="22"/>
        </w:rPr>
      </w:pPr>
      <w:r>
        <w:rPr>
          <w:sz w:val="22"/>
          <w:szCs w:val="22"/>
        </w:rPr>
        <w:t>submit to EuroBank a proposal for reducing the Turnover at no cost for EuroBank, which shall be agreed in writing between EuroBank and the PST Supplier.</w:t>
      </w:r>
    </w:p>
    <w:p>
      <w:pPr>
        <w:pStyle w:val="FWOutL3"/>
        <w:numPr>
          <w:ilvl w:val="2"/>
          <w:numId w:val="11"/>
        </w:numPr>
        <w:ind w:hanging="0" w:start="0" w:end="0"/>
        <w:rPr>
          <w:sz w:val="22"/>
          <w:szCs w:val="22"/>
        </w:rPr>
      </w:pPr>
      <w:r>
        <w:rPr>
          <w:sz w:val="22"/>
          <w:szCs w:val="22"/>
        </w:rPr>
        <w:t xml:space="preserve">For a period of 12 months following the Commencement Date, the PST Supplier will inform EuroBank each month of Affected Employees whose employment with the relevant member of the EuroBank Group is terminated for whatever reason. </w:t>
      </w:r>
    </w:p>
    <w:p>
      <w:pPr>
        <w:pStyle w:val="FWOutL2"/>
        <w:numPr>
          <w:ilvl w:val="1"/>
          <w:numId w:val="11"/>
        </w:numPr>
        <w:ind w:hanging="0" w:start="0"/>
        <w:rPr>
          <w:sz w:val="22"/>
          <w:szCs w:val="22"/>
        </w:rPr>
      </w:pPr>
      <w:bookmarkStart w:id="108" w:name="__RefHeading___Toc153767100"/>
      <w:bookmarkEnd w:id="108"/>
      <w:r>
        <w:rPr>
          <w:sz w:val="22"/>
          <w:szCs w:val="22"/>
        </w:rPr>
        <w:t>Access of PST Member Personnel</w:t>
      </w:r>
    </w:p>
    <w:p>
      <w:pPr>
        <w:pStyle w:val="Normal"/>
        <w:rPr>
          <w:bCs/>
          <w:sz w:val="22"/>
          <w:szCs w:val="22"/>
        </w:rPr>
      </w:pPr>
      <w:r>
        <w:rPr>
          <w:sz w:val="22"/>
          <w:szCs w:val="22"/>
        </w:rPr>
        <w:t>EuroBank shall give the PST Member Personnel such access as necessary to carry out the Services to EuroBank’s premises as the parties may agree in writing</w:t>
      </w:r>
    </w:p>
    <w:p>
      <w:pPr>
        <w:pStyle w:val="Normal"/>
        <w:rPr>
          <w:bCs/>
          <w:sz w:val="22"/>
          <w:szCs w:val="22"/>
        </w:rPr>
      </w:pPr>
      <w:r>
        <w:rPr>
          <w:bCs/>
          <w:sz w:val="22"/>
          <w:szCs w:val="22"/>
        </w:rPr>
      </w:r>
    </w:p>
    <w:p>
      <w:pPr>
        <w:pStyle w:val="FWOutL2"/>
        <w:numPr>
          <w:ilvl w:val="1"/>
          <w:numId w:val="11"/>
        </w:numPr>
        <w:ind w:hanging="0" w:start="0"/>
        <w:rPr>
          <w:sz w:val="22"/>
          <w:szCs w:val="22"/>
        </w:rPr>
      </w:pPr>
      <w:bookmarkStart w:id="109" w:name="__RefHeading___Toc153767101"/>
      <w:bookmarkEnd w:id="109"/>
      <w:r>
        <w:rPr>
          <w:sz w:val="22"/>
          <w:szCs w:val="22"/>
        </w:rPr>
        <w:t>Replacement of PST Member Personnel</w:t>
      </w:r>
    </w:p>
    <w:p>
      <w:pPr>
        <w:pStyle w:val="FWOutL3"/>
        <w:numPr>
          <w:ilvl w:val="2"/>
          <w:numId w:val="11"/>
        </w:numPr>
        <w:ind w:hanging="0" w:start="0" w:end="0"/>
        <w:rPr>
          <w:sz w:val="22"/>
          <w:szCs w:val="22"/>
        </w:rPr>
      </w:pPr>
      <w:r>
        <w:rPr>
          <w:sz w:val="22"/>
          <w:szCs w:val="22"/>
        </w:rPr>
        <w:t>EuroBank reserves the right to require the PST Member, on reasonable grounds, at the PST Member’s cost, to remove or replace any PST Member Personnel or who are involved in providing the Services upon adequate written justifications and appropriate early warning.</w:t>
      </w:r>
    </w:p>
    <w:p>
      <w:pPr>
        <w:pStyle w:val="FWOutL3"/>
        <w:numPr>
          <w:ilvl w:val="2"/>
          <w:numId w:val="11"/>
        </w:numPr>
        <w:ind w:hanging="0" w:start="0" w:end="0"/>
        <w:rPr>
          <w:sz w:val="22"/>
          <w:szCs w:val="22"/>
        </w:rPr>
      </w:pPr>
      <w:r>
        <w:rPr>
          <w:sz w:val="22"/>
          <w:szCs w:val="22"/>
        </w:rPr>
        <w:t>If EuroBank determines that the continued assignment of any PST Member Personnel to EuroBank’s account is not in the best interests of EuroBank, EuroBank may give the PST Member written notice to that effect requesting that such PST Member Personnel be replaced.</w:t>
      </w:r>
    </w:p>
    <w:p>
      <w:pPr>
        <w:pStyle w:val="FWOutL3"/>
        <w:numPr>
          <w:ilvl w:val="2"/>
          <w:numId w:val="11"/>
        </w:numPr>
        <w:ind w:hanging="0" w:start="0" w:end="0"/>
        <w:rPr>
          <w:sz w:val="22"/>
          <w:szCs w:val="22"/>
        </w:rPr>
      </w:pPr>
      <w:r>
        <w:rPr>
          <w:sz w:val="22"/>
          <w:szCs w:val="22"/>
        </w:rPr>
        <w:t>If requested to do so by EuroBank, the PST Member shall immediately remove the individual in question from all EuroBank Sites.</w:t>
      </w:r>
    </w:p>
    <w:p>
      <w:pPr>
        <w:pStyle w:val="FWOutL3"/>
        <w:numPr>
          <w:ilvl w:val="2"/>
          <w:numId w:val="11"/>
        </w:numPr>
        <w:ind w:hanging="0" w:start="0" w:end="0"/>
        <w:rPr>
          <w:sz w:val="22"/>
          <w:szCs w:val="22"/>
        </w:rPr>
      </w:pPr>
      <w:r>
        <w:rPr>
          <w:sz w:val="22"/>
          <w:szCs w:val="22"/>
        </w:rPr>
        <w:t>If, following discussions with the PST Member, EuroBank requests replacement of PST Member Personnel, the PST Member shall promptly replace the individual with an individual of suitable ability and qualifications, with EuroBank’s approval.</w:t>
      </w:r>
    </w:p>
    <w:p>
      <w:pPr>
        <w:pStyle w:val="FWOutL3"/>
        <w:numPr>
          <w:ilvl w:val="2"/>
          <w:numId w:val="11"/>
        </w:numPr>
        <w:ind w:hanging="0" w:start="0" w:end="0"/>
        <w:rPr>
          <w:sz w:val="22"/>
          <w:szCs w:val="22"/>
        </w:rPr>
      </w:pPr>
      <w:r>
        <w:rPr>
          <w:sz w:val="22"/>
          <w:szCs w:val="22"/>
        </w:rPr>
        <w:t>Nothing in the provisions regarding reassignment or replacement of PST Member Personnel shall operate or be construed to limit the relevant PST Member’s responsibility for the acts or omission of PST Member Personnel, nor be construed as joint employment or as the exercise of authority on the PST Member Personnel.</w:t>
      </w:r>
    </w:p>
    <w:p>
      <w:pPr>
        <w:pStyle w:val="FWOutL2"/>
        <w:numPr>
          <w:ilvl w:val="1"/>
          <w:numId w:val="11"/>
        </w:numPr>
        <w:ind w:hanging="0" w:start="0"/>
        <w:rPr>
          <w:sz w:val="22"/>
          <w:szCs w:val="22"/>
        </w:rPr>
      </w:pPr>
      <w:bookmarkStart w:id="110" w:name="__RefHeading___Toc153767102"/>
      <w:bookmarkEnd w:id="110"/>
      <w:r>
        <w:rPr>
          <w:sz w:val="22"/>
          <w:szCs w:val="22"/>
        </w:rPr>
        <w:t>Training of PST Member Personnel</w:t>
      </w:r>
    </w:p>
    <w:p>
      <w:pPr>
        <w:pStyle w:val="FWOutL3"/>
        <w:numPr>
          <w:ilvl w:val="0"/>
          <w:numId w:val="0"/>
        </w:numPr>
        <w:ind w:hanging="0" w:start="0"/>
        <w:rPr>
          <w:sz w:val="22"/>
          <w:szCs w:val="22"/>
        </w:rPr>
      </w:pPr>
      <w:r>
        <w:rPr>
          <w:sz w:val="22"/>
          <w:szCs w:val="22"/>
        </w:rPr>
        <w:t>The relevant PST Member shall adequately equip at no additional charge to EuroBank, the PST Member Personnel in relation to:</w:t>
      </w:r>
    </w:p>
    <w:p>
      <w:pPr>
        <w:pStyle w:val="FWOutL4"/>
        <w:numPr>
          <w:ilvl w:val="3"/>
          <w:numId w:val="11"/>
        </w:numPr>
        <w:ind w:hanging="0" w:start="0"/>
        <w:rPr>
          <w:sz w:val="22"/>
          <w:szCs w:val="22"/>
        </w:rPr>
      </w:pPr>
      <w:r>
        <w:rPr>
          <w:sz w:val="22"/>
          <w:szCs w:val="22"/>
        </w:rPr>
        <w:t>Applicable Law, Policies (including any new or modified Policies from time to time as soon as is reasonably practicable following the introduction or modification of such Policies and after the PST Supplier has been informed of such new or modified Policies by EuroBank), integrity and compliance and enforcement thereof;</w:t>
      </w:r>
    </w:p>
    <w:p>
      <w:pPr>
        <w:pStyle w:val="FWOutL4"/>
        <w:numPr>
          <w:ilvl w:val="3"/>
          <w:numId w:val="11"/>
        </w:numPr>
        <w:ind w:hanging="0" w:start="0"/>
        <w:rPr>
          <w:sz w:val="22"/>
          <w:szCs w:val="22"/>
        </w:rPr>
      </w:pPr>
      <w:r>
        <w:rPr>
          <w:sz w:val="22"/>
          <w:szCs w:val="22"/>
        </w:rPr>
        <w:t>regulatory compliance as it relates to the provision of the Services; and</w:t>
      </w:r>
    </w:p>
    <w:p>
      <w:pPr>
        <w:pStyle w:val="FWOutL4"/>
        <w:numPr>
          <w:ilvl w:val="3"/>
          <w:numId w:val="11"/>
        </w:numPr>
        <w:ind w:hanging="0" w:start="0"/>
        <w:rPr>
          <w:sz w:val="22"/>
          <w:szCs w:val="22"/>
        </w:rPr>
      </w:pPr>
      <w:r>
        <w:rPr>
          <w:sz w:val="22"/>
          <w:szCs w:val="22"/>
        </w:rPr>
        <w:t>the necessary elements to provide the Services in accordance with the MSA and its Exhibits.</w:t>
      </w:r>
    </w:p>
    <w:p>
      <w:pPr>
        <w:pStyle w:val="FWOutL2"/>
        <w:numPr>
          <w:ilvl w:val="1"/>
          <w:numId w:val="11"/>
        </w:numPr>
        <w:ind w:hanging="0" w:start="0"/>
        <w:jc w:val="both"/>
        <w:rPr>
          <w:bCs/>
          <w:sz w:val="22"/>
          <w:szCs w:val="22"/>
        </w:rPr>
      </w:pPr>
      <w:bookmarkStart w:id="111" w:name="__RefHeading___Toc153767103"/>
      <w:bookmarkStart w:id="112" w:name="_Ref114570533"/>
      <w:bookmarkEnd w:id="111"/>
      <w:r>
        <w:rPr>
          <w:bCs/>
          <w:sz w:val="22"/>
          <w:szCs w:val="22"/>
        </w:rPr>
        <w:t xml:space="preserve">Provision of information by </w:t>
      </w:r>
      <w:bookmarkEnd w:id="112"/>
      <w:r>
        <w:rPr>
          <w:bCs/>
          <w:sz w:val="22"/>
          <w:szCs w:val="22"/>
        </w:rPr>
        <w:t>the PST Member</w:t>
      </w:r>
    </w:p>
    <w:p>
      <w:pPr>
        <w:pStyle w:val="Normal"/>
        <w:jc w:val="both"/>
        <w:rPr>
          <w:sz w:val="22"/>
          <w:szCs w:val="22"/>
        </w:rPr>
      </w:pPr>
      <w:r>
        <w:rPr>
          <w:sz w:val="22"/>
          <w:szCs w:val="22"/>
        </w:rPr>
        <w:t>Without affecting Clause 9 of the MSA, where reasonably requested by EuroBank, including in connection with an audit, the relevant PST Member shall provide EuroBank with:</w:t>
      </w:r>
    </w:p>
    <w:p>
      <w:pPr>
        <w:pStyle w:val="Normal"/>
        <w:jc w:val="both"/>
        <w:rPr>
          <w:sz w:val="22"/>
          <w:szCs w:val="22"/>
        </w:rPr>
      </w:pPr>
      <w:r>
        <w:rPr>
          <w:sz w:val="22"/>
          <w:szCs w:val="22"/>
        </w:rPr>
      </w:r>
    </w:p>
    <w:p>
      <w:pPr>
        <w:pStyle w:val="FWOutL4"/>
        <w:numPr>
          <w:ilvl w:val="3"/>
          <w:numId w:val="11"/>
        </w:numPr>
        <w:ind w:hanging="0" w:start="0"/>
        <w:rPr>
          <w:sz w:val="22"/>
          <w:szCs w:val="22"/>
        </w:rPr>
      </w:pPr>
      <w:r>
        <w:rPr>
          <w:sz w:val="22"/>
          <w:szCs w:val="22"/>
        </w:rPr>
        <w:t xml:space="preserve">written confirmation, or samples, of the confidentiality agreements signed by PST Member Personnel in accordance with Section </w:t>
      </w:r>
      <w:r>
        <w:rPr>
          <w:sz w:val="22"/>
          <w:szCs w:val="22"/>
        </w:rPr>
        <w:fldChar w:fldCharType="begin"/>
      </w:r>
      <w:r>
        <w:rPr>
          <w:sz w:val="22"/>
          <w:szCs w:val="22"/>
        </w:rPr>
        <w:instrText xml:space="preserve"> REF _Ref133659428 \r \r \h </w:instrText>
      </w:r>
      <w:r>
        <w:rPr>
          <w:sz w:val="22"/>
          <w:szCs w:val="22"/>
        </w:rPr>
        <w:fldChar w:fldCharType="separate"/>
      </w:r>
      <w:r>
        <w:rPr>
          <w:sz w:val="22"/>
          <w:szCs w:val="22"/>
        </w:rPr>
        <w:t>(d)</w:t>
      </w:r>
      <w:r>
        <w:rPr>
          <w:sz w:val="22"/>
          <w:szCs w:val="22"/>
        </w:rPr>
        <w:fldChar w:fldCharType="end"/>
      </w:r>
      <w:r>
        <w:rPr>
          <w:rStyle w:val="CommentReference"/>
          <w:sz w:val="22"/>
          <w:szCs w:val="22"/>
        </w:rPr>
        <w:t xml:space="preserve"> </w:t>
      </w:r>
      <w:r>
        <w:rPr>
          <w:sz w:val="22"/>
          <w:szCs w:val="22"/>
        </w:rPr>
        <w:t>of this Exhibit 5;</w:t>
      </w:r>
    </w:p>
    <w:p>
      <w:pPr>
        <w:pStyle w:val="FWOutL4"/>
        <w:numPr>
          <w:ilvl w:val="3"/>
          <w:numId w:val="11"/>
        </w:numPr>
        <w:ind w:hanging="0" w:start="0"/>
        <w:rPr>
          <w:sz w:val="22"/>
          <w:szCs w:val="22"/>
        </w:rPr>
      </w:pPr>
      <w:r>
        <w:rPr>
          <w:sz w:val="22"/>
          <w:szCs w:val="22"/>
        </w:rPr>
        <w:t>any records required to be maintained in accordance with this MSA relating to PST Member Personnel, except to the extent prohibited by applicable laws;</w:t>
      </w:r>
    </w:p>
    <w:p>
      <w:pPr>
        <w:pStyle w:val="FWOutL4"/>
        <w:numPr>
          <w:ilvl w:val="3"/>
          <w:numId w:val="11"/>
        </w:numPr>
        <w:ind w:hanging="0" w:start="0"/>
        <w:rPr>
          <w:sz w:val="22"/>
          <w:szCs w:val="22"/>
        </w:rPr>
      </w:pPr>
      <w:r>
        <w:rPr>
          <w:sz w:val="22"/>
          <w:szCs w:val="22"/>
        </w:rPr>
        <w:t>subject to the consent of the employee concerned (where necessary), and subject to applicable laws, including Data Protection acts, the results of background, or criminal conviction, record investigations of PST Member Personnel performed by or at the direction of the PST Member; and</w:t>
      </w:r>
    </w:p>
    <w:p>
      <w:pPr>
        <w:pStyle w:val="FWOutL4"/>
        <w:numPr>
          <w:ilvl w:val="3"/>
          <w:numId w:val="11"/>
        </w:numPr>
        <w:ind w:hanging="0" w:start="0"/>
        <w:rPr>
          <w:bCs/>
          <w:sz w:val="22"/>
          <w:szCs w:val="22"/>
        </w:rPr>
      </w:pPr>
      <w:r>
        <w:rPr>
          <w:sz w:val="22"/>
          <w:szCs w:val="22"/>
        </w:rPr>
        <w:t>any other reasonable and material information or assurances regarding compliance with the disclosed Policies in relation to the Services.</w:t>
      </w:r>
    </w:p>
    <w:p>
      <w:pPr>
        <w:pStyle w:val="FWOutL2"/>
        <w:numPr>
          <w:ilvl w:val="1"/>
          <w:numId w:val="11"/>
        </w:numPr>
        <w:ind w:hanging="0" w:start="0"/>
        <w:rPr>
          <w:sz w:val="22"/>
          <w:szCs w:val="22"/>
        </w:rPr>
      </w:pPr>
      <w:bookmarkStart w:id="113" w:name="__RefHeading___Toc153767104"/>
      <w:bookmarkEnd w:id="113"/>
      <w:r>
        <w:rPr>
          <w:sz w:val="22"/>
          <w:szCs w:val="22"/>
        </w:rPr>
        <w:t>Restrictive covenants</w:t>
      </w:r>
    </w:p>
    <w:p>
      <w:pPr>
        <w:pStyle w:val="FWOutL3"/>
        <w:numPr>
          <w:ilvl w:val="2"/>
          <w:numId w:val="11"/>
        </w:numPr>
        <w:ind w:hanging="0" w:start="0" w:end="0"/>
        <w:rPr>
          <w:sz w:val="22"/>
          <w:szCs w:val="22"/>
        </w:rPr>
      </w:pPr>
      <w:r>
        <w:rPr>
          <w:sz w:val="22"/>
          <w:szCs w:val="22"/>
        </w:rPr>
        <w:t>Without EuroBank’s prior written consent, that shall not be unreasonably withheld, the PST Member will undertake all reasonable endeavours that its sub-contractor will not assign Critical Affected Employees or Key PST Personnel to another engagement where the PST Member or its sub-contractors are providing services or marketing to a competitor of EuroBank. The PST Member will consult with EuroBank prior to assigning any other PST Member Personnel to such accounts.</w:t>
      </w:r>
    </w:p>
    <w:p>
      <w:pPr>
        <w:pStyle w:val="FWOutL3"/>
        <w:numPr>
          <w:ilvl w:val="2"/>
          <w:numId w:val="11"/>
        </w:numPr>
        <w:ind w:hanging="0" w:start="0" w:end="0"/>
        <w:rPr>
          <w:b/>
          <w:bCs/>
          <w:sz w:val="22"/>
          <w:szCs w:val="22"/>
        </w:rPr>
      </w:pPr>
      <w:r>
        <w:rPr>
          <w:sz w:val="22"/>
          <w:szCs w:val="22"/>
        </w:rPr>
        <w:t>For a period of 1 year after the Commencement Date, the PST Member agrees and will undertake all reasonable endeavours that its sub-contractors agree not to employ, offer to employ, or contract with any individual previously identified as an Affected Employee who rejected a comparable job offer from the PST Member during the transition period, unless it is agreed upon with EuroBank.</w:t>
      </w:r>
    </w:p>
    <w:p>
      <w:pPr>
        <w:pStyle w:val="Normal"/>
        <w:jc w:val="center"/>
        <w:rPr>
          <w:b/>
          <w:bCs/>
          <w:sz w:val="22"/>
          <w:szCs w:val="22"/>
          <w:lang w:val="en-US"/>
        </w:rPr>
      </w:pPr>
      <w:r>
        <w:rPr>
          <w:b/>
          <w:bCs/>
          <w:sz w:val="22"/>
          <w:szCs w:val="22"/>
          <w:lang w:val="en-US"/>
        </w:rPr>
        <w:t xml:space="preserve">PART 3 – </w:t>
      </w:r>
      <w:bookmarkStart w:id="114" w:name="Position"/>
      <w:bookmarkEnd w:id="114"/>
      <w:r>
        <w:rPr>
          <w:b/>
          <w:bCs/>
          <w:sz w:val="22"/>
          <w:szCs w:val="22"/>
          <w:lang w:val="en-US"/>
        </w:rPr>
        <w:t>TERMINATION OF THE MSA</w:t>
      </w:r>
    </w:p>
    <w:p>
      <w:pPr>
        <w:pStyle w:val="Normal"/>
        <w:jc w:val="center"/>
        <w:rPr>
          <w:b/>
          <w:bCs/>
          <w:sz w:val="22"/>
          <w:szCs w:val="22"/>
          <w:lang w:val="en-US"/>
        </w:rPr>
      </w:pPr>
      <w:r>
        <w:rPr>
          <w:b/>
          <w:bCs/>
          <w:sz w:val="22"/>
          <w:szCs w:val="22"/>
          <w:lang w:val="en-US"/>
        </w:rPr>
      </w:r>
    </w:p>
    <w:p>
      <w:pPr>
        <w:pStyle w:val="FWOutL1"/>
        <w:numPr>
          <w:ilvl w:val="0"/>
          <w:numId w:val="11"/>
        </w:numPr>
        <w:ind w:hanging="0" w:start="0"/>
        <w:rPr>
          <w:sz w:val="22"/>
          <w:szCs w:val="22"/>
          <w:lang w:val="fr-FR"/>
        </w:rPr>
      </w:pPr>
      <w:bookmarkStart w:id="115" w:name="__RefHeading___Toc153767105"/>
      <w:bookmarkStart w:id="116" w:name="_Ref137744490"/>
      <w:bookmarkEnd w:id="115"/>
      <w:r>
        <w:rPr>
          <w:sz w:val="22"/>
          <w:szCs w:val="22"/>
          <w:lang w:val="fr-FR"/>
        </w:rPr>
        <w:t>PARTIES' OBLIGATIONS ON TERMINATION</w:t>
      </w:r>
      <w:bookmarkEnd w:id="116"/>
    </w:p>
    <w:p>
      <w:pPr>
        <w:pStyle w:val="FWOutL2"/>
        <w:numPr>
          <w:ilvl w:val="1"/>
          <w:numId w:val="11"/>
        </w:numPr>
        <w:ind w:hanging="0" w:start="0"/>
        <w:rPr>
          <w:sz w:val="22"/>
          <w:szCs w:val="22"/>
        </w:rPr>
      </w:pPr>
      <w:bookmarkStart w:id="117" w:name="__RefHeading___Toc153767106"/>
      <w:bookmarkEnd w:id="117"/>
      <w:r>
        <w:rPr>
          <w:sz w:val="22"/>
          <w:szCs w:val="22"/>
        </w:rPr>
        <w:t>Re-Transfer Employees</w:t>
      </w:r>
    </w:p>
    <w:p>
      <w:pPr>
        <w:pStyle w:val="FWOutL3"/>
        <w:numPr>
          <w:ilvl w:val="2"/>
          <w:numId w:val="11"/>
        </w:numPr>
        <w:ind w:hanging="0" w:start="0" w:end="0"/>
        <w:rPr>
          <w:sz w:val="22"/>
          <w:szCs w:val="22"/>
        </w:rPr>
      </w:pPr>
      <w:bookmarkStart w:id="118" w:name="_Ref137744623"/>
      <w:r>
        <w:rPr>
          <w:sz w:val="22"/>
          <w:szCs w:val="22"/>
        </w:rPr>
        <w:t>If it is proposed or agreed that a member of the EuroBank Group or an Incoming Supplier is to provide services that are the same as, or similar to, the Services or any part of them, following the (partial) termination of the MSA, the PST Member Personnel predominantly (51% or over) working within these services on the Termination Effective Date will be considered as Re-Transfer Employees for the purpose of these Sections 6 and 7 (Re-Transfer Employees).</w:t>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sz w:val="22"/>
          <w:szCs w:val="22"/>
        </w:rPr>
      </w:r>
      <w:r>
        <w:rPr>
          <w:i/>
          <w:iCs/>
          <w:sz w:val="22"/>
          <w:szCs w:val="22"/>
        </w:rPr>
      </w:r>
      <w:r>
        <w:rPr>
          <w:sz w:val="22"/>
          <w:szCs w:val="22"/>
        </w:rPr>
      </w:r>
      <w:bookmarkEnd w:id="118"/>
      <w:r>
        <w:rPr>
          <w:sz w:val="22"/>
          <w:szCs w:val="22"/>
        </w:rPr>
      </w:r>
    </w:p>
    <w:p>
      <w:pPr>
        <w:pStyle w:val="FWOutL3"/>
        <w:numPr>
          <w:ilvl w:val="2"/>
          <w:numId w:val="11"/>
        </w:numPr>
        <w:ind w:hanging="0" w:start="0" w:end="0"/>
        <w:rPr>
          <w:bCs/>
          <w:sz w:val="22"/>
          <w:szCs w:val="22"/>
        </w:rPr>
      </w:pPr>
      <w:r>
        <w:rPr>
          <w:sz w:val="22"/>
          <w:szCs w:val="22"/>
        </w:rPr>
        <w:t>In case ARD would apply to the (partial) termination of the MSA and/or the provision by EuroBank or an Incoming Supplier of the same or similar services or any part of them, EuroBank and the relevant PST Member will in good faith apply ARD. EuroBank and the relevant PST Member will use their best efforts to ensure that the re-transfer will be structured as such that the difference between the number of FTE in-scope pursuant to the ARD and the number of FTEs of work that will transfer will be as small as possible.</w:t>
      </w:r>
      <w:r>
        <w:rPr>
          <w:bCs/>
          <w:sz w:val="22"/>
          <w:szCs w:val="22"/>
        </w:rPr>
      </w:r>
    </w:p>
    <w:p>
      <w:pPr>
        <w:pStyle w:val="FWOutL2"/>
        <w:numPr>
          <w:ilvl w:val="1"/>
          <w:numId w:val="11"/>
        </w:numPr>
        <w:ind w:hanging="0" w:start="0"/>
        <w:rPr>
          <w:sz w:val="22"/>
          <w:szCs w:val="22"/>
        </w:rPr>
      </w:pPr>
      <w:bookmarkStart w:id="119" w:name="__RefHeading___Toc153767107"/>
      <w:bookmarkStart w:id="120" w:name="_Ref114570671"/>
      <w:bookmarkEnd w:id="119"/>
      <w:r>
        <w:rPr>
          <w:sz w:val="22"/>
          <w:szCs w:val="22"/>
        </w:rPr>
        <w:t xml:space="preserve">Restrictions on </w:t>
      </w:r>
      <w:bookmarkEnd w:id="120"/>
      <w:r>
        <w:rPr>
          <w:sz w:val="22"/>
          <w:szCs w:val="22"/>
        </w:rPr>
        <w:t>the PST Member</w:t>
      </w:r>
    </w:p>
    <w:p>
      <w:pPr>
        <w:pStyle w:val="FWOutL3"/>
        <w:numPr>
          <w:ilvl w:val="2"/>
          <w:numId w:val="11"/>
        </w:numPr>
        <w:ind w:hanging="0" w:start="0" w:end="0"/>
        <w:rPr>
          <w:bCs/>
          <w:sz w:val="22"/>
          <w:szCs w:val="22"/>
        </w:rPr>
      </w:pPr>
      <w:r>
        <w:rPr>
          <w:bCs/>
          <w:sz w:val="22"/>
          <w:szCs w:val="22"/>
        </w:rPr>
        <w:t>Other than in the ordinary course of business, the relevant PST Member will not (and shall use reasonable endeavours to verify that any relevant agent or contractor will not) without the prior consent of the relevant EuroBank Group member, do any of the following:</w:t>
      </w:r>
      <w:r>
        <w:rPr>
          <w:sz w:val="22"/>
          <w:szCs w:val="22"/>
        </w:rPr>
      </w:r>
      <w:r>
        <w:rPr>
          <w:bCs/>
          <w:sz w:val="22"/>
          <w:szCs w:val="22"/>
        </w:rPr>
      </w:r>
    </w:p>
    <w:p>
      <w:pPr>
        <w:pStyle w:val="FWOutL4"/>
        <w:numPr>
          <w:ilvl w:val="3"/>
          <w:numId w:val="11"/>
        </w:numPr>
        <w:ind w:hanging="0" w:start="0"/>
        <w:rPr>
          <w:bCs/>
          <w:sz w:val="22"/>
          <w:szCs w:val="22"/>
        </w:rPr>
      </w:pPr>
      <w:r>
        <w:rPr>
          <w:bCs/>
          <w:sz w:val="22"/>
          <w:szCs w:val="22"/>
        </w:rPr>
        <w:t>vary, purport or promise to vary the terms or conditions (as amended from time to time) of employment or engagement or service of PST Member Personnel (including without limitation promises to make any additional payment or provide any additional benefit);</w:t>
      </w:r>
    </w:p>
    <w:p>
      <w:pPr>
        <w:pStyle w:val="FWOutL4"/>
        <w:numPr>
          <w:ilvl w:val="3"/>
          <w:numId w:val="11"/>
        </w:numPr>
        <w:ind w:hanging="0" w:start="0"/>
        <w:rPr>
          <w:bCs/>
          <w:sz w:val="22"/>
          <w:szCs w:val="22"/>
        </w:rPr>
      </w:pPr>
      <w:r>
        <w:rPr>
          <w:bCs/>
          <w:sz w:val="22"/>
          <w:szCs w:val="22"/>
        </w:rPr>
        <w:t>reduce or vary the involvement of any PST Member Personnel</w:t>
      </w:r>
      <w:r>
        <w:rPr>
          <w:sz w:val="22"/>
          <w:szCs w:val="22"/>
        </w:rPr>
        <w:t xml:space="preserve"> as the case may be</w:t>
      </w:r>
      <w:r>
        <w:rPr>
          <w:bCs/>
          <w:sz w:val="22"/>
          <w:szCs w:val="22"/>
        </w:rPr>
        <w:t>;</w:t>
      </w:r>
    </w:p>
    <w:p>
      <w:pPr>
        <w:pStyle w:val="FWOutL4"/>
        <w:numPr>
          <w:ilvl w:val="3"/>
          <w:numId w:val="11"/>
        </w:numPr>
        <w:ind w:hanging="0" w:start="0"/>
        <w:rPr>
          <w:bCs/>
          <w:sz w:val="22"/>
          <w:szCs w:val="22"/>
        </w:rPr>
      </w:pPr>
      <w:r>
        <w:rPr>
          <w:bCs/>
          <w:sz w:val="22"/>
          <w:szCs w:val="22"/>
        </w:rPr>
        <w:t>terminate (or give notice to terminate) the employment of any PST Member Personnel, save for gross misconduct or as a result of a disciplinary procedure such as to make termination permissible by law;</w:t>
      </w:r>
    </w:p>
    <w:p>
      <w:pPr>
        <w:pStyle w:val="FWOutL4"/>
        <w:numPr>
          <w:ilvl w:val="3"/>
          <w:numId w:val="11"/>
        </w:numPr>
        <w:ind w:hanging="0" w:start="0"/>
        <w:rPr>
          <w:bCs/>
          <w:sz w:val="22"/>
          <w:szCs w:val="22"/>
        </w:rPr>
      </w:pPr>
      <w:r>
        <w:rPr>
          <w:bCs/>
          <w:sz w:val="22"/>
          <w:szCs w:val="22"/>
        </w:rPr>
        <w:t>recruit any employee, sub-contractor or consultant to provide the Services or assign any additional individuals to the provision of the Services (other than as reasonably required to ensure the PST Member’s ability to comply with its obligations under the MSA);</w:t>
      </w:r>
    </w:p>
    <w:p>
      <w:pPr>
        <w:pStyle w:val="FWOutL4"/>
        <w:numPr>
          <w:ilvl w:val="3"/>
          <w:numId w:val="11"/>
        </w:numPr>
        <w:ind w:hanging="0" w:start="0"/>
        <w:rPr>
          <w:bCs/>
          <w:sz w:val="22"/>
          <w:szCs w:val="22"/>
        </w:rPr>
      </w:pPr>
      <w:r>
        <w:rPr>
          <w:bCs/>
          <w:sz w:val="22"/>
          <w:szCs w:val="22"/>
        </w:rPr>
        <w:t>transfer PST Member Personnel</w:t>
      </w:r>
      <w:r>
        <w:rPr>
          <w:sz w:val="22"/>
          <w:szCs w:val="22"/>
        </w:rPr>
        <w:t>,</w:t>
      </w:r>
      <w:r>
        <w:rPr>
          <w:bCs/>
          <w:sz w:val="22"/>
          <w:szCs w:val="22"/>
        </w:rPr>
        <w:t xml:space="preserve"> away from the provision of the Services;</w:t>
      </w:r>
    </w:p>
    <w:p>
      <w:pPr>
        <w:pStyle w:val="FWOutL3"/>
        <w:numPr>
          <w:ilvl w:val="2"/>
          <w:numId w:val="11"/>
        </w:numPr>
        <w:ind w:hanging="0" w:start="0" w:end="0"/>
        <w:rPr>
          <w:bCs/>
          <w:sz w:val="22"/>
          <w:szCs w:val="22"/>
        </w:rPr>
      </w:pPr>
      <w:r>
        <w:rPr>
          <w:bCs/>
          <w:sz w:val="22"/>
          <w:szCs w:val="22"/>
        </w:rPr>
        <w:t>if such variation, reduction, termination, recruitment or transfer:</w:t>
      </w:r>
    </w:p>
    <w:p>
      <w:pPr>
        <w:pStyle w:val="FWOutL4"/>
        <w:numPr>
          <w:ilvl w:val="3"/>
          <w:numId w:val="11"/>
        </w:numPr>
        <w:ind w:hanging="0" w:start="0"/>
        <w:rPr>
          <w:bCs/>
          <w:sz w:val="22"/>
          <w:szCs w:val="22"/>
        </w:rPr>
      </w:pPr>
      <w:r>
        <w:rPr>
          <w:bCs/>
          <w:sz w:val="22"/>
          <w:szCs w:val="22"/>
        </w:rPr>
        <w:t>is instituted at any time after a notice of termination of the MSA has been issued by either party; or</w:t>
      </w:r>
    </w:p>
    <w:p>
      <w:pPr>
        <w:pStyle w:val="FWOutL4"/>
        <w:numPr>
          <w:ilvl w:val="3"/>
          <w:numId w:val="11"/>
        </w:numPr>
        <w:ind w:hanging="0" w:start="0"/>
        <w:rPr>
          <w:bCs/>
          <w:sz w:val="22"/>
          <w:szCs w:val="22"/>
        </w:rPr>
      </w:pPr>
      <w:r>
        <w:rPr>
          <w:bCs/>
          <w:sz w:val="22"/>
          <w:szCs w:val="22"/>
        </w:rPr>
        <w:t>is instituted at any time within  6 months of the expiry of the Term in case there is no extension of the Term or the expiry of the extension of the Term whichever is applicable; or</w:t>
      </w:r>
    </w:p>
    <w:p>
      <w:pPr>
        <w:pStyle w:val="FWOutL4"/>
        <w:numPr>
          <w:ilvl w:val="3"/>
          <w:numId w:val="11"/>
        </w:numPr>
        <w:ind w:hanging="0" w:start="0"/>
        <w:rPr>
          <w:bCs/>
          <w:sz w:val="22"/>
          <w:szCs w:val="22"/>
        </w:rPr>
      </w:pPr>
      <w:r>
        <w:rPr>
          <w:bCs/>
          <w:sz w:val="22"/>
          <w:szCs w:val="22"/>
        </w:rPr>
        <w:t>is designed first to take effect in whole or in part after the MSA has terminated or expired,</w:t>
      </w:r>
    </w:p>
    <w:p>
      <w:pPr>
        <w:pStyle w:val="FWOutL3"/>
        <w:numPr>
          <w:ilvl w:val="2"/>
          <w:numId w:val="11"/>
        </w:numPr>
        <w:ind w:hanging="0" w:start="0" w:end="0"/>
        <w:rPr>
          <w:bCs/>
          <w:sz w:val="22"/>
          <w:szCs w:val="22"/>
        </w:rPr>
      </w:pPr>
      <w:r>
        <w:rPr>
          <w:bCs/>
          <w:sz w:val="22"/>
          <w:szCs w:val="22"/>
        </w:rPr>
        <w:t>and which as a consequence:</w:t>
      </w:r>
    </w:p>
    <w:p>
      <w:pPr>
        <w:pStyle w:val="FWOutL4"/>
        <w:numPr>
          <w:ilvl w:val="3"/>
          <w:numId w:val="11"/>
        </w:numPr>
        <w:ind w:hanging="0" w:start="0"/>
        <w:rPr>
          <w:bCs/>
          <w:sz w:val="22"/>
          <w:szCs w:val="22"/>
        </w:rPr>
      </w:pPr>
      <w:r>
        <w:rPr>
          <w:bCs/>
          <w:sz w:val="22"/>
          <w:szCs w:val="22"/>
        </w:rPr>
        <w:t>results in the contract of the employee, sub-contractor or consultant not being terminable by the employer or recipient of services (as the case may be) within 6 months after a termination of the MSA;</w:t>
      </w:r>
    </w:p>
    <w:p>
      <w:pPr>
        <w:pStyle w:val="FWOutL4"/>
        <w:numPr>
          <w:ilvl w:val="3"/>
          <w:numId w:val="11"/>
        </w:numPr>
        <w:ind w:hanging="0" w:start="0"/>
        <w:rPr>
          <w:bCs/>
          <w:sz w:val="22"/>
          <w:szCs w:val="22"/>
        </w:rPr>
      </w:pPr>
      <w:r>
        <w:rPr>
          <w:bCs/>
          <w:sz w:val="22"/>
          <w:szCs w:val="22"/>
        </w:rPr>
        <w:t>relates to a provision of a benefit triggered by termination of employment or the provision of services;</w:t>
      </w:r>
    </w:p>
    <w:p>
      <w:pPr>
        <w:pStyle w:val="FWOutL4"/>
        <w:numPr>
          <w:ilvl w:val="3"/>
          <w:numId w:val="11"/>
        </w:numPr>
        <w:ind w:hanging="0" w:start="0"/>
        <w:rPr>
          <w:bCs/>
          <w:sz w:val="22"/>
          <w:szCs w:val="22"/>
        </w:rPr>
      </w:pPr>
      <w:r>
        <w:rPr>
          <w:bCs/>
          <w:sz w:val="22"/>
          <w:szCs w:val="22"/>
        </w:rPr>
        <w:t>relates to the provision of a benefit other than base salary which such individual will or may have a contractual right to receive after the expiry of the MSA other than benefits attaching automatically to a promotion awarded in the ordinary course of business or a discretionary payment made by the PST Member, or</w:t>
      </w:r>
    </w:p>
    <w:p>
      <w:pPr>
        <w:pStyle w:val="FWOutL4"/>
        <w:numPr>
          <w:ilvl w:val="3"/>
          <w:numId w:val="11"/>
        </w:numPr>
        <w:ind w:hanging="0" w:start="0"/>
        <w:rPr>
          <w:bCs/>
          <w:sz w:val="22"/>
          <w:szCs w:val="22"/>
        </w:rPr>
      </w:pPr>
      <w:r>
        <w:rPr>
          <w:bCs/>
          <w:sz w:val="22"/>
          <w:szCs w:val="22"/>
        </w:rPr>
        <w:t>prevents, restricts or hinders any such individual from working for EuroBank Group or an Incoming Supplier.</w:t>
      </w:r>
    </w:p>
    <w:p>
      <w:pPr>
        <w:pStyle w:val="FWOutL1"/>
        <w:numPr>
          <w:ilvl w:val="0"/>
          <w:numId w:val="11"/>
        </w:numPr>
        <w:ind w:hanging="0" w:start="0"/>
        <w:rPr>
          <w:sz w:val="22"/>
          <w:szCs w:val="22"/>
        </w:rPr>
      </w:pPr>
      <w:bookmarkStart w:id="121" w:name="__RefHeading___Toc153767108"/>
      <w:bookmarkStart w:id="122" w:name="_Ref114570819"/>
      <w:bookmarkEnd w:id="121"/>
      <w:r>
        <w:rPr>
          <w:sz w:val="22"/>
          <w:szCs w:val="22"/>
        </w:rPr>
        <w:t>INDEMNITIES ON TERMINATION</w:t>
      </w:r>
      <w:bookmarkEnd w:id="122"/>
    </w:p>
    <w:p>
      <w:pPr>
        <w:pStyle w:val="FWOutL2"/>
        <w:numPr>
          <w:ilvl w:val="1"/>
          <w:numId w:val="11"/>
        </w:numPr>
        <w:ind w:hanging="0" w:start="0"/>
        <w:rPr>
          <w:sz w:val="22"/>
          <w:szCs w:val="22"/>
        </w:rPr>
      </w:pPr>
      <w:bookmarkStart w:id="123" w:name="__RefHeading___Toc153767109"/>
      <w:bookmarkStart w:id="124" w:name="_Ref114570797"/>
      <w:bookmarkEnd w:id="123"/>
      <w:r>
        <w:rPr>
          <w:sz w:val="22"/>
          <w:szCs w:val="22"/>
        </w:rPr>
        <w:t>PST Member confirmations and indemnities</w:t>
      </w:r>
      <w:bookmarkEnd w:id="124"/>
    </w:p>
    <w:p>
      <w:pPr>
        <w:pStyle w:val="FWOutL3"/>
        <w:numPr>
          <w:ilvl w:val="2"/>
          <w:numId w:val="11"/>
        </w:numPr>
        <w:ind w:hanging="0" w:start="0" w:end="0"/>
        <w:rPr>
          <w:sz w:val="22"/>
          <w:szCs w:val="22"/>
          <w:lang w:val="en-US"/>
        </w:rPr>
      </w:pPr>
      <w:bookmarkStart w:id="125" w:name="_Ref137742078"/>
      <w:r>
        <w:rPr>
          <w:sz w:val="22"/>
          <w:szCs w:val="22"/>
          <w:lang w:val="en-US"/>
        </w:rPr>
        <w:t>The relevant PST Member confirms that:</w:t>
      </w:r>
      <w:bookmarkEnd w:id="125"/>
    </w:p>
    <w:p>
      <w:pPr>
        <w:pStyle w:val="FWOutL4"/>
        <w:numPr>
          <w:ilvl w:val="3"/>
          <w:numId w:val="11"/>
        </w:numPr>
        <w:ind w:hanging="0" w:start="0"/>
        <w:rPr>
          <w:sz w:val="22"/>
          <w:szCs w:val="22"/>
          <w:lang w:val="en-US"/>
        </w:rPr>
      </w:pPr>
      <w:r>
        <w:rPr>
          <w:sz w:val="22"/>
          <w:szCs w:val="22"/>
          <w:lang w:val="en-US"/>
        </w:rPr>
        <w:t xml:space="preserve">from the Commencement Date up to the Termination Effective Date with regard to the relevant Re-Transfer Employees, it will make all payments required to be made and has fully paid all compensation, salary, bonuses, commission, end-of year premiums, vacation pay, social security </w:t>
      </w:r>
      <w:r>
        <w:rPr>
          <w:sz w:val="22"/>
          <w:szCs w:val="22"/>
        </w:rPr>
        <w:t>contributions</w:t>
      </w:r>
      <w:r>
        <w:rPr>
          <w:sz w:val="22"/>
          <w:szCs w:val="22"/>
          <w:lang w:val="en-US"/>
        </w:rPr>
        <w:t xml:space="preserve">, withholding taxes, termination indemnities due under applicable laws and/or their respective employment agreements; </w:t>
      </w:r>
    </w:p>
    <w:p>
      <w:pPr>
        <w:pStyle w:val="FWOutL4"/>
        <w:numPr>
          <w:ilvl w:val="3"/>
          <w:numId w:val="11"/>
        </w:numPr>
        <w:ind w:hanging="0" w:start="0"/>
        <w:rPr>
          <w:sz w:val="22"/>
          <w:szCs w:val="22"/>
          <w:lang w:val="en-US"/>
        </w:rPr>
      </w:pPr>
      <w:r>
        <w:rPr>
          <w:sz w:val="22"/>
          <w:szCs w:val="22"/>
          <w:lang w:val="en-US"/>
        </w:rPr>
        <w:t xml:space="preserve">from the Commencement Date up to the Termination Effective Date with regard to the relevant Re-Transfer Employees, it will comply in all respects with all obligations under any applicable labour law, tax and social security legislation, as well as with all collective rules and any applicable employment agreements, employment policies or works rules in accordance with their respective terms, including obligations under ARD with regard to inform or consult with the relevant Re-Transfer Employee or with the employees’ representatives </w:t>
      </w:r>
      <w:r>
        <w:rPr>
          <w:sz w:val="22"/>
          <w:szCs w:val="22"/>
        </w:rPr>
        <w:t>in connection with the relevant Re-Transfer</w:t>
      </w:r>
      <w:r>
        <w:rPr>
          <w:sz w:val="22"/>
          <w:szCs w:val="22"/>
          <w:lang w:val="en-US"/>
        </w:rPr>
        <w:t xml:space="preserve">; </w:t>
      </w:r>
    </w:p>
    <w:p>
      <w:pPr>
        <w:pStyle w:val="FWOutL4"/>
        <w:numPr>
          <w:ilvl w:val="3"/>
          <w:numId w:val="11"/>
        </w:numPr>
        <w:ind w:hanging="0" w:start="0"/>
        <w:rPr>
          <w:sz w:val="22"/>
          <w:szCs w:val="22"/>
          <w:lang w:val="en-US"/>
        </w:rPr>
      </w:pPr>
      <w:r>
        <w:rPr>
          <w:sz w:val="22"/>
          <w:szCs w:val="22"/>
        </w:rPr>
        <w:t>all information which a relevant PST Member will provide to EuroBank Group or an Incoming Supplier for the purposes of EuroBank Group or an Incoming Supplier meeting its obligations relating to information and/or consultation of employees or its representatives is accurate in all material respects;</w:t>
      </w:r>
    </w:p>
    <w:p>
      <w:pPr>
        <w:pStyle w:val="FWOutL4"/>
        <w:numPr>
          <w:ilvl w:val="3"/>
          <w:numId w:val="11"/>
        </w:numPr>
        <w:ind w:hanging="0" w:start="0"/>
        <w:rPr>
          <w:sz w:val="22"/>
          <w:szCs w:val="22"/>
          <w:lang w:val="en-US"/>
        </w:rPr>
      </w:pPr>
      <w:bookmarkStart w:id="126" w:name="_Ref138131156"/>
      <w:r>
        <w:rPr>
          <w:sz w:val="22"/>
          <w:szCs w:val="22"/>
        </w:rPr>
        <w:t>the Re-Transfer Employees transferring to EuroBank Group or an Incoming Supplier do not represent more FTEs than the FTEs work that is transferred to EuroBank Group or an Incoming Supplier as a result of the re-transfer as contemplated by this Exhibit 5;</w:t>
      </w:r>
      <w:bookmarkEnd w:id="126"/>
      <w:r>
        <w:rPr>
          <w:sz w:val="22"/>
          <w:szCs w:val="22"/>
        </w:rPr>
      </w:r>
    </w:p>
    <w:p>
      <w:pPr>
        <w:pStyle w:val="FWOutL4"/>
        <w:numPr>
          <w:ilvl w:val="3"/>
          <w:numId w:val="11"/>
        </w:numPr>
        <w:ind w:hanging="0" w:start="0"/>
        <w:rPr>
          <w:sz w:val="22"/>
          <w:szCs w:val="22"/>
          <w:lang w:val="en-US"/>
        </w:rPr>
      </w:pPr>
      <w:r>
        <w:rPr>
          <w:sz w:val="22"/>
          <w:szCs w:val="22"/>
        </w:rPr>
        <w:t>as per the Termination Effective Date there will be no pending or actual pending dismissals, terminations, notices (other than voluntary resignation by any Re-Transfer Employee other than for cause) or disputes between any PST Member and any Re-Transfer Employee;</w:t>
      </w:r>
    </w:p>
    <w:p>
      <w:pPr>
        <w:pStyle w:val="FWOutL3"/>
        <w:numPr>
          <w:ilvl w:val="2"/>
          <w:numId w:val="11"/>
        </w:numPr>
        <w:ind w:hanging="0" w:start="0" w:end="0"/>
        <w:rPr>
          <w:sz w:val="22"/>
          <w:szCs w:val="22"/>
          <w:lang w:val="en-US"/>
        </w:rPr>
      </w:pPr>
      <w:r>
        <w:rPr>
          <w:rFonts w:eastAsia="Arial Unicode MS"/>
          <w:sz w:val="22"/>
          <w:szCs w:val="22"/>
          <w:lang w:val="en-US"/>
        </w:rPr>
        <w:t>Save for a breach of the confirmation under Section (d), in case of a breach of any of the confirmations under Section 7.1.1, the relevant PST Member will indemnify EuroBank against any liability incurred by any EuroBank Group member or an Incoming Supplier resulting from such a breach.</w:t>
      </w:r>
      <w:r>
        <w:rPr>
          <w:rFonts w:eastAsia="Arial Unicode MS"/>
          <w:sz w:val="22"/>
          <w:szCs w:val="22"/>
          <w:lang w:val="en-US"/>
        </w:rPr>
      </w:r>
      <w:r>
        <w:rPr>
          <w:sz w:val="22"/>
          <w:szCs w:val="22"/>
          <w:rFonts w:eastAsia="Arial Unicode MS"/>
          <w:lang w:val="en-US"/>
        </w:rPr>
      </w:r>
      <w:r>
        <w:rPr>
          <w:sz w:val="22"/>
          <w:szCs w:val="22"/>
          <w:rFonts w:eastAsia="Arial Unicode MS"/>
          <w:lang w:val="en-US"/>
        </w:rPr>
      </w:r>
      <w:r>
        <w:rPr>
          <w:sz w:val="22"/>
          <w:szCs w:val="22"/>
          <w:rFonts w:eastAsia="Arial Unicode MS"/>
          <w:lang w:val="en-US"/>
        </w:rPr>
      </w:r>
      <w:r>
        <w:rPr>
          <w:sz w:val="22"/>
          <w:szCs w:val="22"/>
          <w:rFonts w:eastAsia="Arial Unicode MS"/>
          <w:lang w:val="en-US"/>
        </w:rPr>
      </w:r>
      <w:r>
        <w:rPr>
          <w:rFonts w:eastAsia="Arial Unicode MS"/>
          <w:sz w:val="22"/>
          <w:szCs w:val="22"/>
          <w:lang w:val="en-US"/>
        </w:rPr>
      </w:r>
      <w:r>
        <w:rPr>
          <w:color w:val="000000"/>
          <w:sz w:val="22"/>
          <w:szCs w:val="22"/>
        </w:rPr>
      </w:r>
      <w:r>
        <w:rPr>
          <w:sz w:val="22"/>
          <w:szCs w:val="22"/>
          <w:lang w:val="en-US"/>
        </w:rPr>
      </w:r>
      <w:r>
        <w:rPr>
          <w:color w:val="000000"/>
          <w:sz w:val="22"/>
          <w:szCs w:val="22"/>
        </w:rPr>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p>
    <w:p>
      <w:pPr>
        <w:pStyle w:val="FWOutL3"/>
        <w:numPr>
          <w:ilvl w:val="0"/>
          <w:numId w:val="0"/>
        </w:numPr>
        <w:ind w:hanging="0" w:start="0"/>
        <w:rPr>
          <w:sz w:val="22"/>
          <w:szCs w:val="22"/>
          <w:lang w:val="en-US"/>
        </w:rPr>
      </w:pPr>
      <w:r>
        <w:rPr>
          <w:color w:val="000000"/>
          <w:sz w:val="22"/>
          <w:szCs w:val="22"/>
        </w:rPr>
        <w:t>Indemnification pursuant to this Section 7.1.2 in respect of a breach of the confirmation as set out in Section (d) will only take place in case of a termination of the MSA by EuroBank for cause pursuant to Clause 16.2 of the MSA.</w:t>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r>
        <w:rPr>
          <w:bCs/>
          <w:color w:val="000000"/>
          <w:sz w:val="22"/>
          <w:szCs w:val="22"/>
          <w:u w:val="single"/>
        </w:rPr>
      </w:r>
      <w:r>
        <w:rPr>
          <w:color w:val="000000"/>
          <w:sz w:val="22"/>
          <w:szCs w:val="22"/>
        </w:rPr>
      </w:r>
    </w:p>
    <w:p>
      <w:pPr>
        <w:pStyle w:val="FWOutL3"/>
        <w:numPr>
          <w:ilvl w:val="2"/>
          <w:numId w:val="11"/>
        </w:numPr>
        <w:ind w:hanging="0" w:start="0" w:end="0"/>
        <w:rPr>
          <w:rFonts w:eastAsia="Times New Roman"/>
          <w:sz w:val="22"/>
          <w:szCs w:val="22"/>
          <w:lang w:val="en-US"/>
        </w:rPr>
      </w:pPr>
      <w:r>
        <w:rPr>
          <w:sz w:val="22"/>
          <w:szCs w:val="22"/>
          <w:lang w:val="en-US"/>
        </w:rPr>
        <w:t>Furthermore, the relevant PST Member will in case of a transfer of the Re-Transfer Employees to an EuroBank Group member or an Incoming Supplier, indemnify and hold harmless EuroBank for the cost incurred by an EuroBank Group member or an Incoming Supplier in respect of the rights of Re-Transfer Employees that are accrued between Commencement Date and Termination Effective Date, but that can only be claimed after Termination Effective Date, such as but not limited to the pro rated 13th month premium, pro rated vacation pay, overtime hours that have been performed before Termination Effective Date but for which between Commencement Date and Termination Effective Date no overtime pay and/or compensatory rest has been awarded to the Re-Transfer Employees. In that regard, the relevant PST Member will calculate the entire cost of these rights and will after approval by EuroBank at the latest on Termination Effective Date pay to EuroBank the amount corresponding to the above mentioned amounts.</w:t>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r>
        <w:rPr>
          <w:sz w:val="22"/>
          <w:szCs w:val="22"/>
          <w:lang w:val="en-US"/>
        </w:rPr>
      </w:r>
      <w:r>
        <w:rPr>
          <w:rFonts w:eastAsia="Times New Roman"/>
          <w:sz w:val="22"/>
          <w:szCs w:val="22"/>
          <w:lang w:val="en-US"/>
        </w:rPr>
      </w:r>
    </w:p>
    <w:p>
      <w:pPr>
        <w:pStyle w:val="FWOutL3"/>
        <w:numPr>
          <w:ilvl w:val="2"/>
          <w:numId w:val="11"/>
        </w:numPr>
        <w:ind w:hanging="0" w:start="0" w:end="0"/>
        <w:rPr>
          <w:color w:val="000000"/>
          <w:sz w:val="22"/>
          <w:szCs w:val="22"/>
          <w:lang w:val="en-US"/>
        </w:rPr>
      </w:pPr>
      <w:r>
        <w:rPr>
          <w:color w:val="000000"/>
          <w:sz w:val="22"/>
          <w:szCs w:val="22"/>
        </w:rPr>
        <w:t xml:space="preserve">In case of any actual or threatened legal proceedings against a member of the EuroBank Group or an Incoming Supplier with regard to claims falling under the scope of this Section 7.1, EuroBank shall as soon as reasonably possible inform the relevant PST Member, and EuroBank shall in consultation with the relevant PST Member if necessary or reasonable, conduct proceedings and any negotiations relating to those proceedings. </w:t>
      </w:r>
      <w:r>
        <w:rPr>
          <w:sz w:val="22"/>
          <w:szCs w:val="22"/>
          <w:lang w:val="en-US"/>
        </w:rPr>
      </w:r>
      <w:r>
        <w:rPr>
          <w:color w:val="000000"/>
          <w:sz w:val="22"/>
          <w:szCs w:val="22"/>
        </w:rPr>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p>
    <w:p>
      <w:pPr>
        <w:pStyle w:val="FWOutL3"/>
        <w:numPr>
          <w:ilvl w:val="2"/>
          <w:numId w:val="11"/>
        </w:numPr>
        <w:ind w:hanging="0" w:start="0" w:end="0"/>
        <w:rPr>
          <w:rFonts w:eastAsia="Times New Roman"/>
          <w:sz w:val="22"/>
          <w:szCs w:val="22"/>
        </w:rPr>
      </w:pPr>
      <w:r>
        <w:rPr>
          <w:color w:val="000000"/>
          <w:sz w:val="22"/>
          <w:szCs w:val="22"/>
        </w:rPr>
        <w:t>EuroBank will inform the relevant PST Member to the best of its knowledge whether lawsuits or material disputes are pending or threatened by any Re-Transfer Employee that would fall under the scope of this Section 7.1 or by other persons that have claimed or would consider claiming that they should have been transferred to EuroBank Group or an Incoming Supplier.</w:t>
      </w:r>
      <w:r>
        <w:rPr>
          <w:sz w:val="22"/>
          <w:szCs w:val="22"/>
          <w:lang w:val="en-US"/>
        </w:rPr>
      </w:r>
      <w:r>
        <w:rPr>
          <w:color w:val="000000"/>
          <w:sz w:val="22"/>
          <w:szCs w:val="22"/>
        </w:rPr>
      </w:r>
      <w:r>
        <w:rPr>
          <w:sz w:val="22"/>
          <w:szCs w:val="22"/>
          <w:lang w:val="en-US"/>
        </w:rPr>
      </w:r>
      <w:r>
        <w:rPr>
          <w:color w:val="000000"/>
          <w:sz w:val="22"/>
          <w:szCs w:val="22"/>
        </w:rPr>
      </w:r>
      <w:r>
        <w:rPr>
          <w:color w:val="000000"/>
          <w:sz w:val="22"/>
          <w:szCs w:val="22"/>
        </w:rPr>
      </w:r>
      <w:r>
        <w:rPr>
          <w:sz w:val="22"/>
          <w:szCs w:val="22"/>
          <w:color w:val="000000"/>
        </w:rPr>
      </w:r>
      <w:r>
        <w:rPr>
          <w:sz w:val="22"/>
          <w:szCs w:val="22"/>
          <w:color w:val="000000"/>
        </w:rPr>
      </w:r>
      <w:r>
        <w:rPr>
          <w:sz w:val="22"/>
          <w:szCs w:val="22"/>
          <w:color w:val="000000"/>
        </w:rPr>
      </w:r>
      <w:r>
        <w:rPr>
          <w:sz w:val="22"/>
          <w:szCs w:val="22"/>
          <w:color w:val="000000"/>
        </w:rPr>
      </w:r>
      <w:r>
        <w:rPr>
          <w:color w:val="000000"/>
          <w:sz w:val="22"/>
          <w:szCs w:val="22"/>
        </w:rPr>
      </w:r>
    </w:p>
    <w:p>
      <w:pPr>
        <w:pStyle w:val="FWOutL3"/>
        <w:numPr>
          <w:ilvl w:val="0"/>
          <w:numId w:val="0"/>
        </w:numPr>
        <w:ind w:hanging="0" w:start="0"/>
        <w:rPr/>
      </w:pPr>
      <w:r>
        <w:rPr>
          <w:color w:val="000000"/>
          <w:sz w:val="22"/>
          <w:szCs w:val="22"/>
          <w:lang w:val="en-US"/>
        </w:rPr>
        <w:t>7.2</w:t>
        <w:tab/>
        <w:t>EuroBank Confirmations and indemnities</w:t>
      </w:r>
      <w:bookmarkStart w:id="127" w:name="_Ref114570777"/>
      <w:r>
        <w:rPr>
          <w:b/>
          <w:sz w:val="22"/>
          <w:szCs w:val="22"/>
        </w:rPr>
      </w:r>
      <w:bookmarkEnd w:id="127"/>
    </w:p>
    <w:p>
      <w:pPr>
        <w:pStyle w:val="FWOutL3"/>
        <w:numPr>
          <w:ilvl w:val="0"/>
          <w:numId w:val="0"/>
        </w:numPr>
        <w:ind w:hanging="0" w:start="0"/>
        <w:rPr/>
      </w:pPr>
      <w:r>
        <w:rPr>
          <w:sz w:val="22"/>
          <w:szCs w:val="22"/>
        </w:rPr>
        <w:t>EuroBank confirms that all information which the relevant EuroBank Group member will provide to any PST Member for the purposes of any PST Member meeting its obligations relating to information and/or consultation of employees or their representatives in connection with the termination with this MSA, is accurate in all material aspects.</w:t>
      </w:r>
      <w:r>
        <w:rPr>
          <w:color w:val="000000"/>
          <w:sz w:val="22"/>
          <w:szCs w:val="22"/>
        </w:rPr>
      </w:r>
    </w:p>
    <w:p>
      <w:pPr>
        <w:pStyle w:val="FWOutL3"/>
        <w:numPr>
          <w:ilvl w:val="0"/>
          <w:numId w:val="0"/>
        </w:numPr>
        <w:ind w:hanging="0" w:start="0"/>
        <w:rPr>
          <w:sz w:val="22"/>
          <w:szCs w:val="22"/>
        </w:rPr>
      </w:pPr>
      <w:r>
        <w:rPr>
          <w:sz w:val="22"/>
          <w:szCs w:val="22"/>
        </w:rPr>
        <w:t xml:space="preserve">In case of a breach of this confirmation, EuroBank will indemnify the relevant PST Member against any liability incurred by the relevant PST Member resulting from such a breach. </w:t>
      </w:r>
    </w:p>
    <w:p>
      <w:pPr>
        <w:pStyle w:val="FWOutL3"/>
        <w:numPr>
          <w:ilvl w:val="0"/>
          <w:numId w:val="0"/>
        </w:numPr>
        <w:ind w:hanging="0" w:start="0"/>
        <w:rPr>
          <w:b/>
          <w:sz w:val="22"/>
          <w:szCs w:val="22"/>
        </w:rPr>
      </w:pPr>
      <w:r>
        <w:rPr>
          <w:color w:val="000000"/>
          <w:sz w:val="22"/>
          <w:szCs w:val="22"/>
        </w:rPr>
        <w:t>In case of any actual or threatened legal proceedings against a PST Member with regard to claims falling under the scope of this Section, the PST Member shall as soon as reasonably possible inform EuroBank, and the relevant PST Member shall in consultation with EuroBank, if necessary or reasonable, conduct proceedings, and any negotiations relating to those proceedings.</w:t>
      </w:r>
    </w:p>
    <w:p>
      <w:pPr>
        <w:pStyle w:val="Normal"/>
        <w:rPr>
          <w:b/>
          <w:sz w:val="22"/>
          <w:szCs w:val="22"/>
        </w:rPr>
      </w:pPr>
      <w:r>
        <w:rPr>
          <w:b/>
          <w:sz w:val="22"/>
          <w:szCs w:val="22"/>
        </w:rPr>
      </w:r>
    </w:p>
    <w:p>
      <w:pPr>
        <w:pStyle w:val="FWOutL2"/>
        <w:numPr>
          <w:ilvl w:val="0"/>
          <w:numId w:val="0"/>
        </w:numPr>
        <w:ind w:hanging="0" w:start="0"/>
        <w:rPr>
          <w:rFonts w:eastAsia="Times New Roman"/>
        </w:rPr>
      </w:pPr>
      <w:r>
        <w:rPr>
          <w:rFonts w:eastAsia="Times New Roman"/>
        </w:rPr>
        <w:t xml:space="preserve"> </w:t>
      </w:r>
      <w:r>
        <w:br w:type="page"/>
      </w:r>
    </w:p>
    <w:p>
      <w:pPr>
        <w:pStyle w:val="FWOutL2"/>
        <w:numPr>
          <w:ilvl w:val="1"/>
          <w:numId w:val="11"/>
        </w:numPr>
        <w:ind w:hanging="0" w:start="0"/>
        <w:rPr>
          <w:sz w:val="22"/>
          <w:szCs w:val="22"/>
        </w:rPr>
      </w:pPr>
      <w:bookmarkStart w:id="128" w:name="__RefHeading___Toc153767110"/>
      <w:bookmarkEnd w:id="128"/>
      <w:r>
        <w:rPr>
          <w:sz w:val="22"/>
          <w:szCs w:val="22"/>
        </w:rPr>
        <w:t>ATTACHMENT 5-A:</w:t>
        <w:tab/>
        <w:tab/>
        <w:t>LIST OF AFFECTED EMPLOYEES</w:t>
      </w:r>
    </w:p>
    <w:p>
      <w:pPr>
        <w:pStyle w:val="FWExhibitL3"/>
        <w:numPr>
          <w:ilvl w:val="0"/>
          <w:numId w:val="0"/>
        </w:numPr>
        <w:ind w:hanging="0" w:start="0"/>
        <w:rPr>
          <w:b/>
          <w:bCs/>
          <w:sz w:val="22"/>
          <w:szCs w:val="22"/>
        </w:rPr>
      </w:pPr>
      <w:r>
        <w:rPr>
          <w:b/>
          <w:bCs/>
          <w:sz w:val="22"/>
          <w:szCs w:val="22"/>
        </w:rPr>
      </w:r>
    </w:p>
    <w:p>
      <w:pPr>
        <w:pStyle w:val="FWExhibitL3"/>
        <w:numPr>
          <w:ilvl w:val="0"/>
          <w:numId w:val="0"/>
        </w:numPr>
        <w:ind w:hanging="0" w:start="0"/>
        <w:rPr/>
      </w:pPr>
      <w:r>
        <w:rPr>
          <w:bCs/>
          <w:sz w:val="22"/>
          <w:szCs w:val="22"/>
        </w:rPr>
        <w:t>The Affected Contractors are listed in Attachment 12-B (</w:t>
      </w:r>
      <w:r>
        <w:rPr>
          <w:bCs/>
          <w:i/>
          <w:sz w:val="22"/>
          <w:szCs w:val="22"/>
        </w:rPr>
        <w:t>Affected Contractors</w:t>
      </w:r>
      <w:r>
        <w:rPr>
          <w:bCs/>
          <w:sz w:val="22"/>
          <w:szCs w:val="22"/>
        </w:rPr>
        <w:t>). The Affected Employees are listed in the separate document(s) labelled Attachment 5-A (</w:t>
      </w:r>
      <w:r>
        <w:rPr>
          <w:bCs/>
          <w:i/>
          <w:sz w:val="22"/>
          <w:szCs w:val="22"/>
        </w:rPr>
        <w:t>Affected Employees</w:t>
      </w:r>
      <w:r>
        <w:rPr>
          <w:bCs/>
          <w:sz w:val="22"/>
          <w:szCs w:val="22"/>
        </w:rPr>
        <w:t>).</w:t>
      </w:r>
    </w:p>
    <w:p>
      <w:pPr>
        <w:pStyle w:val="FWExhibitL3"/>
        <w:numPr>
          <w:ilvl w:val="0"/>
          <w:numId w:val="0"/>
        </w:numPr>
        <w:ind w:hanging="0" w:start="0"/>
        <w:rPr>
          <w:bCs/>
          <w:sz w:val="22"/>
          <w:szCs w:val="22"/>
        </w:rPr>
      </w:pPr>
      <w:r>
        <w:rPr>
          <w:bCs/>
          <w:sz w:val="22"/>
          <w:szCs w:val="22"/>
        </w:rPr>
      </w:r>
      <w:r>
        <w:br w:type="page"/>
      </w:r>
    </w:p>
    <w:p>
      <w:pPr>
        <w:pStyle w:val="FWOutL2"/>
        <w:numPr>
          <w:ilvl w:val="0"/>
          <w:numId w:val="0"/>
        </w:numPr>
        <w:ind w:hanging="0" w:start="0"/>
        <w:rPr>
          <w:sz w:val="22"/>
          <w:szCs w:val="22"/>
        </w:rPr>
      </w:pPr>
      <w:bookmarkStart w:id="129" w:name="__RefHeading___Toc153767112"/>
      <w:bookmarkEnd w:id="129"/>
      <w:r>
        <w:rPr>
          <w:sz w:val="22"/>
          <w:szCs w:val="22"/>
        </w:rPr>
        <w:t>ATTACHMENT 5-B:</w:t>
        <w:tab/>
        <w:tab/>
        <w:t>CONFIDENTIALITY AGREEMENT</w:t>
      </w:r>
    </w:p>
    <w:p>
      <w:pPr>
        <w:pStyle w:val="Normal"/>
        <w:jc w:val="both"/>
        <w:rPr/>
      </w:pPr>
      <w:r>
        <w:rPr>
          <w:sz w:val="22"/>
          <w:szCs w:val="22"/>
        </w:rPr>
        <w:t>In consideration of [EuroBank] and its subsidiaries (EuroBank) allowing me access to EuroBank's network / computer systems and premises and, therefore, potentially to EuroBank customer data, I agree with and declare to EuroBank as follows:</w:t>
      </w:r>
      <w:r>
        <w:rPr>
          <w:b/>
          <w:bCs/>
          <w:i/>
          <w:iCs/>
          <w:sz w:val="22"/>
          <w:szCs w:val="22"/>
        </w:rPr>
      </w:r>
      <w:r>
        <w:rPr>
          <w:sz w:val="22"/>
          <w:szCs w:val="22"/>
        </w:rPr>
      </w:r>
    </w:p>
    <w:p>
      <w:pPr>
        <w:pStyle w:val="Normal"/>
        <w:jc w:val="both"/>
        <w:rPr>
          <w:sz w:val="22"/>
          <w:szCs w:val="22"/>
        </w:rPr>
      </w:pPr>
      <w:r>
        <w:rPr>
          <w:sz w:val="22"/>
          <w:szCs w:val="22"/>
        </w:rPr>
      </w:r>
    </w:p>
    <w:p>
      <w:pPr>
        <w:pStyle w:val="Normal"/>
        <w:jc w:val="both"/>
        <w:rPr>
          <w:sz w:val="22"/>
          <w:szCs w:val="22"/>
        </w:rPr>
      </w:pPr>
      <w:r>
        <w:rPr>
          <w:sz w:val="22"/>
          <w:szCs w:val="22"/>
        </w:rPr>
        <w:t>AGREEMENT</w:t>
      </w:r>
    </w:p>
    <w:p>
      <w:pPr>
        <w:pStyle w:val="Normal"/>
        <w:jc w:val="both"/>
        <w:rPr>
          <w:sz w:val="22"/>
          <w:szCs w:val="22"/>
        </w:rPr>
      </w:pPr>
      <w:r>
        <w:rPr>
          <w:sz w:val="22"/>
          <w:szCs w:val="22"/>
        </w:rPr>
      </w:r>
    </w:p>
    <w:p>
      <w:pPr>
        <w:pStyle w:val="Normal"/>
        <w:jc w:val="both"/>
        <w:rPr>
          <w:sz w:val="22"/>
          <w:szCs w:val="22"/>
        </w:rPr>
      </w:pPr>
      <w:r>
        <w:rPr>
          <w:sz w:val="22"/>
          <w:szCs w:val="22"/>
        </w:rPr>
        <w:t>I understand the importance attached by EuroBank to the confidentiality and secrecy and to the protection of its proprietary information and information relating to its clients and counterparties.</w:t>
      </w:r>
    </w:p>
    <w:p>
      <w:pPr>
        <w:pStyle w:val="Normal"/>
        <w:jc w:val="both"/>
        <w:rPr>
          <w:sz w:val="22"/>
          <w:szCs w:val="22"/>
        </w:rPr>
      </w:pPr>
      <w:r>
        <w:rPr>
          <w:sz w:val="22"/>
          <w:szCs w:val="22"/>
        </w:rPr>
      </w:r>
    </w:p>
    <w:p>
      <w:pPr>
        <w:pStyle w:val="Normal"/>
        <w:jc w:val="both"/>
        <w:rPr>
          <w:sz w:val="22"/>
          <w:szCs w:val="22"/>
        </w:rPr>
      </w:pPr>
      <w:r>
        <w:rPr>
          <w:sz w:val="22"/>
          <w:szCs w:val="22"/>
        </w:rPr>
        <w:t>I agree that I will not, in any circumstances, use or disclose to any third party any information which relates to EuroBank or its business, its clients and counterparties, its employees, its associates, its plans, its circumstances or its intentions. I accept that I shall continue to be bound by this declaration notwithstanding the termination of my access to EuroBank's network / computer systems and facilities. I also undertake to either return to EuroBank or expunge all such information which I may have in my possession upon termination of my access to EuroBank's network / computer systems.</w:t>
      </w:r>
    </w:p>
    <w:p>
      <w:pPr>
        <w:pStyle w:val="Normal"/>
        <w:jc w:val="both"/>
        <w:rPr>
          <w:sz w:val="22"/>
          <w:szCs w:val="22"/>
        </w:rPr>
      </w:pPr>
      <w:r>
        <w:rPr>
          <w:sz w:val="22"/>
          <w:szCs w:val="22"/>
        </w:rPr>
      </w:r>
    </w:p>
    <w:p>
      <w:pPr>
        <w:pStyle w:val="Normal"/>
        <w:jc w:val="both"/>
        <w:rPr>
          <w:sz w:val="22"/>
          <w:szCs w:val="22"/>
        </w:rPr>
      </w:pPr>
      <w:r>
        <w:rPr>
          <w:sz w:val="22"/>
          <w:szCs w:val="22"/>
        </w:rPr>
        <w:t>I am aware that electronic information is crucial to EuroBank.  I will only access the information and services I need in order to carry out my duties and for which I am authorised. EuroBank will hold me accountable for actions carried out on computer systems using my user identification. I will, therefore, keep the associated password confidential and change it regularly to prevent it from becoming known to others. I will never use someone else's user identification and password or allow anyone to use mine.</w:t>
      </w:r>
    </w:p>
    <w:p>
      <w:pPr>
        <w:pStyle w:val="Normal"/>
        <w:jc w:val="both"/>
        <w:rPr>
          <w:sz w:val="22"/>
          <w:szCs w:val="22"/>
        </w:rPr>
      </w:pPr>
      <w:r>
        <w:rPr>
          <w:sz w:val="22"/>
          <w:szCs w:val="22"/>
        </w:rPr>
      </w:r>
    </w:p>
    <w:p>
      <w:pPr>
        <w:pStyle w:val="Normal"/>
        <w:jc w:val="both"/>
        <w:rPr>
          <w:sz w:val="22"/>
          <w:szCs w:val="22"/>
        </w:rPr>
      </w:pPr>
      <w:r>
        <w:rPr>
          <w:sz w:val="22"/>
          <w:szCs w:val="22"/>
        </w:rPr>
        <w:t>In addition, I am aware that if I have information gained deliberately or by accident from my work at EuroBank which could be described as "inside information" in relation to a particular company and thereafter deal in the securities of that company or advise another person to deal in those securities, I may be considered as having undertaken insider dealing, as defined by the relevant insider dealing prevention legislation.</w:t>
      </w:r>
    </w:p>
    <w:p>
      <w:pPr>
        <w:pStyle w:val="Normal"/>
        <w:jc w:val="both"/>
        <w:rPr>
          <w:sz w:val="22"/>
          <w:szCs w:val="22"/>
        </w:rPr>
      </w:pPr>
      <w:r>
        <w:rPr>
          <w:sz w:val="22"/>
          <w:szCs w:val="22"/>
        </w:rPr>
      </w:r>
    </w:p>
    <w:p>
      <w:pPr>
        <w:pStyle w:val="Normal"/>
        <w:jc w:val="both"/>
        <w:rPr>
          <w:sz w:val="22"/>
          <w:szCs w:val="22"/>
        </w:rPr>
      </w:pPr>
      <w:r>
        <w:rPr>
          <w:sz w:val="22"/>
          <w:szCs w:val="22"/>
        </w:rPr>
        <w:t>I understand that if I have any questions regarding the application of this declaration, I will raise them with the relevant EuroBank contact person, who I understand will, in turn, raise them with the EuroBank Compliance Officer.</w:t>
      </w:r>
    </w:p>
    <w:p>
      <w:pPr>
        <w:pStyle w:val="Normal"/>
        <w:jc w:val="both"/>
        <w:rPr>
          <w:sz w:val="22"/>
          <w:szCs w:val="22"/>
        </w:rPr>
      </w:pPr>
      <w:r>
        <w:rPr>
          <w:sz w:val="22"/>
          <w:szCs w:val="22"/>
        </w:rPr>
      </w:r>
    </w:p>
    <w:p>
      <w:pPr>
        <w:pStyle w:val="Normal"/>
        <w:jc w:val="both"/>
        <w:rPr>
          <w:sz w:val="22"/>
          <w:szCs w:val="22"/>
        </w:rPr>
      </w:pPr>
      <w:r>
        <w:rPr>
          <w:sz w:val="22"/>
          <w:szCs w:val="22"/>
        </w:rPr>
        <w:t>I also understand that whilst working on EuroBank premises or on services for EuroBank, with the exception of calls made from pay phones, EuroBank may record all other telephone calls without prior notification to me and I agree and consent to them being recorded.</w:t>
      </w:r>
    </w:p>
    <w:p>
      <w:pPr>
        <w:pStyle w:val="Normal"/>
        <w:jc w:val="both"/>
        <w:rPr>
          <w:sz w:val="22"/>
          <w:szCs w:val="22"/>
        </w:rPr>
      </w:pPr>
      <w:r>
        <w:rPr>
          <w:sz w:val="22"/>
          <w:szCs w:val="22"/>
        </w:rPr>
      </w:r>
    </w:p>
    <w:p>
      <w:pPr>
        <w:pStyle w:val="Normal"/>
        <w:jc w:val="both"/>
        <w:rPr>
          <w:sz w:val="22"/>
          <w:szCs w:val="22"/>
        </w:rPr>
      </w:pPr>
      <w:r>
        <w:rPr>
          <w:sz w:val="22"/>
          <w:szCs w:val="22"/>
        </w:rPr>
        <w:t>_________________</w:t>
      </w:r>
    </w:p>
    <w:p>
      <w:pPr>
        <w:pStyle w:val="Normal"/>
        <w:jc w:val="both"/>
        <w:rPr>
          <w:sz w:val="22"/>
          <w:szCs w:val="22"/>
        </w:rPr>
      </w:pPr>
      <w:r>
        <w:rPr>
          <w:sz w:val="22"/>
          <w:szCs w:val="22"/>
        </w:rPr>
      </w:r>
    </w:p>
    <w:p>
      <w:pPr>
        <w:pStyle w:val="Normal"/>
        <w:jc w:val="both"/>
        <w:rPr>
          <w:sz w:val="22"/>
          <w:szCs w:val="22"/>
        </w:rPr>
      </w:pPr>
      <w:r>
        <w:rPr>
          <w:sz w:val="22"/>
          <w:szCs w:val="22"/>
        </w:rPr>
        <w:t>Name of Staff member</w:t>
        <w:tab/>
        <w:t>Signature of Staff member</w:t>
        <w:tab/>
        <w:t>Date</w:t>
      </w:r>
    </w:p>
    <w:p>
      <w:pPr>
        <w:pStyle w:val="Normal"/>
        <w:jc w:val="both"/>
        <w:rPr>
          <w:sz w:val="22"/>
          <w:szCs w:val="22"/>
        </w:rPr>
      </w:pPr>
      <w:r>
        <w:rPr>
          <w:sz w:val="22"/>
          <w:szCs w:val="22"/>
        </w:rPr>
      </w:r>
    </w:p>
    <w:p>
      <w:pPr>
        <w:pStyle w:val="Normal"/>
        <w:jc w:val="both"/>
        <w:rPr>
          <w:sz w:val="22"/>
          <w:szCs w:val="22"/>
        </w:rPr>
      </w:pPr>
      <w:r>
        <w:rPr>
          <w:sz w:val="22"/>
          <w:szCs w:val="22"/>
        </w:rPr>
        <w:t>_________________</w:t>
      </w:r>
    </w:p>
    <w:p>
      <w:pPr>
        <w:pStyle w:val="Normal"/>
        <w:jc w:val="both"/>
        <w:rPr>
          <w:sz w:val="22"/>
          <w:szCs w:val="22"/>
        </w:rPr>
      </w:pPr>
      <w:r>
        <w:rPr>
          <w:sz w:val="22"/>
          <w:szCs w:val="22"/>
        </w:rPr>
      </w:r>
    </w:p>
    <w:p>
      <w:pPr>
        <w:pStyle w:val="Normal"/>
        <w:jc w:val="both"/>
        <w:rPr>
          <w:sz w:val="22"/>
          <w:szCs w:val="22"/>
        </w:rPr>
      </w:pPr>
      <w:r>
        <w:rPr>
          <w:sz w:val="22"/>
          <w:szCs w:val="22"/>
        </w:rPr>
        <w:t>Name of EuroBank witness</w:t>
        <w:tab/>
        <w:t>Signature of EuroBank witness</w:t>
        <w:tab/>
        <w:t>Date</w:t>
      </w:r>
      <w:r/>
    </w:p>
    <w:p>
      <w:pPr>
        <w:pStyle w:val="FWOutL2"/>
        <w:numPr>
          <w:ilvl w:val="0"/>
          <w:numId w:val="0"/>
        </w:numPr>
        <w:ind w:hanging="0" w:start="0"/>
        <w:rPr/>
      </w:pPr>
      <w:bookmarkStart w:id="130" w:name="__RefHeading___Toc153767113"/>
      <w:bookmarkEnd w:id="130"/>
      <w:r>
        <w:rPr/>
        <w:t>ATTACHMENT 5-D:</w:t>
        <w:tab/>
        <w:tab/>
        <w:t>KEY PST PERSONNEL</w:t>
      </w:r>
    </w:p>
    <w:tbl>
      <w:tblPr>
        <w:tblW w:w="6352" w:type="dxa"/>
        <w:jc w:val="start"/>
        <w:tblInd w:w="0" w:type="dxa"/>
        <w:tblLayout w:type="fixed"/>
        <w:tblCellMar>
          <w:top w:w="0" w:type="dxa"/>
          <w:start w:w="108" w:type="dxa"/>
          <w:bottom w:w="0" w:type="dxa"/>
          <w:end w:w="108" w:type="dxa"/>
        </w:tblCellMar>
      </w:tblPr>
      <w:tblGrid>
        <w:gridCol w:w="1379"/>
        <w:gridCol w:w="1256"/>
        <w:gridCol w:w="1095"/>
        <w:gridCol w:w="1490"/>
        <w:gridCol w:w="1132"/>
      </w:tblGrid>
      <w:tr>
        <w:trPr/>
        <w:tc>
          <w:tcPr>
            <w:tcW w:w="1379" w:type="dxa"/>
            <w:tcBorders>
              <w:top w:val="single" w:sz="4" w:space="0" w:color="000000"/>
              <w:start w:val="single" w:sz="4" w:space="0" w:color="000000"/>
              <w:bottom w:val="single" w:sz="4" w:space="0" w:color="000000"/>
              <w:end w:val="single" w:sz="4" w:space="0" w:color="000000"/>
            </w:tcBorders>
            <w:shd w:fill="000080" w:val="clear"/>
            <w:vAlign w:val="center"/>
          </w:tcPr>
          <w:p>
            <w:pPr>
              <w:pStyle w:val="Normal"/>
              <w:snapToGrid w:val="false"/>
              <w:jc w:val="center"/>
              <w:rPr>
                <w:rFonts w:ascii="Arial Unicode MS" w:hAnsi="Arial Unicode MS" w:eastAsia="Arial Unicode MS" w:cs="Arial Unicode MS"/>
              </w:rPr>
            </w:pPr>
            <w:r>
              <w:rPr>
                <w:rFonts w:eastAsia="Arial Unicode MS" w:cs="Arial Unicode MS" w:ascii="Arial Unicode MS" w:hAnsi="Arial Unicode MS"/>
              </w:rPr>
            </w:r>
          </w:p>
        </w:tc>
        <w:tc>
          <w:tcPr>
            <w:tcW w:w="1256" w:type="dxa"/>
            <w:tcBorders>
              <w:top w:val="single" w:sz="4" w:space="0" w:color="000000"/>
              <w:start w:val="single" w:sz="4" w:space="0" w:color="000000"/>
              <w:bottom w:val="single" w:sz="4" w:space="0" w:color="000000"/>
              <w:end w:val="single" w:sz="4" w:space="0" w:color="000000"/>
            </w:tcBorders>
            <w:shd w:fill="000080" w:val="clear"/>
            <w:vAlign w:val="center"/>
          </w:tcPr>
          <w:p>
            <w:pPr>
              <w:pStyle w:val="Normal"/>
              <w:jc w:val="center"/>
              <w:rPr>
                <w:rFonts w:ascii="Arial" w:hAnsi="Arial" w:eastAsia="Arial Unicode MS" w:cs="Arial"/>
                <w:color w:val="FFFFFF"/>
                <w:sz w:val="20"/>
                <w:szCs w:val="20"/>
              </w:rPr>
            </w:pPr>
            <w:r>
              <w:rPr>
                <w:rFonts w:cs="Arial" w:ascii="Arial" w:hAnsi="Arial"/>
                <w:color w:val="FFFFFF"/>
                <w:sz w:val="20"/>
                <w:szCs w:val="20"/>
              </w:rPr>
              <w:t>Vendor Beta</w:t>
            </w:r>
          </w:p>
        </w:tc>
        <w:tc>
          <w:tcPr>
            <w:tcW w:w="1095" w:type="dxa"/>
            <w:tcBorders>
              <w:top w:val="single" w:sz="4" w:space="0" w:color="000000"/>
              <w:start w:val="single" w:sz="4" w:space="0" w:color="000000"/>
              <w:bottom w:val="single" w:sz="4" w:space="0" w:color="000000"/>
              <w:end w:val="single" w:sz="4" w:space="0" w:color="000000"/>
            </w:tcBorders>
            <w:shd w:fill="000080" w:val="clear"/>
            <w:vAlign w:val="center"/>
          </w:tcPr>
          <w:p>
            <w:pPr>
              <w:pStyle w:val="Normal"/>
              <w:jc w:val="center"/>
              <w:rPr>
                <w:rFonts w:ascii="Arial" w:hAnsi="Arial" w:eastAsia="Arial Unicode MS" w:cs="Arial"/>
                <w:color w:val="FFFFFF"/>
                <w:sz w:val="20"/>
                <w:szCs w:val="20"/>
              </w:rPr>
            </w:pPr>
            <w:r>
              <w:rPr>
                <w:rFonts w:cs="Arial" w:ascii="Arial" w:hAnsi="Arial"/>
                <w:color w:val="FFFFFF"/>
                <w:sz w:val="20"/>
                <w:szCs w:val="20"/>
              </w:rPr>
              <w:t>Vendor Alpha</w:t>
            </w:r>
          </w:p>
        </w:tc>
        <w:tc>
          <w:tcPr>
            <w:tcW w:w="1490" w:type="dxa"/>
            <w:tcBorders>
              <w:top w:val="single" w:sz="4" w:space="0" w:color="000000"/>
              <w:start w:val="single" w:sz="4" w:space="0" w:color="000000"/>
              <w:bottom w:val="single" w:sz="4" w:space="0" w:color="000000"/>
              <w:end w:val="single" w:sz="4" w:space="0" w:color="000000"/>
            </w:tcBorders>
            <w:shd w:fill="000080" w:val="clear"/>
            <w:vAlign w:val="center"/>
          </w:tcPr>
          <w:p>
            <w:pPr>
              <w:pStyle w:val="Normal"/>
              <w:jc w:val="center"/>
              <w:rPr>
                <w:rFonts w:ascii="Arial" w:hAnsi="Arial" w:eastAsia="Arial Unicode MS" w:cs="Arial"/>
                <w:color w:val="FFFFFF"/>
                <w:sz w:val="20"/>
                <w:szCs w:val="20"/>
              </w:rPr>
            </w:pPr>
            <w:r>
              <w:rPr>
                <w:rFonts w:cs="Arial" w:ascii="Arial" w:hAnsi="Arial"/>
                <w:color w:val="FFFFFF"/>
                <w:sz w:val="20"/>
                <w:szCs w:val="20"/>
              </w:rPr>
              <w:t>Vendor Gamma PinkRoccade</w:t>
            </w:r>
          </w:p>
        </w:tc>
        <w:tc>
          <w:tcPr>
            <w:tcW w:w="1132" w:type="dxa"/>
            <w:tcBorders>
              <w:top w:val="single" w:sz="4" w:space="0" w:color="000000"/>
              <w:start w:val="single" w:sz="4" w:space="0" w:color="000000"/>
              <w:bottom w:val="single" w:sz="4" w:space="0" w:color="000000"/>
              <w:end w:val="single" w:sz="4" w:space="0" w:color="000000"/>
            </w:tcBorders>
            <w:shd w:fill="000080" w:val="clear"/>
            <w:vAlign w:val="center"/>
          </w:tcPr>
          <w:p>
            <w:pPr>
              <w:pStyle w:val="Normal"/>
              <w:jc w:val="center"/>
              <w:rPr>
                <w:rFonts w:ascii="Arial" w:hAnsi="Arial" w:eastAsia="Arial Unicode MS" w:cs="Arial"/>
                <w:color w:val="FFFFFF"/>
                <w:sz w:val="20"/>
                <w:szCs w:val="20"/>
              </w:rPr>
            </w:pPr>
            <w:r>
              <w:rPr>
                <w:rFonts w:cs="Arial" w:ascii="Arial" w:hAnsi="Arial"/>
                <w:color w:val="FFFFFF"/>
                <w:sz w:val="20"/>
                <w:szCs w:val="20"/>
              </w:rPr>
              <w:t>TelCo</w:t>
            </w:r>
          </w:p>
        </w:tc>
      </w:tr>
      <w:tr>
        <w:trPr/>
        <w:tc>
          <w:tcPr>
            <w:tcW w:w="1379"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rPr>
            </w:pPr>
            <w:r>
              <w:rPr>
                <w:rFonts w:cs="Arial" w:ascii="Arial" w:hAnsi="Arial"/>
                <w:sz w:val="20"/>
                <w:szCs w:val="20"/>
              </w:rPr>
              <w:t>Account executive</w:t>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fr-FR"/>
              </w:rPr>
            </w:pPr>
            <w:r>
              <w:rPr>
                <w:rFonts w:cs="Arial" w:ascii="Arial" w:hAnsi="Arial"/>
                <w:sz w:val="20"/>
                <w:szCs w:val="20"/>
              </w:rPr>
              <w:t> </w:t>
            </w:r>
            <w:r>
              <w:rPr>
                <w:rFonts w:cs="Arial" w:ascii="Arial" w:hAnsi="Arial"/>
                <w:sz w:val="20"/>
                <w:szCs w:val="20"/>
                <w:lang w:val="fr-FR"/>
              </w:rPr>
              <w:t>Yvonne de Ridder</w:t>
            </w:r>
          </w:p>
        </w:tc>
        <w:tc>
          <w:tcPr>
            <w:tcW w:w="109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Ton van Rhijn</w:t>
            </w:r>
          </w:p>
        </w:tc>
        <w:tc>
          <w:tcPr>
            <w:tcW w:w="149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 </w:t>
            </w:r>
            <w:r>
              <w:rPr>
                <w:rFonts w:cs="Arial" w:ascii="Arial" w:hAnsi="Arial"/>
                <w:sz w:val="20"/>
                <w:szCs w:val="20"/>
                <w:lang w:val="nl-NL"/>
              </w:rPr>
              <w:t>Martin Maurits</w:t>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 </w:t>
            </w:r>
            <w:r>
              <w:rPr>
                <w:rFonts w:cs="Arial" w:ascii="Arial" w:hAnsi="Arial"/>
                <w:sz w:val="20"/>
                <w:szCs w:val="20"/>
                <w:lang w:val="nl-NL"/>
              </w:rPr>
              <w:t>Oscar van der Meijden</w:t>
            </w:r>
          </w:p>
        </w:tc>
      </w:tr>
      <w:tr>
        <w:trPr/>
        <w:tc>
          <w:tcPr>
            <w:tcW w:w="1379"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Contract executive</w:t>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 </w:t>
            </w:r>
            <w:r>
              <w:rPr>
                <w:rFonts w:cs="Arial" w:ascii="Arial" w:hAnsi="Arial"/>
                <w:sz w:val="20"/>
                <w:szCs w:val="20"/>
                <w:lang w:val="nl-NL"/>
              </w:rPr>
              <w:t>Edwin Van der Ouderaa</w:t>
            </w:r>
          </w:p>
        </w:tc>
        <w:tc>
          <w:tcPr>
            <w:tcW w:w="109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Ton van Rhijn</w:t>
            </w:r>
          </w:p>
        </w:tc>
        <w:tc>
          <w:tcPr>
            <w:tcW w:w="149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fr-FR"/>
              </w:rPr>
            </w:pPr>
            <w:r>
              <w:rPr>
                <w:rFonts w:cs="Arial" w:ascii="Arial" w:hAnsi="Arial"/>
                <w:sz w:val="20"/>
                <w:szCs w:val="20"/>
                <w:lang w:val="nl-NL"/>
              </w:rPr>
              <w:t> </w:t>
            </w:r>
            <w:r>
              <w:rPr>
                <w:rFonts w:cs="Arial" w:ascii="Arial" w:hAnsi="Arial"/>
                <w:sz w:val="20"/>
                <w:szCs w:val="20"/>
                <w:lang w:val="fr-FR"/>
              </w:rPr>
              <w:t>Martin Maurits</w:t>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fr-FR"/>
              </w:rPr>
            </w:pPr>
            <w:r>
              <w:rPr>
                <w:rFonts w:cs="Arial" w:ascii="Arial" w:hAnsi="Arial"/>
                <w:sz w:val="20"/>
                <w:szCs w:val="20"/>
                <w:lang w:val="fr-FR"/>
              </w:rPr>
              <w:t> </w:t>
            </w:r>
            <w:r>
              <w:rPr>
                <w:rFonts w:cs="Arial" w:ascii="Arial" w:hAnsi="Arial"/>
                <w:sz w:val="20"/>
                <w:szCs w:val="20"/>
                <w:lang w:val="fr-FR"/>
              </w:rPr>
              <w:t>Tieme Mulder</w:t>
            </w:r>
          </w:p>
        </w:tc>
      </w:tr>
      <w:tr>
        <w:trPr/>
        <w:tc>
          <w:tcPr>
            <w:tcW w:w="1379"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fr-FR"/>
              </w:rPr>
            </w:pPr>
            <w:r>
              <w:rPr>
                <w:rFonts w:cs="Arial" w:ascii="Arial" w:hAnsi="Arial"/>
                <w:sz w:val="20"/>
                <w:szCs w:val="20"/>
                <w:lang w:val="fr-FR"/>
              </w:rPr>
              <w:t>Transition manager</w:t>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fr-FR"/>
              </w:rPr>
            </w:pPr>
            <w:r>
              <w:rPr>
                <w:rFonts w:cs="Arial" w:ascii="Arial" w:hAnsi="Arial"/>
                <w:sz w:val="20"/>
                <w:szCs w:val="20"/>
                <w:lang w:val="fr-FR"/>
              </w:rPr>
              <w:t> </w:t>
            </w:r>
            <w:r>
              <w:rPr>
                <w:rFonts w:cs="Arial" w:ascii="Arial" w:hAnsi="Arial"/>
                <w:sz w:val="20"/>
                <w:szCs w:val="20"/>
                <w:lang w:val="fr-FR"/>
              </w:rPr>
              <w:t>JP Poinsignon</w:t>
            </w:r>
          </w:p>
        </w:tc>
        <w:tc>
          <w:tcPr>
            <w:tcW w:w="109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Jan van Besouw</w:t>
            </w:r>
          </w:p>
        </w:tc>
        <w:tc>
          <w:tcPr>
            <w:tcW w:w="149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en-US"/>
              </w:rPr>
            </w:pPr>
            <w:r>
              <w:rPr>
                <w:rFonts w:cs="Arial" w:ascii="Arial" w:hAnsi="Arial"/>
                <w:sz w:val="20"/>
                <w:szCs w:val="20"/>
                <w:lang w:val="nl-NL"/>
              </w:rPr>
              <w:t> </w:t>
            </w:r>
            <w:r>
              <w:rPr>
                <w:rFonts w:cs="Arial" w:ascii="Arial" w:hAnsi="Arial"/>
                <w:sz w:val="20"/>
                <w:szCs w:val="20"/>
                <w:lang w:val="en-US"/>
              </w:rPr>
              <w:t>Leo Rovers</w:t>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en-US"/>
              </w:rPr>
            </w:pPr>
            <w:r>
              <w:rPr>
                <w:rFonts w:cs="Arial" w:ascii="Arial" w:hAnsi="Arial"/>
                <w:sz w:val="20"/>
                <w:szCs w:val="20"/>
                <w:lang w:val="en-US"/>
              </w:rPr>
              <w:t> </w:t>
            </w:r>
            <w:r>
              <w:rPr>
                <w:rFonts w:cs="Arial" w:ascii="Arial" w:hAnsi="Arial"/>
                <w:sz w:val="20"/>
                <w:szCs w:val="20"/>
                <w:lang w:val="en-US"/>
              </w:rPr>
              <w:t>René Opdam</w:t>
            </w:r>
          </w:p>
        </w:tc>
      </w:tr>
      <w:tr>
        <w:trPr/>
        <w:tc>
          <w:tcPr>
            <w:tcW w:w="1379"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rPr>
            </w:pPr>
            <w:r>
              <w:rPr>
                <w:rFonts w:cs="Arial" w:ascii="Arial" w:hAnsi="Arial"/>
                <w:sz w:val="20"/>
                <w:szCs w:val="20"/>
              </w:rPr>
              <w:t>Service delivery manager</w:t>
            </w:r>
          </w:p>
        </w:tc>
        <w:tc>
          <w:tcPr>
            <w:tcW w:w="1256"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rPr>
            </w:pPr>
            <w:r>
              <w:rPr>
                <w:rFonts w:cs="Arial" w:ascii="Arial" w:hAnsi="Arial"/>
                <w:sz w:val="20"/>
                <w:szCs w:val="20"/>
              </w:rPr>
              <w:t>Jerry Mallee</w:t>
            </w:r>
          </w:p>
        </w:tc>
        <w:tc>
          <w:tcPr>
            <w:tcW w:w="1095"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en-US"/>
              </w:rPr>
            </w:pPr>
            <w:r>
              <w:rPr>
                <w:rFonts w:cs="Arial" w:ascii="Arial" w:hAnsi="Arial"/>
                <w:sz w:val="20"/>
                <w:szCs w:val="20"/>
                <w:lang w:val="en-US"/>
              </w:rPr>
              <w:t>Will Lardenois</w:t>
            </w:r>
          </w:p>
        </w:tc>
        <w:tc>
          <w:tcPr>
            <w:tcW w:w="1490"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en-US"/>
              </w:rPr>
              <w:t> </w:t>
            </w:r>
            <w:r>
              <w:rPr>
                <w:rFonts w:cs="Arial" w:ascii="Arial" w:hAnsi="Arial"/>
                <w:sz w:val="20"/>
                <w:szCs w:val="20"/>
                <w:lang w:val="nl-NL"/>
              </w:rPr>
              <w:t>Leo Rovers a.i.</w:t>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ascii="Arial" w:hAnsi="Arial" w:eastAsia="Arial Unicode MS" w:cs="Arial"/>
                <w:sz w:val="20"/>
                <w:szCs w:val="20"/>
                <w:lang w:val="nl-NL"/>
              </w:rPr>
            </w:pPr>
            <w:r>
              <w:rPr>
                <w:rFonts w:cs="Arial" w:ascii="Arial" w:hAnsi="Arial"/>
                <w:sz w:val="20"/>
                <w:szCs w:val="20"/>
                <w:lang w:val="nl-NL"/>
              </w:rPr>
              <w:t> </w:t>
            </w:r>
            <w:r>
              <w:rPr>
                <w:rFonts w:cs="Arial" w:ascii="Arial" w:hAnsi="Arial"/>
                <w:sz w:val="20"/>
                <w:szCs w:val="20"/>
                <w:lang w:val="nl-NL"/>
              </w:rPr>
              <w:t>Ronald de Vetten</w:t>
            </w:r>
          </w:p>
        </w:tc>
      </w:tr>
    </w:tbl>
    <w:p>
      <w:pPr>
        <w:pStyle w:val="FWExhibitL1"/>
        <w:numPr>
          <w:ilvl w:val="0"/>
          <w:numId w:val="0"/>
        </w:numPr>
        <w:ind w:hanging="0" w:start="0"/>
        <w:rPr>
          <w:sz w:val="22"/>
          <w:szCs w:val="22"/>
          <w:lang w:val="nl-NL"/>
        </w:rPr>
      </w:pPr>
      <w:r>
        <w:rPr>
          <w:sz w:val="22"/>
          <w:szCs w:val="22"/>
          <w:lang w:val="nl-NL"/>
        </w:rPr>
      </w:r>
      <w:r>
        <w:br w:type="page"/>
      </w:r>
    </w:p>
    <w:p>
      <w:pPr>
        <w:pStyle w:val="FWOutL2"/>
        <w:numPr>
          <w:ilvl w:val="0"/>
          <w:numId w:val="0"/>
        </w:numPr>
        <w:ind w:hanging="0" w:start="0"/>
        <w:rPr>
          <w:sz w:val="22"/>
          <w:szCs w:val="22"/>
        </w:rPr>
      </w:pPr>
      <w:bookmarkStart w:id="131" w:name="__RefHeading___Toc153767114"/>
      <w:bookmarkEnd w:id="131"/>
      <w:r>
        <w:rPr>
          <w:sz w:val="22"/>
          <w:szCs w:val="22"/>
        </w:rPr>
        <w:t>ATTACHMENT 5-E:</w:t>
        <w:tab/>
        <w:tab/>
        <w:t>PENSIONS</w:t>
      </w:r>
    </w:p>
    <w:p>
      <w:pPr>
        <w:pStyle w:val="Normal"/>
        <w:rPr>
          <w:sz w:val="22"/>
          <w:szCs w:val="22"/>
          <w:lang w:val="en-US"/>
        </w:rPr>
      </w:pPr>
      <w:r>
        <w:rPr>
          <w:sz w:val="22"/>
          <w:szCs w:val="22"/>
          <w:lang w:val="en-US"/>
        </w:rPr>
      </w:r>
    </w:p>
    <w:p>
      <w:pPr>
        <w:pStyle w:val="Normal"/>
        <w:rPr/>
      </w:pPr>
      <w:r>
        <w:rPr>
          <w:sz w:val="22"/>
          <w:szCs w:val="22"/>
          <w:lang w:val="en-US"/>
        </w:rPr>
        <w:t>The pensions provisions are given in the separate document(s) labelled as Attachment 5-E (</w:t>
      </w:r>
      <w:r>
        <w:rPr>
          <w:i/>
          <w:sz w:val="22"/>
          <w:szCs w:val="22"/>
          <w:lang w:val="en-US"/>
        </w:rPr>
        <w:t>Pensions</w:t>
      </w:r>
      <w:r>
        <w:rPr>
          <w:sz w:val="22"/>
          <w:szCs w:val="22"/>
          <w:lang w:val="en-US"/>
        </w:rPr>
        <w:t xml:space="preserve">). </w:t>
      </w:r>
    </w:p>
    <w:p>
      <w:pPr>
        <w:pStyle w:val="Normal"/>
        <w:rPr>
          <w:sz w:val="22"/>
          <w:szCs w:val="22"/>
          <w:lang w:val="en-US"/>
        </w:rPr>
      </w:pPr>
      <w:r>
        <w:rPr>
          <w:sz w:val="22"/>
          <w:szCs w:val="22"/>
          <w:lang w:val="en-US"/>
        </w:rPr>
      </w:r>
      <w:r>
        <w:br w:type="page"/>
      </w:r>
    </w:p>
    <w:p>
      <w:pPr>
        <w:pStyle w:val="FWOutL2"/>
        <w:numPr>
          <w:ilvl w:val="0"/>
          <w:numId w:val="0"/>
        </w:numPr>
        <w:ind w:hanging="0" w:start="0"/>
        <w:rPr>
          <w:sz w:val="22"/>
          <w:szCs w:val="22"/>
        </w:rPr>
      </w:pPr>
      <w:bookmarkStart w:id="132" w:name="__RefHeading___Toc153767115"/>
      <w:bookmarkEnd w:id="132"/>
      <w:r>
        <w:rPr>
          <w:sz w:val="22"/>
          <w:szCs w:val="22"/>
        </w:rPr>
        <w:t>ATTACHMENT 5-F:</w:t>
        <w:tab/>
        <w:tab/>
        <w:t>PERSONNEL PROJECTION MATRIX</w:t>
      </w:r>
    </w:p>
    <w:p>
      <w:pPr>
        <w:pStyle w:val="Normal"/>
        <w:rPr>
          <w:sz w:val="22"/>
          <w:szCs w:val="22"/>
          <w:lang w:val="en-US"/>
        </w:rPr>
      </w:pPr>
      <w:r>
        <w:rPr>
          <w:sz w:val="22"/>
          <w:szCs w:val="22"/>
          <w:lang w:val="en-US"/>
        </w:rPr>
      </w:r>
    </w:p>
    <w:p>
      <w:pPr>
        <w:pStyle w:val="Normal"/>
        <w:rPr/>
      </w:pPr>
      <w:r>
        <w:rPr>
          <w:sz w:val="22"/>
          <w:szCs w:val="22"/>
          <w:lang w:val="en-US"/>
        </w:rPr>
        <w:t>The personnel projection matrices are given in the separate document(s) labelled as Attachment 5-F (</w:t>
      </w:r>
      <w:r>
        <w:rPr>
          <w:i/>
          <w:sz w:val="22"/>
          <w:szCs w:val="22"/>
          <w:lang w:val="en-US"/>
        </w:rPr>
        <w:t>Personnel Projection Matrices</w:t>
      </w:r>
      <w:r>
        <w:rPr>
          <w:sz w:val="22"/>
          <w:szCs w:val="22"/>
          <w:lang w:val="en-US"/>
        </w:rPr>
        <w:t xml:space="preserve">). </w:t>
      </w:r>
    </w:p>
    <w:p>
      <w:pPr>
        <w:pStyle w:val="Normal"/>
        <w:rPr>
          <w:sz w:val="22"/>
          <w:szCs w:val="22"/>
          <w:lang w:val="en-US"/>
        </w:rPr>
      </w:pPr>
      <w:r>
        <w:rPr>
          <w:sz w:val="22"/>
          <w:szCs w:val="22"/>
          <w:lang w:val="en-US"/>
        </w:rPr>
      </w:r>
    </w:p>
    <w:p>
      <w:pPr>
        <w:pStyle w:val="Normal"/>
        <w:rPr>
          <w:sz w:val="22"/>
          <w:szCs w:val="22"/>
          <w:lang w:val="en-US"/>
        </w:rPr>
      </w:pPr>
      <w:r>
        <w:rPr>
          <w:sz w:val="22"/>
          <w:szCs w:val="22"/>
          <w:lang w:val="en-US"/>
        </w:rPr>
      </w:r>
      <w:r>
        <w:br w:type="page"/>
      </w:r>
    </w:p>
    <w:p>
      <w:pPr>
        <w:pStyle w:val="FWExhibitL1"/>
        <w:numPr>
          <w:ilvl w:val="0"/>
          <w:numId w:val="0"/>
        </w:numPr>
        <w:ind w:hanging="0" w:start="0"/>
        <w:jc w:val="start"/>
        <w:rPr/>
      </w:pPr>
      <w:r>
        <w:rPr>
          <w:rStyle w:val="FWOutL2Char"/>
          <w:b/>
          <w:caps/>
          <w:sz w:val="22"/>
          <w:szCs w:val="22"/>
        </w:rPr>
        <w:t>ATTACHMENT 5-G:</w:t>
        <w:tab/>
        <w:tab/>
        <w:t>EMPLOYMENT PROTOCOLS</w:t>
      </w:r>
      <w:r>
        <w:rPr>
          <w:sz w:val="22"/>
          <w:szCs w:val="22"/>
          <w:lang w:val="en-US"/>
        </w:rPr>
        <w:t xml:space="preserve"> (</w:t>
      </w:r>
      <w:r>
        <w:rPr>
          <w:i/>
          <w:sz w:val="22"/>
          <w:szCs w:val="22"/>
          <w:lang w:val="en-US"/>
        </w:rPr>
        <w:t>arbeidsvoorwaardenprotocol</w:t>
      </w:r>
      <w:r>
        <w:rPr>
          <w:sz w:val="22"/>
          <w:szCs w:val="22"/>
          <w:lang w:val="en-US"/>
        </w:rPr>
        <w:t>)</w:t>
      </w:r>
    </w:p>
    <w:p>
      <w:pPr>
        <w:pStyle w:val="Normal"/>
        <w:jc w:val="both"/>
        <w:rPr>
          <w:sz w:val="22"/>
          <w:szCs w:val="22"/>
          <w:lang w:val="en-US"/>
        </w:rPr>
      </w:pPr>
      <w:r>
        <w:rPr>
          <w:sz w:val="22"/>
          <w:szCs w:val="22"/>
          <w:lang w:val="en-US"/>
        </w:rPr>
        <w:t>The documents setting out the agreed Employment Protocols are contained within the following files, all of which are hereby incorporated by reference:</w:t>
      </w:r>
    </w:p>
    <w:p>
      <w:pPr>
        <w:pStyle w:val="Normal"/>
        <w:jc w:val="both"/>
        <w:rPr>
          <w:sz w:val="22"/>
          <w:szCs w:val="22"/>
          <w:lang w:val="en-US"/>
        </w:rPr>
      </w:pPr>
      <w:r>
        <w:rPr>
          <w:sz w:val="22"/>
          <w:szCs w:val="22"/>
          <w:lang w:val="en-US"/>
        </w:rPr>
      </w:r>
    </w:p>
    <w:p>
      <w:pPr>
        <w:pStyle w:val="Normal"/>
        <w:jc w:val="both"/>
        <w:rPr>
          <w:sz w:val="22"/>
          <w:szCs w:val="22"/>
          <w:u w:val="single"/>
          <w:lang w:val="en-US"/>
        </w:rPr>
      </w:pPr>
      <w:r>
        <w:rPr>
          <w:sz w:val="22"/>
          <w:szCs w:val="22"/>
          <w:u w:val="single"/>
          <w:lang w:val="en-US"/>
        </w:rPr>
        <w:t>For The Netherlands:</w:t>
      </w:r>
    </w:p>
    <w:p>
      <w:pPr>
        <w:pStyle w:val="Normal"/>
        <w:jc w:val="both"/>
        <w:rPr>
          <w:sz w:val="22"/>
          <w:szCs w:val="22"/>
          <w:u w:val="single"/>
          <w:lang w:val="en-US"/>
        </w:rPr>
      </w:pPr>
      <w:r>
        <w:rPr>
          <w:sz w:val="22"/>
          <w:szCs w:val="22"/>
          <w:u w:val="single"/>
          <w:lang w:val="en-US"/>
        </w:rPr>
      </w:r>
    </w:p>
    <w:p>
      <w:pPr>
        <w:pStyle w:val="Normal"/>
        <w:jc w:val="both"/>
        <w:rPr>
          <w:sz w:val="22"/>
          <w:szCs w:val="22"/>
          <w:lang w:val="en-US"/>
        </w:rPr>
      </w:pPr>
      <w:r>
        <w:rPr>
          <w:sz w:val="22"/>
          <w:szCs w:val="22"/>
          <w:highlight w:val="yellow"/>
          <w:lang w:val="en-US"/>
        </w:rPr>
        <w:t>(NOTE: following files to be split – one per PST Supplier in final contracts)</w:t>
      </w:r>
    </w:p>
    <w:p>
      <w:pPr>
        <w:pStyle w:val="Normal"/>
        <w:jc w:val="both"/>
        <w:rPr>
          <w:sz w:val="22"/>
          <w:szCs w:val="22"/>
          <w:lang w:val="en-US"/>
        </w:rPr>
      </w:pPr>
      <w:r>
        <w:rPr>
          <w:sz w:val="22"/>
          <w:szCs w:val="22"/>
          <w:lang w:val="en-US"/>
        </w:rPr>
      </w:r>
    </w:p>
    <w:p>
      <w:pPr>
        <w:pStyle w:val="Normal"/>
        <w:ind w:start="720" w:end="0"/>
        <w:jc w:val="both"/>
        <w:rPr/>
      </w:pPr>
      <w:r>
        <w:rPr>
          <w:sz w:val="22"/>
          <w:szCs w:val="22"/>
          <w:lang w:val="nl-NL"/>
        </w:rPr>
        <w:t>Arbeidsvoorwaarden Protocol GPR v1.0  16112006.pdf dated 17</w:t>
      </w:r>
      <w:r>
        <w:rPr>
          <w:sz w:val="22"/>
          <w:szCs w:val="22"/>
          <w:vertAlign w:val="superscript"/>
          <w:lang w:val="nl-NL"/>
        </w:rPr>
        <w:t>th</w:t>
      </w:r>
      <w:r>
        <w:rPr>
          <w:sz w:val="22"/>
          <w:szCs w:val="22"/>
          <w:lang w:val="nl-NL"/>
        </w:rPr>
        <w:t xml:space="preserve"> November 2006</w:t>
      </w:r>
    </w:p>
    <w:p>
      <w:pPr>
        <w:pStyle w:val="Normal"/>
        <w:ind w:start="720" w:end="0"/>
        <w:jc w:val="both"/>
        <w:rPr/>
      </w:pPr>
      <w:r>
        <w:rPr>
          <w:sz w:val="22"/>
          <w:szCs w:val="22"/>
          <w:lang w:val="en-US"/>
        </w:rPr>
        <w:t>Employment protocol VendorA v1.0 16112006.pdf dated 17th November 2006</w:t>
      </w:r>
      <w:r>
        <w:rPr>
          <w:sz w:val="22"/>
          <w:szCs w:val="22"/>
          <w:vertAlign w:val="superscript"/>
          <w:lang w:val="en-US"/>
        </w:rPr>
      </w:r>
      <w:r>
        <w:rPr>
          <w:sz w:val="22"/>
          <w:szCs w:val="22"/>
          <w:lang w:val="en-US"/>
        </w:rPr>
      </w:r>
    </w:p>
    <w:p>
      <w:pPr>
        <w:pStyle w:val="Normal"/>
        <w:ind w:start="720" w:end="0"/>
        <w:jc w:val="both"/>
        <w:rPr/>
      </w:pPr>
      <w:r>
        <w:rPr>
          <w:sz w:val="22"/>
          <w:szCs w:val="22"/>
          <w:lang w:val="en-US"/>
        </w:rPr>
        <w:t>Employment protocol TelCo v1.0-16112006.pdf dated 17th November 2006</w:t>
      </w:r>
      <w:r>
        <w:rPr>
          <w:sz w:val="22"/>
          <w:szCs w:val="22"/>
          <w:vertAlign w:val="superscript"/>
          <w:lang w:val="en-US"/>
        </w:rPr>
      </w:r>
      <w:r>
        <w:rPr>
          <w:sz w:val="22"/>
          <w:szCs w:val="22"/>
          <w:lang w:val="en-US"/>
        </w:rPr>
      </w:r>
    </w:p>
    <w:p>
      <w:pPr>
        <w:pStyle w:val="Normal"/>
        <w:jc w:val="both"/>
        <w:rPr>
          <w:sz w:val="22"/>
          <w:szCs w:val="22"/>
          <w:lang w:val="en-US"/>
        </w:rPr>
      </w:pPr>
      <w:r>
        <w:rPr>
          <w:sz w:val="22"/>
          <w:szCs w:val="22"/>
          <w:lang w:val="en-US"/>
        </w:rPr>
      </w:r>
    </w:p>
    <w:p>
      <w:pPr>
        <w:pStyle w:val="Normal"/>
        <w:jc w:val="both"/>
        <w:rPr>
          <w:sz w:val="22"/>
          <w:szCs w:val="22"/>
          <w:u w:val="single"/>
          <w:lang w:val="en-US"/>
        </w:rPr>
      </w:pPr>
      <w:r>
        <w:rPr>
          <w:sz w:val="22"/>
          <w:szCs w:val="22"/>
          <w:u w:val="single"/>
          <w:lang w:val="en-US"/>
        </w:rPr>
        <w:t>For Belgium:</w:t>
      </w:r>
    </w:p>
    <w:p>
      <w:pPr>
        <w:pStyle w:val="Normal"/>
        <w:jc w:val="both"/>
        <w:rPr>
          <w:sz w:val="22"/>
          <w:szCs w:val="22"/>
          <w:u w:val="single"/>
          <w:lang w:val="en-US"/>
        </w:rPr>
      </w:pPr>
      <w:r>
        <w:rPr>
          <w:sz w:val="22"/>
          <w:szCs w:val="22"/>
          <w:u w:val="single"/>
          <w:lang w:val="en-US"/>
        </w:rPr>
      </w:r>
    </w:p>
    <w:p>
      <w:pPr>
        <w:pStyle w:val="Normal"/>
        <w:ind w:firstLine="720" w:end="0"/>
        <w:jc w:val="both"/>
        <w:rPr>
          <w:sz w:val="22"/>
          <w:szCs w:val="22"/>
          <w:lang w:val="en-US"/>
        </w:rPr>
      </w:pPr>
      <w:r>
        <w:rPr>
          <w:sz w:val="22"/>
          <w:szCs w:val="22"/>
          <w:lang w:val="en-US"/>
        </w:rPr>
        <w:t>Sociaal Protocol WPS (09112006).DOC</w:t>
      </w:r>
    </w:p>
    <w:p>
      <w:pPr>
        <w:pStyle w:val="Normal"/>
        <w:jc w:val="both"/>
        <w:rPr>
          <w:sz w:val="22"/>
          <w:szCs w:val="22"/>
          <w:lang w:val="en-US"/>
        </w:rPr>
      </w:pPr>
      <w:r>
        <w:rPr>
          <w:sz w:val="22"/>
          <w:szCs w:val="22"/>
          <w:lang w:val="en-US"/>
        </w:rPr>
      </w:r>
      <w:r>
        <w:br w:type="page"/>
      </w:r>
    </w:p>
    <w:p>
      <w:pPr>
        <w:pStyle w:val="FWExhibitL1"/>
        <w:numPr>
          <w:ilvl w:val="0"/>
          <w:numId w:val="0"/>
        </w:numPr>
        <w:ind w:hanging="0" w:start="0"/>
        <w:jc w:val="start"/>
        <w:rPr/>
      </w:pPr>
      <w:r>
        <w:rPr>
          <w:rStyle w:val="FWOutL2Char"/>
          <w:b/>
          <w:caps/>
          <w:sz w:val="22"/>
          <w:szCs w:val="22"/>
        </w:rPr>
        <w:t>Attachment 5-h:</w:t>
        <w:tab/>
        <w:tab/>
        <w:t>pre-employment screening</w:t>
      </w:r>
    </w:p>
    <w:p>
      <w:pPr>
        <w:pStyle w:val="Normal"/>
        <w:jc w:val="both"/>
        <w:rPr/>
      </w:pPr>
      <w:r>
        <w:rPr>
          <w:sz w:val="22"/>
          <w:szCs w:val="22"/>
        </w:rPr>
        <w:t>T</w:t>
      </w:r>
      <w:r>
        <w:rPr>
          <w:sz w:val="22"/>
          <w:szCs w:val="22"/>
          <w:lang w:val="en-US"/>
        </w:rPr>
        <w:t>he requirements for Pre-Employment Screening are given as one of the Policies in Attachment 17-D (</w:t>
      </w:r>
      <w:r>
        <w:rPr>
          <w:i/>
          <w:sz w:val="22"/>
          <w:szCs w:val="22"/>
          <w:lang w:val="en-US"/>
        </w:rPr>
        <w:t>Policies</w:t>
      </w:r>
      <w:r>
        <w:rPr>
          <w:sz w:val="22"/>
          <w:szCs w:val="22"/>
          <w:lang w:val="en-US"/>
        </w:rPr>
        <w:t>) and will be included in the updated CD to be provided to the PST prior to Effective Date.</w:t>
      </w:r>
      <w:r>
        <w:br w:type="page"/>
      </w:r>
    </w:p>
    <w:p>
      <w:pPr>
        <w:pStyle w:val="FWExhibitL1"/>
        <w:numPr>
          <w:ilvl w:val="0"/>
          <w:numId w:val="0"/>
        </w:numPr>
        <w:ind w:hanging="0" w:start="0"/>
        <w:jc w:val="start"/>
        <w:rPr/>
      </w:pPr>
      <w:r>
        <w:rPr>
          <w:rStyle w:val="FWOutL2Char"/>
          <w:b/>
          <w:caps/>
          <w:sz w:val="22"/>
          <w:szCs w:val="22"/>
        </w:rPr>
        <w:t>attachment 5-i:</w:t>
        <w:tab/>
        <w:tab/>
        <w:t>Sensitive Functions</w:t>
      </w:r>
    </w:p>
    <w:p>
      <w:pPr>
        <w:pStyle w:val="FWExhibitL1"/>
        <w:numPr>
          <w:ilvl w:val="0"/>
          <w:numId w:val="0"/>
        </w:numPr>
        <w:ind w:hanging="0" w:start="0"/>
        <w:jc w:val="start"/>
        <w:rPr/>
      </w:pPr>
      <w:r>
        <w:rPr>
          <w:sz w:val="22"/>
          <w:szCs w:val="22"/>
        </w:rPr>
        <w:t>(</w:t>
      </w:r>
      <w:r>
        <w:rPr>
          <w:i/>
          <w:iCs/>
          <w:sz w:val="22"/>
          <w:szCs w:val="22"/>
        </w:rPr>
        <w:t>integriteitsgevoelige functies</w:t>
      </w:r>
      <w:r>
        <w:rPr>
          <w:sz w:val="22"/>
          <w:szCs w:val="22"/>
        </w:rPr>
        <w:t>)</w:t>
      </w:r>
    </w:p>
    <w:p>
      <w:pPr>
        <w:pStyle w:val="Normal"/>
        <w:rPr/>
      </w:pPr>
      <w:r>
        <w:rPr>
          <w:lang w:val="en-US"/>
        </w:rPr>
        <w:t>The provisions relating to sensitive functions are given in the separate document(s) labelled as Attachment 5-I (</w:t>
      </w:r>
      <w:r>
        <w:rPr>
          <w:i/>
          <w:lang w:val="en-US"/>
        </w:rPr>
        <w:t>Sensitive Functions</w:t>
      </w:r>
      <w:r>
        <w:rPr>
          <w:lang w:val="en-US"/>
        </w:rPr>
        <w:t xml:space="preserve">). </w:t>
      </w:r>
    </w:p>
    <w:p>
      <w:pPr>
        <w:pStyle w:val="Normal"/>
        <w:rPr>
          <w:lang w:val="en-US"/>
        </w:rPr>
      </w:pPr>
      <w:r>
        <w:rPr>
          <w:lang w:val="en-US"/>
        </w:rPr>
      </w:r>
      <w:r>
        <w:br w:type="page"/>
      </w:r>
    </w:p>
    <w:p>
      <w:pPr>
        <w:pStyle w:val="FWExhibitL1"/>
        <w:numPr>
          <w:ilvl w:val="0"/>
          <w:numId w:val="0"/>
        </w:numPr>
        <w:ind w:hanging="0" w:start="0"/>
        <w:jc w:val="start"/>
        <w:rPr/>
      </w:pPr>
      <w:r>
        <w:rPr>
          <w:rStyle w:val="FWOutL2Char"/>
          <w:b/>
          <w:caps/>
          <w:sz w:val="22"/>
        </w:rPr>
        <w:t>attachment 5-j:</w:t>
        <w:tab/>
        <w:tab/>
        <w:t>harmonisation costS</w:t>
      </w:r>
    </w:p>
    <w:p>
      <w:pPr>
        <w:pStyle w:val="Normal"/>
        <w:rPr/>
      </w:pPr>
      <w:r>
        <w:rPr>
          <w:sz w:val="22"/>
          <w:szCs w:val="22"/>
          <w:lang w:val="en-US"/>
        </w:rPr>
        <w:t>The provisions relating to Harmonisation Costs are given in the separate document(s) labelled as Attachment 5-J (</w:t>
      </w:r>
      <w:r>
        <w:rPr>
          <w:i/>
          <w:sz w:val="22"/>
          <w:szCs w:val="22"/>
          <w:lang w:val="en-US"/>
        </w:rPr>
        <w:t>Harmonisation Costs</w:t>
      </w:r>
      <w:r>
        <w:rPr>
          <w:sz w:val="22"/>
          <w:szCs w:val="22"/>
          <w:lang w:val="en-US"/>
        </w:rPr>
        <w:t xml:space="preserve">). </w:t>
      </w:r>
    </w:p>
    <w:p>
      <w:pPr>
        <w:pStyle w:val="Normal"/>
        <w:rPr>
          <w:sz w:val="22"/>
          <w:szCs w:val="22"/>
          <w:lang w:val="en-US"/>
        </w:rPr>
      </w:pPr>
      <w:r>
        <w:rPr>
          <w:sz w:val="22"/>
          <w:szCs w:val="22"/>
          <w:lang w:val="en-US"/>
        </w:rPr>
      </w:r>
    </w:p>
    <w:p>
      <w:pPr>
        <w:pStyle w:val="Normal"/>
        <w:rPr>
          <w:sz w:val="22"/>
          <w:szCs w:val="22"/>
          <w:lang w:val="en-US"/>
        </w:rPr>
      </w:pPr>
      <w:r>
        <w:rPr>
          <w:sz w:val="22"/>
          <w:szCs w:val="22"/>
          <w:lang w:val="en-US"/>
        </w:rPr>
      </w:r>
    </w:p>
    <w:sectPr>
      <w:headerReference w:type="default" r:id="rId8"/>
      <w:headerReference w:type="first" r:id="rId9"/>
      <w:footerReference w:type="default" r:id="rId10"/>
      <w:footerReference w:type="first" r:id="rId11"/>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Arial Unicode MS">
    <w:charset w:val="80"/>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32"/>
      <w:rPr/>
    </w:pPr>
    <w:bookmarkStart w:id="0" w:name="_Ref125862039"/>
    <w:bookmarkEnd w:id="0"/>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right" w:pos="8280" w:leader="none"/>
      </w:tabs>
      <w:ind w:end="32"/>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r>
      <w:rPr/>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560" w:leader="none"/>
        <w:tab w:val="right" w:pos="8280" w:leader="none"/>
      </w:tabs>
      <w:ind w:end="32"/>
      <w:rPr/>
    </w:pPr>
    <w:r>
      <w:rPr/>
      <w:t>Ops&amp;IT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28</w:t>
    </w:r>
    <w:r>
      <w:rPr>
        <w:rStyle w:val="PageNumber"/>
      </w:rPr>
      <w:fldChar w:fldCharType="end"/>
    </w:r>
    <w:r>
      <w:rPr/>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drawing>
        <wp:inline distT="0" distB="0" distL="0" distR="0">
          <wp:extent cx="1149985" cy="34417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5 (Human Resource Provisions) Final v1.7.DOC</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drawing>
        <wp:inline distT="0" distB="0" distL="0" distR="0">
          <wp:extent cx="1149985" cy="34417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5 (Human Resource Provisions) Final v1.7.DOC</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left" w:pos="0" w:leader="none"/>
        <w:tab w:val="center" w:pos="4560" w:leader="none"/>
        <w:tab w:val="right" w:pos="8280" w:leader="none"/>
      </w:tabs>
      <w:jc w:val="start"/>
      <w:rPr/>
    </w:pPr>
    <w:r>
      <w:rPr/>
      <w:drawing>
        <wp:inline distT="0" distB="0" distL="0" distR="0">
          <wp:extent cx="1149985" cy="34417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5 (Human Resource Provisions) Final v1.7.DOC</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926"/>
        </w:tabs>
        <w:ind w:start="926" w:hanging="360"/>
      </w:pPr>
      <w:rPr>
        <w:rFonts w:ascii="Symbol" w:hAnsi="Symbol" w:cs="Symbol" w:hint="default"/>
      </w:rPr>
    </w:lvl>
  </w:abstractNum>
  <w:abstractNum w:abstractNumId="5">
    <w:lvl w:ilvl="0">
      <w:start w:val="1"/>
      <w:numFmt w:val="bullet"/>
      <w:lvlText w:val=""/>
      <w:lvlJc w:val="start"/>
      <w:pPr>
        <w:tabs>
          <w:tab w:val="num" w:pos="643"/>
        </w:tabs>
        <w:ind w:start="643"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720"/>
        </w:tabs>
        <w:ind w:start="720" w:hanging="720"/>
      </w:pPr>
      <w:rPr>
        <w:sz w:val="24"/>
        <w:i w:val="false"/>
        <w:b/>
        <w:szCs w:val="24"/>
        <w:rFonts w:ascii="Times New Roman" w:hAnsi="Times New Roman" w:cs="Times New Roman"/>
      </w:rPr>
    </w:lvl>
    <w:lvl w:ilvl="1">
      <w:start w:val="1"/>
      <w:numFmt w:val="decimal"/>
      <w:lvlText w:val="%1.%2"/>
      <w:lvlJc w:val="start"/>
      <w:pPr>
        <w:tabs>
          <w:tab w:val="num" w:pos="720"/>
        </w:tabs>
        <w:ind w:start="720" w:hanging="720"/>
      </w:pPr>
      <w:rPr>
        <w:sz w:val="24"/>
        <w:i w:val="false"/>
        <w:b/>
        <w:szCs w:val="24"/>
        <w:rFonts w:ascii="Times New Roman" w:hAnsi="Times New Roman" w:cs="Times New Roman"/>
      </w:rPr>
    </w:lvl>
    <w:lvl w:ilvl="2">
      <w:start w:val="1"/>
      <w:numFmt w:val="decimal"/>
      <w:lvlText w:val="%3%1.%2.a"/>
      <w:lvlJc w:val="start"/>
      <w:pPr>
        <w:tabs>
          <w:tab w:val="num" w:pos="720"/>
        </w:tabs>
        <w:ind w:start="720" w:hanging="720"/>
      </w:pPr>
      <w:rPr>
        <w:sz w:val="22"/>
        <w:i w:val="false"/>
        <w:b/>
        <w:szCs w:val="22"/>
        <w:rFonts w:ascii="Times New Roman" w:hAnsi="Times New Roman" w:cs="Times New Roman"/>
      </w:rPr>
    </w:lvl>
    <w:lvl w:ilvl="3">
      <w:start w:val="1"/>
      <w:numFmt w:val="decimal"/>
      <w:lvlText w:val="%4%1.%2.a.i"/>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8">
    <w:lvl w:ilvl="0">
      <w:start w:val="1"/>
      <w:numFmt w:val="decimal"/>
      <w:suff w:val="nothing"/>
      <w:lvlText w:val="Exhibit %1 "/>
      <w:lvlJc w:val="start"/>
      <w:pPr>
        <w:tabs>
          <w:tab w:val="num" w:pos="0"/>
        </w:tabs>
        <w:ind w:start="0" w:hanging="0"/>
      </w:pPr>
      <w:rPr>
        <w:caps/>
        <w:sz w:val="24"/>
        <w:i w:val="false"/>
        <w:u w:val="none"/>
        <w:b/>
        <w:rFonts w:ascii="Times New Roman" w:hAnsi="Times New Roman" w:cs="Times New Roman"/>
        <w:color w:val="000000"/>
      </w:rPr>
    </w:lvl>
    <w:lvl w:ilvl="1">
      <w:start w:val="1"/>
      <w:numFmt w:val="decimal"/>
      <w:lvlText w:val="%2."/>
      <w:lvlJc w:val="start"/>
      <w:pPr>
        <w:tabs>
          <w:tab w:val="num" w:pos="720"/>
        </w:tabs>
        <w:ind w:start="0" w:hanging="0"/>
      </w:pPr>
      <w:rPr>
        <w:smallCaps w:val="false"/>
        <w:caps w:val="false"/>
        <w:sz w:val="24"/>
        <w:i w:val="false"/>
        <w:u w:val="none"/>
        <w:b/>
        <w:rFonts w:ascii="Times New Roman" w:hAnsi="Times New Roman" w:cs="Times New Roman"/>
        <w:color w:val="000000"/>
      </w:rPr>
    </w:lvl>
    <w:lvl w:ilvl="2">
      <w:start w:val="1"/>
      <w:numFmt w:val="decimal"/>
      <w:lvlText w:val="%3."/>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3">
      <w:start w:val="1"/>
      <w:numFmt w:val="decimal"/>
      <w:lvlText w:val="%2.%4"/>
      <w:lvlJc w:val="start"/>
      <w:pPr>
        <w:tabs>
          <w:tab w:val="num" w:pos="720"/>
        </w:tabs>
        <w:ind w:start="0" w:hanging="0"/>
      </w:pPr>
      <w:rPr>
        <w:smallCaps w:val="false"/>
        <w:caps w:val="false"/>
        <w:sz w:val="24"/>
        <w:i w:val="false"/>
        <w:u w:val="none"/>
        <w:b w:val="false"/>
        <w:rFonts w:ascii="Times New Roman" w:hAnsi="Times New Roman" w:cs="Times New Roman"/>
        <w:color w:val="000000"/>
      </w:rPr>
    </w:lvl>
    <w:lvl w:ilvl="4">
      <w:start w:val="1"/>
      <w:numFmt w:val="lowerLetter"/>
      <w:lvlText w:val="(%5)"/>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5">
      <w:start w:val="1"/>
      <w:numFmt w:val="lowerRoman"/>
      <w:lvlText w:val="(%6)"/>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6">
      <w:start w:val="1"/>
      <w:numFmt w:val="upperLetter"/>
      <w:lvlText w:val="(%7)"/>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7">
      <w:start w:val="1"/>
      <w:numFmt w:val="upperRoman"/>
      <w:lvlText w:val="(%8)"/>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8">
      <w:start w:val="27"/>
      <w:numFmt w:val="lowerLetter"/>
      <w:lvlText w:val="(%9)"/>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abstractNum>
  <w:abstractNum w:abstractNumId="9">
    <w:lvl w:ilvl="0">
      <w:start w:val="1"/>
      <w:numFmt w:val="decimal"/>
      <w:lvlText w:val="(%1)"/>
      <w:lvlJc w:val="start"/>
      <w:pPr>
        <w:tabs>
          <w:tab w:val="num" w:pos="720"/>
        </w:tabs>
        <w:ind w:start="720" w:hanging="720"/>
      </w:pPr>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decimal"/>
      <w:lvlText w:val="%1."/>
      <w:lvlJc w:val="start"/>
      <w:pPr>
        <w:tabs>
          <w:tab w:val="num" w:pos="720"/>
        </w:tabs>
        <w:ind w:start="0" w:hanging="0"/>
      </w:pPr>
      <w:rPr>
        <w:smallCaps w:val="false"/>
        <w:caps w:val="false"/>
        <w:sz w:val="22"/>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sz w:val="22"/>
        <w:i w:val="false"/>
        <w:u w:val="none"/>
        <w:b/>
        <w:rFonts w:ascii="Times New Roman" w:hAnsi="Times New Roman" w:cs="Times New Roman"/>
        <w:color w:val="000000"/>
      </w:rPr>
    </w:lvl>
    <w:lvl w:ilvl="2">
      <w:start w:val="1"/>
      <w:numFmt w:val="decimal"/>
      <w:lvlText w:val="%1.%2.%3"/>
      <w:lvlJc w:val="start"/>
      <w:pPr>
        <w:tabs>
          <w:tab w:val="num" w:pos="940"/>
        </w:tabs>
        <w:ind w:start="220" w:hanging="0"/>
      </w:pPr>
      <w:rPr>
        <w:smallCaps w:val="false"/>
        <w:caps w:val="false"/>
        <w:sz w:val="22"/>
        <w:i w:val="false"/>
        <w:u w:val="none"/>
        <w:b w:val="false"/>
        <w:rFonts w:ascii="Times New Roman" w:hAnsi="Times New Roman" w:cs="Times New Roman"/>
        <w:color w:val="000000"/>
      </w:rPr>
    </w:lvl>
    <w:lvl w:ilvl="3">
      <w:start w:val="1"/>
      <w:numFmt w:val="lowerLetter"/>
      <w:lvlText w:val="(%4)"/>
      <w:lvlJc w:val="start"/>
      <w:pPr>
        <w:tabs>
          <w:tab w:val="num" w:pos="720"/>
        </w:tabs>
        <w:ind w:start="720" w:hanging="720"/>
      </w:pPr>
      <w:rPr>
        <w:smallCaps w:val="false"/>
        <w:caps w:val="false"/>
        <w:sz w:val="22"/>
        <w:i w:val="false"/>
        <w:u w:val="none"/>
        <w:b w:val="false"/>
        <w:rFonts w:ascii="Times New Roman" w:hAnsi="Times New Roman" w:cs="Times New Roman"/>
        <w:color w:val="000000"/>
      </w:rPr>
    </w:lvl>
    <w:lvl w:ilvl="4">
      <w:start w:val="1"/>
      <w:numFmt w:val="lowerRoman"/>
      <w:lvlText w:val="(%5)"/>
      <w:lvlJc w:val="end"/>
      <w:pPr>
        <w:tabs>
          <w:tab w:val="num" w:pos="1440"/>
        </w:tabs>
        <w:ind w:start="1440" w:hanging="216"/>
      </w:pPr>
      <w:rPr>
        <w:smallCaps w:val="false"/>
        <w:caps w:val="false"/>
        <w:sz w:val="22"/>
        <w:i w:val="false"/>
        <w:u w:val="none"/>
        <w:b w:val="false"/>
        <w:rFonts w:ascii="Times New Roman" w:hAnsi="Times New Roman" w:cs="Times New Roman"/>
        <w:color w:val="000000"/>
      </w:rPr>
    </w:lvl>
    <w:lvl w:ilvl="5">
      <w:start w:val="1"/>
      <w:numFmt w:val="upperLetter"/>
      <w:lvlText w:val="(%6)"/>
      <w:lvlJc w:val="start"/>
      <w:pPr>
        <w:tabs>
          <w:tab w:val="num" w:pos="2160"/>
        </w:tabs>
        <w:ind w:start="2160" w:hanging="720"/>
      </w:pPr>
      <w:rPr>
        <w:smallCaps w:val="false"/>
        <w:caps w:val="false"/>
        <w:sz w:val="22"/>
        <w:i w:val="false"/>
        <w:u w:val="none"/>
        <w:b w:val="false"/>
        <w:rFonts w:ascii="Times New Roman" w:hAnsi="Times New Roman" w:cs="Times New Roman"/>
        <w:color w:val="000000"/>
      </w:rPr>
    </w:lvl>
    <w:lvl w:ilvl="6">
      <w:start w:val="1"/>
      <w:numFmt w:val="upperRoman"/>
      <w:lvlText w:val="(%7)"/>
      <w:lvlJc w:val="end"/>
      <w:pPr>
        <w:tabs>
          <w:tab w:val="num" w:pos="2880"/>
        </w:tabs>
        <w:ind w:start="2880" w:hanging="216"/>
      </w:pPr>
      <w:rPr>
        <w:smallCaps w:val="false"/>
        <w:caps w:val="false"/>
        <w:sz w:val="22"/>
        <w:i w:val="false"/>
        <w:u w:val="none"/>
        <w:b w:val="false"/>
        <w:rFonts w:ascii="Times New Roman" w:hAnsi="Times New Roman" w:cs="Times New Roman"/>
        <w:color w:val="000000"/>
      </w:rPr>
    </w:lvl>
    <w:lvl w:ilvl="7">
      <w:start w:val="27"/>
      <w:numFmt w:val="lowerLetter"/>
      <w:lvlText w:val="(%8)"/>
      <w:lvlJc w:val="start"/>
      <w:pPr>
        <w:tabs>
          <w:tab w:val="num" w:pos="3600"/>
        </w:tabs>
        <w:ind w:start="3600" w:hanging="720"/>
      </w:pPr>
      <w:rPr>
        <w:smallCaps w:val="false"/>
        <w:caps w:val="false"/>
        <w:sz w:val="22"/>
        <w:i w:val="false"/>
        <w:u w:val="none"/>
        <w:b w:val="false"/>
        <w:rFonts w:ascii="Times New Roman" w:hAnsi="Times New Roman" w:cs="Times New Roman"/>
        <w:color w:val="000000"/>
      </w:rPr>
    </w:lvl>
    <w:lvl w:ilvl="8">
      <w:start w:val="1"/>
      <w:numFmt w:val="decimal"/>
      <w:lvlText w:val="(%9)"/>
      <w:lvlJc w:val="start"/>
      <w:pPr>
        <w:tabs>
          <w:tab w:val="num" w:pos="4320"/>
        </w:tabs>
        <w:ind w:start="4320" w:hanging="720"/>
      </w:pPr>
      <w:rPr>
        <w:smallCaps w:val="false"/>
        <w:caps w:val="false"/>
        <w:sz w:val="22"/>
        <w:i w:val="false"/>
        <w:u w:val="none"/>
        <w:b w:val="false"/>
        <w:rFonts w:ascii="Times New Roman" w:hAnsi="Times New Roman" w:cs="Times New Roman"/>
        <w:color w:val="000000"/>
      </w:rPr>
    </w:lvl>
  </w:abstractNum>
  <w:abstractNum w:abstractNumId="12">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13">
    <w:lvl w:ilvl="0">
      <w:start w:val="1"/>
      <w:numFmt w:val="none"/>
      <w:suff w:val="nothing"/>
      <w:lvlText w:val=""/>
      <w:lvlJc w:val="start"/>
      <w:pPr>
        <w:tabs>
          <w:tab w:val="num" w:pos="0"/>
        </w:tabs>
        <w:ind w:start="0" w:hanging="0"/>
      </w:pPr>
      <w:rPr>
        <w:smallCaps w:val="false"/>
        <w:caps w:val="false"/>
        <w:sz w:val="24"/>
        <w:i w:val="false"/>
        <w:u w:val="none"/>
        <w:b w:val="false"/>
        <w:rFonts w:ascii="Times New Roman" w:hAnsi="Times New Roman" w:cs="Times New Roman"/>
        <w:color w:val="000000"/>
      </w:rPr>
    </w:lvl>
    <w:lvl w:ilvl="1">
      <w:start w:val="1"/>
      <w:numFmt w:val="lowerLetter"/>
      <w:lvlText w:val="(%2)"/>
      <w:lvlJc w:val="start"/>
      <w:pPr>
        <w:tabs>
          <w:tab w:val="num" w:pos="720"/>
        </w:tabs>
        <w:ind w:start="720" w:hanging="720"/>
      </w:pPr>
      <w:rPr>
        <w:smallCaps w:val="false"/>
        <w:caps w:val="false"/>
        <w:sz w:val="24"/>
        <w:i w:val="false"/>
        <w:u w:val="none"/>
        <w:b w:val="false"/>
        <w:rFonts w:ascii="Times New Roman" w:hAnsi="Times New Roman" w:cs="Times New Roman"/>
        <w:color w:val="000000"/>
      </w:rPr>
    </w:lvl>
    <w:lvl w:ilvl="2">
      <w:start w:val="1"/>
      <w:numFmt w:val="lowerRoman"/>
      <w:lvlText w:val="(%3)"/>
      <w:lvlJc w:val="end"/>
      <w:pPr>
        <w:tabs>
          <w:tab w:val="num" w:pos="1440"/>
        </w:tabs>
        <w:ind w:start="1440" w:hanging="216"/>
      </w:pPr>
      <w:rPr>
        <w:smallCaps w:val="false"/>
        <w:caps w:val="false"/>
        <w:sz w:val="24"/>
        <w:i w:val="false"/>
        <w:u w:val="none"/>
        <w:b w:val="false"/>
        <w:rFonts w:ascii="Times New Roman" w:hAnsi="Times New Roman" w:cs="Times New Roman"/>
        <w:color w:val="000000"/>
      </w:rPr>
    </w:lvl>
    <w:lvl w:ilvl="3">
      <w:start w:val="1"/>
      <w:numFmt w:val="upperLetter"/>
      <w:lvlText w:val="(%4)"/>
      <w:lvlJc w:val="start"/>
      <w:pPr>
        <w:tabs>
          <w:tab w:val="num" w:pos="2160"/>
        </w:tabs>
        <w:ind w:start="2160" w:hanging="720"/>
      </w:pPr>
      <w:rPr>
        <w:smallCaps w:val="false"/>
        <w:caps w:val="false"/>
        <w:sz w:val="24"/>
        <w:i w:val="false"/>
        <w:u w:val="none"/>
        <w:b w:val="false"/>
        <w:rFonts w:ascii="Times New Roman" w:hAnsi="Times New Roman" w:cs="Times New Roman"/>
        <w:color w:val="000000"/>
      </w:rPr>
    </w:lvl>
    <w:lvl w:ilvl="4">
      <w:start w:val="1"/>
      <w:numFmt w:val="upperRoman"/>
      <w:lvlText w:val="(%5)"/>
      <w:lvlJc w:val="end"/>
      <w:pPr>
        <w:tabs>
          <w:tab w:val="num" w:pos="2880"/>
        </w:tabs>
        <w:ind w:start="2880" w:hanging="216"/>
      </w:pPr>
      <w:rPr>
        <w:smallCaps w:val="false"/>
        <w:caps w:val="false"/>
        <w:sz w:val="24"/>
        <w:i w:val="false"/>
        <w:u w:val="none"/>
        <w:b w:val="false"/>
        <w:rFonts w:ascii="Times New Roman" w:hAnsi="Times New Roman" w:cs="Times New Roman"/>
        <w:color w:val="000000"/>
      </w:rPr>
    </w:lvl>
    <w:lvl w:ilvl="5">
      <w:start w:val="27"/>
      <w:numFmt w:val="lowerLetter"/>
      <w:lvlText w:val="(%6)"/>
      <w:lvlJc w:val="start"/>
      <w:pPr>
        <w:tabs>
          <w:tab w:val="num" w:pos="3600"/>
        </w:tabs>
        <w:ind w:start="3600" w:hanging="720"/>
      </w:pPr>
      <w:rPr>
        <w:smallCaps w:val="false"/>
        <w:caps w:val="false"/>
        <w:sz w:val="24"/>
        <w:i w:val="false"/>
        <w:u w:val="none"/>
        <w:b w:val="false"/>
        <w:rFonts w:ascii="Times New Roman" w:hAnsi="Times New Roman" w:cs="Times New Roman"/>
        <w:color w:val="000000"/>
      </w:rPr>
    </w:lvl>
    <w:lvl w:ilvl="6">
      <w:start w:val="1"/>
      <w:numFmt w:val="decimal"/>
      <w:lvlText w:val="(%7)"/>
      <w:lvlJc w:val="start"/>
      <w:pPr>
        <w:tabs>
          <w:tab w:val="num" w:pos="4320"/>
        </w:tabs>
        <w:ind w:start="4320" w:hanging="720"/>
      </w:pPr>
      <w:rPr>
        <w:smallCaps w:val="false"/>
        <w:caps w:val="false"/>
        <w:sz w:val="24"/>
        <w:i w:val="false"/>
        <w:u w:val="none"/>
        <w:b w:val="false"/>
        <w:rFonts w:ascii="Times New Roman" w:hAnsi="Times New Roman" w:cs="Times New Roman"/>
        <w:color w:val="000000"/>
      </w:rPr>
    </w:lvl>
    <w:lvl w:ilvl="7">
      <w:start w:val="1"/>
      <w:numFmt w:val="lowerRoman"/>
      <w:lvlText w:val="%8."/>
      <w:lvlJc w:val="start"/>
      <w:pPr>
        <w:tabs>
          <w:tab w:val="num" w:pos="5760"/>
        </w:tabs>
        <w:ind w:start="0" w:firstLine="5040"/>
      </w:pPr>
      <w:rPr>
        <w:smallCaps w:val="false"/>
        <w:caps w:val="false"/>
        <w:sz w:val="24"/>
        <w:i w:val="false"/>
        <w:u w:val="none"/>
        <w:b w:val="false"/>
        <w:rFonts w:ascii="Times New Roman" w:hAnsi="Times New Roman" w:cs="Times New Roman"/>
        <w:color w:val="000000"/>
      </w:rPr>
    </w:lvl>
    <w:lvl w:ilvl="8">
      <w:start w:val="1"/>
      <w:numFmt w:val="decimal"/>
      <w:lvlText w:val="%9."/>
      <w:lvlJc w:val="start"/>
      <w:pPr>
        <w:tabs>
          <w:tab w:val="num" w:pos="6480"/>
        </w:tabs>
        <w:ind w:start="0" w:firstLine="5760"/>
      </w:pPr>
      <w:rPr>
        <w:smallCaps w:val="false"/>
        <w:caps w:val="false"/>
        <w:sz w:val="24"/>
        <w:i w:val="false"/>
        <w:u w:val="none"/>
        <w:b w:val="false"/>
        <w:rFonts w:ascii="Times New Roman" w:hAnsi="Times New Roman" w:cs="Times New Roman"/>
        <w:color w:val="000000"/>
      </w:rPr>
    </w:lvl>
  </w:abstractNum>
  <w:abstractNum w:abstractNumId="14">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5">
    <w:lvl w:ilvl="0">
      <w:start w:val="1"/>
      <w:numFmt w:val="upperLetter"/>
      <w:lvlText w:val="(%1)"/>
      <w:lvlJc w:val="start"/>
      <w:pPr>
        <w:tabs>
          <w:tab w:val="num" w:pos="360"/>
        </w:tabs>
        <w:ind w:star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Brechje Nollen"/>
    <w:docVar w:name="authEmail" w:val="brechje.nollen@freshfields.com"/>
    <w:docVar w:name="authExtension" w:val="7626"/>
    <w:docVar w:name="authFax" w:val="31 20 572 7626"/>
    <w:docVar w:name="authId" w:val="BNOLLEN"/>
    <w:docVar w:name="authInitials" w:val="BN"/>
    <w:docVar w:name="authLocation" w:val="Amsterdam"/>
    <w:docVar w:name="authName" w:val="Nollen, Brechje"/>
    <w:docVar w:name="authPhone" w:val="31 20 485 7626"/>
    <w:docVar w:name="ClientNum" w:val="80750"/>
    <w:docVar w:name="docClass" w:val="-NONE-"/>
    <w:docVar w:name="docClient" w:val="104955"/>
    <w:docVar w:name="docCliMat" w:val="104955-0076"/>
    <w:docVar w:name="docDesc" w:val="ING/SWS Exhibit 5 - (5 december 2006) consistency check"/>
    <w:docVar w:name="docGroup" w:val="document"/>
    <w:docVar w:name="docId" w:val="AMS127422"/>
    <w:docVar w:name="docIdVer" w:val="AMS127422/2"/>
    <w:docVar w:name="docLangId" w:val="2057"/>
    <w:docVar w:name="docLanguage" w:val="EN(UK)"/>
    <w:docVar w:name="docMatter" w:val="0076"/>
    <w:docVar w:name="DocName" w:val="ING-Exh 5 - versie 15062006 (EMAK)"/>
    <w:docVar w:name="DocRef" w:val="AMEM:203610.2"/>
    <w:docVar w:name="docTemplate" w:val="document_english_portrait_a4.xml"/>
    <w:docVar w:name="docType" w:val="New Document"/>
    <w:docVar w:name="docVersion" w:val="2"/>
    <w:docVar w:name="MatterNum" w:val="00002"/>
    <w:docVar w:name="operClass" w:val="Fee Earner"/>
    <w:docVar w:name="operCorresp" w:val="Brechje Nollen"/>
    <w:docVar w:name="operEmail" w:val="brechje.nollen@freshfields.com"/>
    <w:docVar w:name="operExtension" w:val="7626"/>
    <w:docVar w:name="operFax" w:val="31 20 572 7626"/>
    <w:docVar w:name="operId" w:val="BNOLLEN"/>
    <w:docVar w:name="operInitials" w:val="BN"/>
    <w:docVar w:name="operLocation" w:val="Amsterdam"/>
    <w:docVar w:name="operName" w:val="Nollen, Brechje"/>
    <w:docVar w:name="operPhone" w:val="31 20 485 7626"/>
    <w:docVar w:name="zzmpFixedCurScheme" w:val="FWB"/>
    <w:docVar w:name="zzmpFixedCurScheme_9.0" w:val="1zzmpFWB"/>
    <w:docVar w:name="zzmpFWB" w:val="||FW Body Text|2|3|0|1|0|49||1|0|32||1|0|32||1|0|32||1|0|32||1|0|32||1|0|32||1|0|32||mpNA||"/>
    <w:docVar w:name="zzmpFWExhibit" w:val="||FW Exhibit|2|3|1|4|0|41||1|0|49||1|0|32||1|0|32||1|0|32||1|0|32||1|0|32||1|0|32||1|0|32||"/>
    <w:docVar w:name="zzmpFWOut" w:val="||FW Outsourcing|2|3|0|1|2|41||1|2|33||1|0|32||1|0|32||1|0|32||1|0|32||1|0|32||1|0|32||1|0|32||"/>
    <w:docVar w:name="zzmpLTFontsClean" w:val="True"/>
    <w:docVar w:name="zzmpnSession" w:val="0,38790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Arial Unicode MS"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Times New Roman" w:hAnsi="Times New Roman" w:cs="Times New Roman"/>
      <w:b/>
      <w:i w:val="false"/>
      <w:sz w:val="24"/>
      <w:szCs w:val="24"/>
    </w:rPr>
  </w:style>
  <w:style w:type="character" w:styleId="WW8Num6z2">
    <w:name w:val="WW8Num6z2"/>
    <w:qFormat/>
    <w:rPr>
      <w:rFonts w:ascii="Times New Roman" w:hAnsi="Times New Roman" w:cs="Times New Roman"/>
      <w:b/>
      <w:i w:val="false"/>
      <w:sz w:val="22"/>
      <w:szCs w:val="22"/>
    </w:rPr>
  </w:style>
  <w:style w:type="character" w:styleId="WW8Num6z3">
    <w:name w:val="WW8Num6z3"/>
    <w:qFormat/>
    <w:rPr>
      <w:rFonts w:ascii="Times New Roman Bold;Times New Roman" w:hAnsi="Times New Roman Bold;Times New Roman" w:cs="Times New Roman Bold;Times New Roman"/>
      <w:b/>
      <w:i w:val="false"/>
      <w:sz w:val="24"/>
    </w:rPr>
  </w:style>
  <w:style w:type="character" w:styleId="WW8Num6z4">
    <w:name w:val="WW8Num6z4"/>
    <w:qFormat/>
    <w:rPr>
      <w:rFonts w:ascii="Times New Roman" w:hAnsi="Times New Roman" w:cs="Times New Roman"/>
      <w:b w:val="false"/>
      <w:i w:val="false"/>
      <w:sz w:val="22"/>
    </w:rPr>
  </w:style>
  <w:style w:type="character" w:styleId="WW8Num6z8">
    <w:name w:val="WW8Num6z8"/>
    <w:qFormat/>
    <w:rPr/>
  </w:style>
  <w:style w:type="character" w:styleId="WW8Num7z0">
    <w:name w:val="WW8Num7z0"/>
    <w:qFormat/>
    <w:rPr>
      <w:rFonts w:ascii="Times New Roman" w:hAnsi="Times New Roman" w:cs="Times New Roman"/>
      <w:b/>
      <w:i w:val="false"/>
      <w:caps/>
      <w:color w:val="000000"/>
      <w:sz w:val="24"/>
      <w:u w:val="none"/>
    </w:rPr>
  </w:style>
  <w:style w:type="character" w:styleId="WW8Num7z1">
    <w:name w:val="WW8Num7z1"/>
    <w:qFormat/>
    <w:rPr>
      <w:rFonts w:ascii="Times New Roman" w:hAnsi="Times New Roman" w:cs="Times New Roman"/>
      <w:b/>
      <w:i w:val="false"/>
      <w:caps w:val="false"/>
      <w:smallCaps w:val="false"/>
      <w:color w:val="000000"/>
      <w:sz w:val="24"/>
      <w:u w:val="none"/>
    </w:rPr>
  </w:style>
  <w:style w:type="character" w:styleId="WW8Num7z2">
    <w:name w:val="WW8Num7z2"/>
    <w:qFormat/>
    <w:rPr>
      <w:rFonts w:ascii="Times New Roman" w:hAnsi="Times New Roman" w:cs="Times New Roman"/>
      <w:b w:val="false"/>
      <w:i w:val="false"/>
      <w:caps w:val="false"/>
      <w:smallCaps w:val="false"/>
      <w:color w:val="000000"/>
      <w:sz w:val="24"/>
      <w:u w:val="none"/>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i w:val="false"/>
      <w:caps w:val="false"/>
      <w:smallCaps w:val="false"/>
      <w:color w:val="000000"/>
      <w:sz w:val="22"/>
      <w:u w:val="none"/>
    </w:rPr>
  </w:style>
  <w:style w:type="character" w:styleId="WW8Num10z2">
    <w:name w:val="WW8Num10z2"/>
    <w:qFormat/>
    <w:rPr>
      <w:rFonts w:ascii="Times New Roman" w:hAnsi="Times New Roman" w:cs="Times New Roman"/>
      <w:b w:val="false"/>
      <w:i w:val="false"/>
      <w:caps w:val="false"/>
      <w:smallCaps w:val="false"/>
      <w:color w:val="000000"/>
      <w:sz w:val="22"/>
      <w:u w:val="none"/>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aps w:val="false"/>
      <w:smallCaps w:val="false"/>
      <w:color w:val="000000"/>
      <w:sz w:val="24"/>
      <w:u w:val="none"/>
    </w:rPr>
  </w:style>
  <w:style w:type="character" w:styleId="WW8Num13z0">
    <w:name w:val="WW8Num13z0"/>
    <w:qFormat/>
    <w:rPr>
      <w:rFonts w:ascii="Times New Roman" w:hAnsi="Times New Roman" w:cs="Times New Roman"/>
      <w:b/>
      <w:i w:val="false"/>
      <w:caps w:val="false"/>
      <w:smallCaps w:val="false"/>
      <w:color w:val="000000"/>
      <w:u w:val="none"/>
    </w:rPr>
  </w:style>
  <w:style w:type="character" w:styleId="WW8Num13z1">
    <w:name w:val="WW8Num13z1"/>
    <w:qFormat/>
    <w:rPr>
      <w:rFonts w:ascii="Times New Roman" w:hAnsi="Times New Roman" w:cs="Times New Roman"/>
      <w:b w:val="false"/>
      <w:i w:val="false"/>
      <w:caps w:val="false"/>
      <w:smallCaps w:val="false"/>
      <w:color w:val="000000"/>
      <w:u w:val="none"/>
    </w:rPr>
  </w:style>
  <w:style w:type="character" w:styleId="WW8Num14z0">
    <w:name w:val="WW8Num14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CommentReference">
    <w:name w:val="Comment Reference"/>
    <w:basedOn w:val="DefaultParagraphFont"/>
    <w:qFormat/>
    <w:rPr>
      <w:sz w:val="16"/>
      <w:szCs w:val="16"/>
    </w:rPr>
  </w:style>
  <w:style w:type="character" w:styleId="DeltaViewInsertion">
    <w:name w:val="DeltaView Insertion"/>
    <w:qFormat/>
    <w:rPr>
      <w:color w:val="0000FF"/>
      <w:spacing w:val="0"/>
      <w:u w:val="double"/>
    </w:rPr>
  </w:style>
  <w:style w:type="character" w:styleId="DeltaViewDeletion">
    <w:name w:val="DeltaView Deletion"/>
    <w:qFormat/>
    <w:rPr>
      <w:strike/>
      <w:color w:val="FF0000"/>
      <w:spacing w:val="0"/>
    </w:rPr>
  </w:style>
  <w:style w:type="character" w:styleId="Body1Char">
    <w:name w:val="Body 1 Char"/>
    <w:basedOn w:val="DefaultParagraphFont"/>
    <w:qFormat/>
    <w:rPr>
      <w:rFonts w:ascii="Arial" w:hAnsi="Arial" w:eastAsia="MS Mincho;Arial Unicode MS" w:cs="Arial"/>
      <w:kern w:val="2"/>
      <w:sz w:val="24"/>
      <w:szCs w:val="24"/>
      <w:lang w:val="fr-BE" w:bidi="ar-SA"/>
    </w:rPr>
  </w:style>
  <w:style w:type="character" w:styleId="Strong">
    <w:name w:val="Strong"/>
    <w:basedOn w:val="DefaultParagraphFont"/>
    <w:qFormat/>
    <w:rPr>
      <w:b/>
      <w:bCs/>
    </w:rPr>
  </w:style>
  <w:style w:type="character" w:styleId="FWOutL1Char">
    <w:name w:val="FWOut_L1 Char"/>
    <w:basedOn w:val="DefaultParagraphFont"/>
    <w:qFormat/>
    <w:rPr>
      <w:rFonts w:eastAsia="MS Mincho;Arial Unicode MS"/>
      <w:b/>
      <w:caps/>
      <w:sz w:val="24"/>
      <w:lang w:val="en-GB" w:bidi="ar-SA"/>
    </w:rPr>
  </w:style>
  <w:style w:type="character" w:styleId="FWOutL2Char">
    <w:name w:val="FWOut_L2 Char"/>
    <w:basedOn w:val="FWOutL1Char"/>
    <w:qFormat/>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numPr>
        <w:ilvl w:val="0"/>
        <w:numId w:val="7"/>
      </w:numPr>
      <w:spacing w:before="240" w:after="120"/>
      <w:jc w:val="center"/>
    </w:pPr>
    <w:rPr>
      <w:b/>
      <w:caps/>
      <w:sz w:val="28"/>
      <w:lang w:val="en-US"/>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jc w:val="end"/>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9"/>
      </w:numPr>
    </w:pPr>
    <w:rPr/>
  </w:style>
  <w:style w:type="paragraph" w:styleId="FWRecital">
    <w:name w:val="FWRecital"/>
    <w:basedOn w:val="BodyText"/>
    <w:qFormat/>
    <w:pPr>
      <w:numPr>
        <w:ilvl w:val="0"/>
        <w:numId w:val="15"/>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6"/>
      </w:numPr>
    </w:pPr>
    <w:rPr/>
  </w:style>
  <w:style w:type="paragraph" w:styleId="ListBullet2">
    <w:name w:val="List Bullet 2"/>
    <w:basedOn w:val="Normal"/>
    <w:qFormat/>
    <w:pPr>
      <w:numPr>
        <w:ilvl w:val="0"/>
        <w:numId w:val="5"/>
      </w:numPr>
    </w:pPr>
    <w:rPr/>
  </w:style>
  <w:style w:type="paragraph" w:styleId="ListBullet3">
    <w:name w:val="List Bullet 3"/>
    <w:basedOn w:val="Normal"/>
    <w:qFormat/>
    <w:pPr>
      <w:numPr>
        <w:ilvl w:val="0"/>
        <w:numId w:val="4"/>
      </w:numPr>
    </w:pPr>
    <w:rPr/>
  </w:style>
  <w:style w:type="paragraph" w:styleId="ListBullet4">
    <w:name w:val="List Bullet 4"/>
    <w:basedOn w:val="Normal"/>
    <w:qFormat/>
    <w:pPr>
      <w:numPr>
        <w:ilvl w:val="0"/>
        <w:numId w:val="3"/>
      </w:numPr>
    </w:pPr>
    <w:rPr/>
  </w:style>
  <w:style w:type="paragraph" w:styleId="ListBullet5">
    <w:name w:val="List Bullet 5"/>
    <w:basedOn w:val="Normal"/>
    <w:qFormat/>
    <w:pPr>
      <w:numPr>
        <w:ilvl w:val="0"/>
        <w:numId w:val="2"/>
      </w:numPr>
    </w:pPr>
    <w:rPr/>
  </w:style>
  <w:style w:type="paragraph" w:styleId="Index2">
    <w:name w:val="index 2"/>
    <w:basedOn w:val="Normal"/>
    <w:next w:val="Normal"/>
    <w:pPr>
      <w:ind w:hanging="240" w:start="480" w:end="0"/>
    </w:pPr>
    <w:rPr/>
  </w:style>
  <w:style w:type="paragraph" w:styleId="Index3">
    <w:name w:val="index 3"/>
    <w:basedOn w:val="Normal"/>
    <w:next w:val="Normal"/>
    <w:pPr>
      <w:ind w:hanging="240" w:start="720" w:end="0"/>
    </w:pPr>
    <w:rPr/>
  </w:style>
  <w:style w:type="paragraph" w:styleId="Index4">
    <w:name w:val="Index 4"/>
    <w:basedOn w:val="Normal"/>
    <w:next w:val="Normal"/>
    <w:qFormat/>
    <w:pPr>
      <w:ind w:hanging="240" w:start="960" w:end="0"/>
    </w:pPr>
    <w:rPr/>
  </w:style>
  <w:style w:type="paragraph" w:styleId="Index5">
    <w:name w:val="Index 5"/>
    <w:basedOn w:val="Normal"/>
    <w:next w:val="Normal"/>
    <w:qFormat/>
    <w:pPr>
      <w:ind w:hanging="240" w:start="1200" w:end="0"/>
    </w:pPr>
    <w:rPr/>
  </w:style>
  <w:style w:type="paragraph" w:styleId="Index6">
    <w:name w:val="Index 6"/>
    <w:basedOn w:val="Normal"/>
    <w:next w:val="Normal"/>
    <w:qFormat/>
    <w:pPr>
      <w:ind w:hanging="240" w:start="1440" w:end="0"/>
    </w:pPr>
    <w:rPr/>
  </w:style>
  <w:style w:type="paragraph" w:styleId="Index7">
    <w:name w:val="Index 7"/>
    <w:basedOn w:val="Normal"/>
    <w:next w:val="Normal"/>
    <w:qFormat/>
    <w:pPr>
      <w:ind w:hanging="240" w:start="1680" w:end="0"/>
    </w:pPr>
    <w:rPr/>
  </w:style>
  <w:style w:type="paragraph" w:styleId="Index8">
    <w:name w:val="Index 8"/>
    <w:basedOn w:val="Normal"/>
    <w:next w:val="Normal"/>
    <w:qFormat/>
    <w:pPr>
      <w:ind w:hanging="240" w:start="1920" w:end="0"/>
    </w:pPr>
    <w:rPr/>
  </w:style>
  <w:style w:type="paragraph" w:styleId="Index9">
    <w:name w:val="Index 9"/>
    <w:basedOn w:val="Normal"/>
    <w:next w:val="Normal"/>
    <w:qFormat/>
    <w:pPr>
      <w:ind w:hanging="240" w:start="2160" w:end="0"/>
    </w:pPr>
    <w:rPr/>
  </w:style>
  <w:style w:type="paragraph" w:styleId="FSDraftReady">
    <w:name w:val="FSDraftReady"/>
    <w:basedOn w:val="BodyText"/>
    <w:next w:val="Header"/>
    <w:qFormat/>
    <w:pPr>
      <w:spacing w:before="0" w:after="0"/>
      <w:jc w:val="end"/>
    </w:pPr>
    <w:rPr>
      <w:sz w:val="36"/>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4"/>
      </w:numPr>
      <w:spacing w:before="0" w:after="240"/>
      <w:outlineLvl w:val="0"/>
    </w:pPr>
    <w:rPr>
      <w:b/>
      <w:smallCaps/>
      <w:szCs w:val="20"/>
    </w:rPr>
  </w:style>
  <w:style w:type="paragraph" w:styleId="FWBL2">
    <w:name w:val="FWB_L2"/>
    <w:basedOn w:val="FWBL1"/>
    <w:qFormat/>
    <w:pPr>
      <w:keepNext w:val="false"/>
      <w:keepLines w:val="false"/>
      <w:numPr>
        <w:ilvl w:val="0"/>
        <w:numId w:val="14"/>
      </w:numPr>
      <w:jc w:val="both"/>
      <w:outlineLvl w:val="9"/>
    </w:pPr>
    <w:rPr>
      <w:b w:val="false"/>
      <w:caps w:val="false"/>
      <w:smallCaps w:val="false"/>
    </w:rPr>
  </w:style>
  <w:style w:type="paragraph" w:styleId="FWBL3">
    <w:name w:val="FWB_L3"/>
    <w:basedOn w:val="FWBL2"/>
    <w:qFormat/>
    <w:pPr>
      <w:numPr>
        <w:ilvl w:val="0"/>
        <w:numId w:val="14"/>
      </w:numPr>
    </w:pPr>
    <w:rPr/>
  </w:style>
  <w:style w:type="paragraph" w:styleId="FWBL4">
    <w:name w:val="FWB_L4"/>
    <w:basedOn w:val="FWBL3"/>
    <w:qFormat/>
    <w:pPr>
      <w:numPr>
        <w:ilvl w:val="0"/>
        <w:numId w:val="14"/>
      </w:numPr>
    </w:pPr>
    <w:rPr/>
  </w:style>
  <w:style w:type="paragraph" w:styleId="FWBL5">
    <w:name w:val="FWB_L5"/>
    <w:basedOn w:val="FWBL4"/>
    <w:qFormat/>
    <w:pPr>
      <w:numPr>
        <w:ilvl w:val="0"/>
        <w:numId w:val="14"/>
      </w:numPr>
    </w:pPr>
    <w:rPr/>
  </w:style>
  <w:style w:type="paragraph" w:styleId="FWBL6">
    <w:name w:val="FWB_L6"/>
    <w:basedOn w:val="FWBL5"/>
    <w:qFormat/>
    <w:pPr>
      <w:numPr>
        <w:ilvl w:val="0"/>
        <w:numId w:val="14"/>
      </w:numPr>
    </w:pPr>
    <w:rPr/>
  </w:style>
  <w:style w:type="paragraph" w:styleId="FWBL7">
    <w:name w:val="FWB_L7"/>
    <w:basedOn w:val="FWBL6"/>
    <w:qFormat/>
    <w:pPr>
      <w:numPr>
        <w:ilvl w:val="0"/>
        <w:numId w:val="14"/>
      </w:numPr>
    </w:pPr>
    <w:rPr/>
  </w:style>
  <w:style w:type="paragraph" w:styleId="FWBL8">
    <w:name w:val="FWB_L8"/>
    <w:basedOn w:val="FWBL7"/>
    <w:qFormat/>
    <w:pPr>
      <w:numPr>
        <w:ilvl w:val="0"/>
        <w:numId w:val="14"/>
      </w:numPr>
    </w:pPr>
    <w:rPr/>
  </w:style>
  <w:style w:type="paragraph" w:styleId="FWOutCont1">
    <w:name w:val="FWOut Cont 1"/>
    <w:basedOn w:val="Normal"/>
    <w:qFormat/>
    <w:pPr>
      <w:spacing w:before="0" w:after="240"/>
      <w:jc w:val="both"/>
    </w:pPr>
    <w:rPr>
      <w:szCs w:val="20"/>
    </w:rPr>
  </w:style>
  <w:style w:type="paragraph" w:styleId="FWOutCont2">
    <w:name w:val="FWOut Cont 2"/>
    <w:basedOn w:val="FWOutCont1"/>
    <w:qFormat/>
    <w:pPr/>
    <w:rPr/>
  </w:style>
  <w:style w:type="paragraph" w:styleId="FWOutCont3">
    <w:name w:val="FWOut Cont 3"/>
    <w:basedOn w:val="FWOutCont2"/>
    <w:qFormat/>
    <w:pPr/>
    <w:rPr/>
  </w:style>
  <w:style w:type="paragraph" w:styleId="FWOutCont4">
    <w:name w:val="FWOut Cont 4"/>
    <w:basedOn w:val="FWOutCont3"/>
    <w:qFormat/>
    <w:pPr>
      <w:ind w:hanging="0" w:start="720" w:end="0"/>
    </w:pPr>
    <w:rPr/>
  </w:style>
  <w:style w:type="paragraph" w:styleId="FWOutCont5">
    <w:name w:val="FWOut Cont 5"/>
    <w:basedOn w:val="FWOutCont4"/>
    <w:qFormat/>
    <w:pPr>
      <w:ind w:hanging="0" w:start="1440" w:end="0"/>
    </w:pPr>
    <w:rPr/>
  </w:style>
  <w:style w:type="paragraph" w:styleId="FWOutCont6">
    <w:name w:val="FWOut Cont 6"/>
    <w:basedOn w:val="FWOutCont5"/>
    <w:qFormat/>
    <w:pPr>
      <w:ind w:hanging="0" w:start="2160" w:end="0"/>
    </w:pPr>
    <w:rPr/>
  </w:style>
  <w:style w:type="paragraph" w:styleId="FWOutCont7">
    <w:name w:val="FWOut Cont 7"/>
    <w:basedOn w:val="FWOutCont6"/>
    <w:qFormat/>
    <w:pPr>
      <w:ind w:hanging="0" w:start="2880" w:end="0"/>
    </w:pPr>
    <w:rPr/>
  </w:style>
  <w:style w:type="paragraph" w:styleId="FWOutCont8">
    <w:name w:val="FWOut Cont 8"/>
    <w:basedOn w:val="FWOutCont7"/>
    <w:qFormat/>
    <w:pPr>
      <w:ind w:hanging="0" w:start="3600" w:end="0"/>
    </w:pPr>
    <w:rPr/>
  </w:style>
  <w:style w:type="paragraph" w:styleId="FWOutCont9">
    <w:name w:val="FWOut Cont 9"/>
    <w:basedOn w:val="FWOutCont8"/>
    <w:qFormat/>
    <w:pPr>
      <w:ind w:hanging="0" w:start="4320" w:end="0"/>
    </w:pPr>
    <w:rPr/>
  </w:style>
  <w:style w:type="paragraph" w:styleId="FWOutL1">
    <w:name w:val="FWOut_L1"/>
    <w:basedOn w:val="Normal"/>
    <w:next w:val="FWOutL2"/>
    <w:qFormat/>
    <w:pPr>
      <w:keepNext w:val="true"/>
      <w:keepLines/>
      <w:numPr>
        <w:ilvl w:val="0"/>
        <w:numId w:val="11"/>
      </w:numPr>
      <w:spacing w:before="0" w:after="240"/>
      <w:jc w:val="center"/>
      <w:outlineLvl w:val="0"/>
    </w:pPr>
    <w:rPr>
      <w:b/>
      <w:caps/>
      <w:szCs w:val="20"/>
    </w:rPr>
  </w:style>
  <w:style w:type="paragraph" w:styleId="FWOutL2">
    <w:name w:val="FWOut_L2"/>
    <w:basedOn w:val="FWOutL1"/>
    <w:qFormat/>
    <w:pPr>
      <w:numPr>
        <w:ilvl w:val="0"/>
        <w:numId w:val="11"/>
      </w:numPr>
      <w:jc w:val="start"/>
      <w:outlineLvl w:val="1"/>
    </w:pPr>
    <w:rPr>
      <w:caps w:val="false"/>
      <w:smallCaps w:val="false"/>
    </w:rPr>
  </w:style>
  <w:style w:type="paragraph" w:styleId="FWOutL3">
    <w:name w:val="FWOut_L3"/>
    <w:basedOn w:val="FWOutL2"/>
    <w:qFormat/>
    <w:pPr>
      <w:keepNext w:val="false"/>
      <w:keepLines w:val="false"/>
      <w:numPr>
        <w:ilvl w:val="0"/>
        <w:numId w:val="11"/>
      </w:numPr>
      <w:jc w:val="both"/>
      <w:outlineLvl w:val="9"/>
    </w:pPr>
    <w:rPr>
      <w:b w:val="false"/>
    </w:rPr>
  </w:style>
  <w:style w:type="paragraph" w:styleId="FWOutL4">
    <w:name w:val="FWOut_L4"/>
    <w:basedOn w:val="FWOutL3"/>
    <w:qFormat/>
    <w:pPr>
      <w:numPr>
        <w:ilvl w:val="0"/>
        <w:numId w:val="11"/>
      </w:numPr>
    </w:pPr>
    <w:rPr/>
  </w:style>
  <w:style w:type="paragraph" w:styleId="FWOutL5">
    <w:name w:val="FWOut_L5"/>
    <w:basedOn w:val="FWOutL4"/>
    <w:qFormat/>
    <w:pPr>
      <w:numPr>
        <w:ilvl w:val="0"/>
        <w:numId w:val="11"/>
      </w:numPr>
    </w:pPr>
    <w:rPr/>
  </w:style>
  <w:style w:type="paragraph" w:styleId="FWOutL6">
    <w:name w:val="FWOut_L6"/>
    <w:basedOn w:val="FWOutL5"/>
    <w:qFormat/>
    <w:pPr>
      <w:numPr>
        <w:ilvl w:val="0"/>
        <w:numId w:val="11"/>
      </w:numPr>
    </w:pPr>
    <w:rPr/>
  </w:style>
  <w:style w:type="paragraph" w:styleId="FWOutL7">
    <w:name w:val="FWOut_L7"/>
    <w:basedOn w:val="FWOutL6"/>
    <w:qFormat/>
    <w:pPr>
      <w:numPr>
        <w:ilvl w:val="0"/>
        <w:numId w:val="11"/>
      </w:numPr>
    </w:pPr>
    <w:rPr/>
  </w:style>
  <w:style w:type="paragraph" w:styleId="FWOutL8">
    <w:name w:val="FWOut_L8"/>
    <w:basedOn w:val="FWOutL7"/>
    <w:qFormat/>
    <w:pPr>
      <w:numPr>
        <w:ilvl w:val="0"/>
        <w:numId w:val="11"/>
      </w:numPr>
    </w:pPr>
    <w:rPr/>
  </w:style>
  <w:style w:type="paragraph" w:styleId="FWOutL9">
    <w:name w:val="FWOut_L9"/>
    <w:basedOn w:val="FWOutL8"/>
    <w:qFormat/>
    <w:pPr>
      <w:numPr>
        <w:ilvl w:val="0"/>
        <w:numId w:val="11"/>
      </w:numPr>
    </w:pPr>
    <w:rPr/>
  </w:style>
  <w:style w:type="paragraph" w:styleId="FWExhibitL1">
    <w:name w:val="FWExhibit_L1"/>
    <w:basedOn w:val="Normal"/>
    <w:next w:val="FWExhibitL2"/>
    <w:qFormat/>
    <w:pPr>
      <w:keepNext w:val="true"/>
      <w:keepLines/>
      <w:numPr>
        <w:ilvl w:val="0"/>
        <w:numId w:val="8"/>
      </w:numPr>
      <w:spacing w:lineRule="auto" w:line="480" w:before="0" w:after="240"/>
      <w:jc w:val="center"/>
      <w:outlineLvl w:val="0"/>
    </w:pPr>
    <w:rPr>
      <w:b/>
      <w:caps/>
      <w:sz w:val="24"/>
      <w:szCs w:val="20"/>
    </w:rPr>
  </w:style>
  <w:style w:type="paragraph" w:styleId="FWExhibitL2">
    <w:name w:val="FWExhibit_L2"/>
    <w:basedOn w:val="FWExhibitL1"/>
    <w:next w:val="FWExhibitL4"/>
    <w:qFormat/>
    <w:pPr>
      <w:numPr>
        <w:ilvl w:val="0"/>
        <w:numId w:val="8"/>
      </w:numPr>
      <w:spacing w:lineRule="auto" w:line="240"/>
      <w:jc w:val="start"/>
      <w:outlineLvl w:val="1"/>
    </w:pPr>
    <w:rPr>
      <w:caps w:val="false"/>
      <w:smallCaps w:val="false"/>
    </w:rPr>
  </w:style>
  <w:style w:type="paragraph" w:styleId="FWExhibitL3">
    <w:name w:val="FWExhibit_L3"/>
    <w:basedOn w:val="FWExhibitL2"/>
    <w:qFormat/>
    <w:pPr>
      <w:keepNext w:val="false"/>
      <w:keepLines w:val="false"/>
      <w:numPr>
        <w:ilvl w:val="0"/>
        <w:numId w:val="8"/>
      </w:numPr>
      <w:jc w:val="both"/>
      <w:outlineLvl w:val="9"/>
    </w:pPr>
    <w:rPr>
      <w:b w:val="false"/>
      <w:caps w:val="false"/>
      <w:smallCaps w:val="false"/>
    </w:rPr>
  </w:style>
  <w:style w:type="paragraph" w:styleId="FWExhibitL4">
    <w:name w:val="FWExhibit_L4"/>
    <w:basedOn w:val="FWExhibitL3"/>
    <w:qFormat/>
    <w:pPr>
      <w:numPr>
        <w:ilvl w:val="0"/>
        <w:numId w:val="8"/>
      </w:numPr>
      <w:ind w:hanging="720" w:start="720" w:end="0"/>
    </w:pPr>
    <w:rPr/>
  </w:style>
  <w:style w:type="paragraph" w:styleId="FWExhibitL5">
    <w:name w:val="FWExhibit_L5"/>
    <w:basedOn w:val="FWExhibitL4"/>
    <w:qFormat/>
    <w:pPr>
      <w:numPr>
        <w:ilvl w:val="0"/>
        <w:numId w:val="8"/>
      </w:numPr>
      <w:tabs>
        <w:tab w:val="clear" w:pos="720"/>
        <w:tab w:val="left" w:pos="1440" w:leader="none"/>
      </w:tabs>
      <w:ind w:hanging="216" w:start="1440" w:end="0"/>
    </w:pPr>
    <w:rPr/>
  </w:style>
  <w:style w:type="paragraph" w:styleId="FWExhibitL6">
    <w:name w:val="FWExhibit_L6"/>
    <w:basedOn w:val="FWExhibitL5"/>
    <w:qFormat/>
    <w:pPr>
      <w:numPr>
        <w:ilvl w:val="0"/>
        <w:numId w:val="8"/>
      </w:numPr>
      <w:tabs>
        <w:tab w:val="clear" w:pos="1440"/>
        <w:tab w:val="left" w:pos="2160" w:leader="none"/>
      </w:tabs>
      <w:ind w:hanging="720" w:start="2160" w:end="0"/>
    </w:pPr>
    <w:rPr/>
  </w:style>
  <w:style w:type="paragraph" w:styleId="FWExhibitL7">
    <w:name w:val="FWExhibit_L7"/>
    <w:basedOn w:val="FWExhibitL6"/>
    <w:qFormat/>
    <w:pPr>
      <w:numPr>
        <w:ilvl w:val="0"/>
        <w:numId w:val="8"/>
      </w:numPr>
      <w:tabs>
        <w:tab w:val="clear" w:pos="2160"/>
        <w:tab w:val="left" w:pos="2880" w:leader="none"/>
      </w:tabs>
      <w:ind w:hanging="216" w:start="2880" w:end="0"/>
    </w:pPr>
    <w:rPr/>
  </w:style>
  <w:style w:type="paragraph" w:styleId="FWExhibitL8">
    <w:name w:val="FWExhibit_L8"/>
    <w:basedOn w:val="FWExhibitL7"/>
    <w:qFormat/>
    <w:pPr>
      <w:numPr>
        <w:ilvl w:val="0"/>
        <w:numId w:val="8"/>
      </w:numPr>
      <w:tabs>
        <w:tab w:val="clear" w:pos="2880"/>
        <w:tab w:val="left" w:pos="3600" w:leader="none"/>
      </w:tabs>
      <w:ind w:hanging="720" w:start="3600" w:end="0"/>
    </w:pPr>
    <w:rPr/>
  </w:style>
  <w:style w:type="paragraph" w:styleId="FWExhibitL9">
    <w:name w:val="FWExhibit_L9"/>
    <w:basedOn w:val="FWExhibitL8"/>
    <w:qFormat/>
    <w:pPr>
      <w:numPr>
        <w:ilvl w:val="0"/>
        <w:numId w:val="8"/>
      </w:numPr>
      <w:tabs>
        <w:tab w:val="clear" w:pos="3600"/>
        <w:tab w:val="left" w:pos="4320" w:leader="none"/>
      </w:tabs>
      <w:ind w:hanging="720" w:start="4320" w:end="0"/>
    </w:pPr>
    <w:rPr/>
  </w:style>
  <w:style w:type="paragraph" w:styleId="TableLevel2Numbered">
    <w:name w:val="Table Level 2 Numbered"/>
    <w:basedOn w:val="Normal"/>
    <w:qFormat/>
    <w:pPr>
      <w:numPr>
        <w:ilvl w:val="0"/>
        <w:numId w:val="11"/>
      </w:numPr>
      <w:spacing w:before="120" w:after="120"/>
    </w:pPr>
    <w:rPr>
      <w:bCs/>
      <w:lang w:val="en-US"/>
    </w:rPr>
  </w:style>
  <w:style w:type="paragraph" w:styleId="TableLevel3Numbered">
    <w:name w:val="Table Level 3 Numbered"/>
    <w:basedOn w:val="Normal"/>
    <w:qFormat/>
    <w:pPr>
      <w:numPr>
        <w:ilvl w:val="0"/>
        <w:numId w:val="11"/>
      </w:numPr>
      <w:spacing w:before="120" w:after="120"/>
    </w:pPr>
    <w:rPr>
      <w:lang w:val="en-US"/>
    </w:rPr>
  </w:style>
  <w:style w:type="paragraph" w:styleId="TableLevel1Numbered">
    <w:name w:val="Table Level 1 Numbered"/>
    <w:basedOn w:val="Normal"/>
    <w:qFormat/>
    <w:pPr>
      <w:spacing w:before="120" w:after="120"/>
    </w:pPr>
    <w:rPr>
      <w:bCs/>
      <w:lang w:val="en-US"/>
    </w:rPr>
  </w:style>
  <w:style w:type="paragraph" w:styleId="BodyLevel1Numbered">
    <w:name w:val="Body Level 1 Numbered"/>
    <w:basedOn w:val="Normal"/>
    <w:qFormat/>
    <w:pPr>
      <w:numPr>
        <w:ilvl w:val="0"/>
        <w:numId w:val="12"/>
      </w:numPr>
      <w:spacing w:before="240" w:after="240"/>
    </w:pPr>
    <w:rPr>
      <w:lang w:val="en-US"/>
    </w:rPr>
  </w:style>
  <w:style w:type="paragraph" w:styleId="BodyLevel2Numbered">
    <w:name w:val="Body Level 2 Numbered"/>
    <w:basedOn w:val="Normal"/>
    <w:qFormat/>
    <w:pPr>
      <w:numPr>
        <w:ilvl w:val="0"/>
        <w:numId w:val="12"/>
      </w:numPr>
      <w:spacing w:before="240" w:after="240"/>
    </w:pPr>
    <w:rPr>
      <w:lang w:val="en-US"/>
    </w:rPr>
  </w:style>
  <w:style w:type="paragraph" w:styleId="BodyLevel3Numbered">
    <w:name w:val="Body Level 3 Numbered"/>
    <w:basedOn w:val="Normal"/>
    <w:qFormat/>
    <w:pPr>
      <w:numPr>
        <w:ilvl w:val="0"/>
        <w:numId w:val="12"/>
      </w:numPr>
      <w:spacing w:before="240" w:after="240"/>
    </w:pPr>
    <w:rPr>
      <w:lang w:val="en-US"/>
    </w:rPr>
  </w:style>
  <w:style w:type="paragraph" w:styleId="BodyLevel4Numbered">
    <w:name w:val="Body Level 4 Numbered"/>
    <w:basedOn w:val="Normal"/>
    <w:qFormat/>
    <w:pPr>
      <w:numPr>
        <w:ilvl w:val="0"/>
        <w:numId w:val="12"/>
      </w:numPr>
      <w:spacing w:before="240" w:after="240"/>
    </w:pPr>
    <w:rPr>
      <w:lang w:val="en-US"/>
    </w:rPr>
  </w:style>
  <w:style w:type="paragraph" w:styleId="Heading2Numbered">
    <w:name w:val="Heading 2 Numbered"/>
    <w:basedOn w:val="Normal"/>
    <w:qFormat/>
    <w:pPr>
      <w:spacing w:before="240" w:after="240"/>
    </w:pPr>
    <w:rPr>
      <w:rFonts w:ascii="Times New Roman Bold;Times New Roman" w:hAnsi="Times New Roman Bold;Times New Roman" w:cs="Times New Roman Bold;Times New Roman"/>
      <w:sz w:val="24"/>
      <w:lang w:val="en-US"/>
    </w:rPr>
  </w:style>
  <w:style w:type="paragraph" w:styleId="NormalWeb">
    <w:name w:val="Normal (Web)"/>
    <w:basedOn w:val="Normal"/>
    <w:qFormat/>
    <w:pPr>
      <w:spacing w:before="280" w:after="280"/>
    </w:pPr>
    <w:rPr>
      <w:rFonts w:ascii="Arial Unicode MS" w:hAnsi="Arial Unicode MS" w:eastAsia="Arial Unicode MS" w:cs="Arial Unicode MS"/>
      <w:sz w:val="24"/>
    </w:rPr>
  </w:style>
  <w:style w:type="paragraph" w:styleId="HeaderCPN">
    <w:name w:val="HeaderCPN"/>
    <w:basedOn w:val="BodyText"/>
    <w:qFormat/>
    <w:pPr>
      <w:spacing w:before="360" w:after="0"/>
      <w:jc w:val="end"/>
    </w:pPr>
    <w:rPr/>
  </w:style>
  <w:style w:type="paragraph" w:styleId="Date">
    <w:name w:val="Date"/>
    <w:basedOn w:val="Normal"/>
    <w:next w:val="Normal"/>
    <w:qFormat/>
    <w:pPr/>
    <w:rPr/>
  </w:style>
  <w:style w:type="paragraph" w:styleId="HeaderFPN">
    <w:name w:val="HeaderFPN"/>
    <w:basedOn w:val="HeaderCPN"/>
    <w:qFormat/>
    <w:pPr>
      <w:spacing w:before="0" w:after="0"/>
    </w:pPr>
    <w:rPr/>
  </w:style>
  <w:style w:type="paragraph" w:styleId="HeaderFPCSLogo">
    <w:name w:val="HeaderFPCSLogo"/>
    <w:basedOn w:val="Header"/>
    <w:qFormat/>
    <w:pPr>
      <w:tabs>
        <w:tab w:val="clear" w:pos="8280"/>
      </w:tabs>
      <w:jc w:val="center"/>
    </w:pPr>
    <w:rPr/>
  </w:style>
  <w:style w:type="paragraph" w:styleId="HeaderCPCSLogo">
    <w:name w:val="HeaderCPCSLogo"/>
    <w:basedOn w:val="HeaderFPCSLogo"/>
    <w:qFormat/>
    <w:pPr>
      <w:spacing w:before="360" w:after="0"/>
    </w:pPr>
    <w:rPr/>
  </w:style>
  <w:style w:type="paragraph" w:styleId="FWDL1">
    <w:name w:val="FWD_L1"/>
    <w:basedOn w:val="Normal"/>
    <w:qFormat/>
    <w:pPr>
      <w:numPr>
        <w:ilvl w:val="0"/>
        <w:numId w:val="13"/>
      </w:numPr>
      <w:spacing w:before="0" w:after="240"/>
      <w:jc w:val="both"/>
    </w:pPr>
    <w:rPr>
      <w:szCs w:val="20"/>
    </w:rPr>
  </w:style>
  <w:style w:type="paragraph" w:styleId="FWDL2">
    <w:name w:val="FWD_L2"/>
    <w:basedOn w:val="FWDL1"/>
    <w:qFormat/>
    <w:pPr>
      <w:numPr>
        <w:ilvl w:val="0"/>
        <w:numId w:val="13"/>
      </w:numPr>
      <w:tabs>
        <w:tab w:val="clear" w:pos="720"/>
        <w:tab w:val="left" w:pos="360" w:leader="none"/>
      </w:tabs>
      <w:ind w:hanging="0" w:start="0" w:end="0"/>
    </w:pPr>
    <w:rPr/>
  </w:style>
  <w:style w:type="paragraph" w:styleId="FWDL3">
    <w:name w:val="FWD_L3"/>
    <w:basedOn w:val="FWDL2"/>
    <w:qFormat/>
    <w:pPr>
      <w:numPr>
        <w:ilvl w:val="0"/>
        <w:numId w:val="13"/>
      </w:numPr>
      <w:tabs>
        <w:tab w:val="left" w:pos="360" w:leader="none"/>
        <w:tab w:val="left" w:pos="720" w:leader="none"/>
      </w:tabs>
      <w:ind w:hanging="720" w:start="720" w:end="0"/>
    </w:pPr>
    <w:rPr/>
  </w:style>
  <w:style w:type="paragraph" w:styleId="FWDL4">
    <w:name w:val="FWD_L4"/>
    <w:basedOn w:val="FWDL3"/>
    <w:qFormat/>
    <w:pPr>
      <w:numPr>
        <w:ilvl w:val="0"/>
        <w:numId w:val="13"/>
      </w:numPr>
      <w:tabs>
        <w:tab w:val="left" w:pos="360" w:leader="none"/>
        <w:tab w:val="left" w:pos="720" w:leader="none"/>
        <w:tab w:val="left" w:pos="1440" w:leader="none"/>
      </w:tabs>
      <w:ind w:hanging="216" w:start="1440" w:end="0"/>
    </w:pPr>
    <w:rPr/>
  </w:style>
  <w:style w:type="paragraph" w:styleId="FWDL5">
    <w:name w:val="FWD_L5"/>
    <w:basedOn w:val="FWDL4"/>
    <w:qFormat/>
    <w:pPr>
      <w:numPr>
        <w:ilvl w:val="0"/>
        <w:numId w:val="13"/>
      </w:numPr>
      <w:tabs>
        <w:tab w:val="left" w:pos="360" w:leader="none"/>
        <w:tab w:val="left" w:pos="720" w:leader="none"/>
        <w:tab w:val="left" w:pos="1440" w:leader="none"/>
        <w:tab w:val="left" w:pos="2160" w:leader="none"/>
      </w:tabs>
      <w:ind w:hanging="720" w:start="2160" w:end="0"/>
    </w:pPr>
    <w:rPr/>
  </w:style>
  <w:style w:type="paragraph" w:styleId="FWDL6">
    <w:name w:val="FWD_L6"/>
    <w:basedOn w:val="FWDL5"/>
    <w:qFormat/>
    <w:pPr>
      <w:numPr>
        <w:ilvl w:val="0"/>
        <w:numId w:val="13"/>
      </w:numPr>
      <w:tabs>
        <w:tab w:val="left" w:pos="360" w:leader="none"/>
        <w:tab w:val="left" w:pos="720" w:leader="none"/>
        <w:tab w:val="left" w:pos="1440" w:leader="none"/>
        <w:tab w:val="left" w:pos="2160" w:leader="none"/>
        <w:tab w:val="left" w:pos="2880" w:leader="none"/>
      </w:tabs>
      <w:ind w:hanging="216" w:start="2880" w:end="0"/>
    </w:pPr>
    <w:rPr/>
  </w:style>
  <w:style w:type="paragraph" w:styleId="FWDL7">
    <w:name w:val="FWD_L7"/>
    <w:basedOn w:val="FWDL6"/>
    <w:qFormat/>
    <w:pPr>
      <w:numPr>
        <w:ilvl w:val="0"/>
        <w:numId w:val="13"/>
      </w:numPr>
      <w:tabs>
        <w:tab w:val="left" w:pos="360" w:leader="none"/>
        <w:tab w:val="left" w:pos="720" w:leader="none"/>
        <w:tab w:val="left" w:pos="1440" w:leader="none"/>
        <w:tab w:val="left" w:pos="2160" w:leader="none"/>
        <w:tab w:val="left" w:pos="2880" w:leader="none"/>
        <w:tab w:val="left" w:pos="3600" w:leader="none"/>
      </w:tabs>
      <w:ind w:hanging="216" w:start="360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Text">
    <w:name w:val="Table Text"/>
    <w:basedOn w:val="Normal"/>
    <w:qFormat/>
    <w:pPr>
      <w:spacing w:before="120" w:after="120"/>
    </w:pPr>
    <w:rPr>
      <w:sz w:val="22"/>
      <w:lang w:val="en-US"/>
    </w:rPr>
  </w:style>
  <w:style w:type="paragraph" w:styleId="TableLevel4Numbered">
    <w:name w:val="Table Level 4 Numbered"/>
    <w:basedOn w:val="Normal"/>
    <w:qFormat/>
    <w:pPr>
      <w:tabs>
        <w:tab w:val="clear" w:pos="720"/>
        <w:tab w:val="left" w:pos="1440" w:leader="none"/>
      </w:tabs>
      <w:spacing w:before="120" w:after="120"/>
      <w:ind w:hanging="994" w:start="1440" w:end="0"/>
    </w:pPr>
    <w:rPr>
      <w:sz w:val="22"/>
      <w:lang w:val="en-US"/>
    </w:rPr>
  </w:style>
  <w:style w:type="paragraph" w:styleId="DocumentMap">
    <w:name w:val="Document Map"/>
    <w:basedOn w:val="Normal"/>
    <w:qFormat/>
    <w:pPr>
      <w:shd w:fill="000080" w:val="clear"/>
    </w:pPr>
    <w:rPr>
      <w:rFonts w:ascii="Tahoma" w:hAnsi="Tahoma" w:cs="Tahoma"/>
      <w:sz w:val="20"/>
      <w:szCs w:val="20"/>
    </w:rPr>
  </w:style>
  <w:style w:type="paragraph" w:styleId="fwoutl41">
    <w:name w:val="fwoutl4"/>
    <w:basedOn w:val="Normal"/>
    <w:qFormat/>
    <w:pPr>
      <w:autoSpaceDE w:val="false"/>
      <w:spacing w:before="0" w:after="240"/>
      <w:ind w:hanging="720" w:start="720" w:end="0"/>
      <w:jc w:val="both"/>
    </w:pPr>
    <w:rPr>
      <w:rFonts w:eastAsia="Arial Unicode MS"/>
    </w:rPr>
  </w:style>
  <w:style w:type="paragraph" w:styleId="DeltaViewTableBody">
    <w:name w:val="DeltaView Table Body"/>
    <w:basedOn w:val="Normal"/>
    <w:qFormat/>
    <w:pPr>
      <w:autoSpaceDE w:val="false"/>
    </w:pPr>
    <w:rPr>
      <w:rFonts w:ascii="Arial" w:hAnsi="Arial" w:cs="Arial"/>
      <w:lang w:val="en-US"/>
    </w:rPr>
  </w:style>
  <w:style w:type="paragraph" w:styleId="DeltaViewAnnounce">
    <w:name w:val="DeltaView Announce"/>
    <w:qFormat/>
    <w:pPr>
      <w:widowControl/>
      <w:autoSpaceDE w:val="false"/>
      <w:bidi w:val="0"/>
      <w:spacing w:before="280" w:after="280"/>
    </w:pPr>
    <w:rPr>
      <w:rFonts w:ascii="Arial" w:hAnsi="Arial" w:eastAsia="MS Mincho;Arial Unicode MS" w:cs="Arial"/>
      <w:color w:val="auto"/>
      <w:sz w:val="24"/>
      <w:szCs w:val="24"/>
      <w:lang w:val="en-GB" w:bidi="ar-SA" w:eastAsia="zh-CN"/>
    </w:rPr>
  </w:style>
  <w:style w:type="paragraph" w:styleId="fwoutl31">
    <w:name w:val="fwoutl3"/>
    <w:basedOn w:val="Normal"/>
    <w:qFormat/>
    <w:pPr>
      <w:autoSpaceDE w:val="false"/>
      <w:spacing w:before="0" w:after="240"/>
      <w:jc w:val="both"/>
    </w:pPr>
    <w:rPr>
      <w:rFonts w:eastAsia="Arial Unicode MS"/>
    </w:rPr>
  </w:style>
  <w:style w:type="paragraph" w:styleId="Body1">
    <w:name w:val="Body 1"/>
    <w:basedOn w:val="Normal"/>
    <w:qFormat/>
    <w:pPr>
      <w:spacing w:lineRule="auto" w:line="288" w:before="0" w:after="140"/>
      <w:ind w:hanging="0" w:start="567" w:end="0"/>
      <w:jc w:val="both"/>
    </w:pPr>
    <w:rPr>
      <w:rFonts w:ascii="Arial" w:hAnsi="Arial" w:cs="Arial"/>
      <w:kern w:val="2"/>
      <w:lang w:val="fr-BE"/>
    </w:rPr>
  </w:style>
  <w:style w:type="paragraph" w:styleId="Title">
    <w:name w:val="Title"/>
    <w:basedOn w:val="Normal"/>
    <w:next w:val="BodyText"/>
    <w:qFormat/>
    <w:pPr>
      <w:spacing w:before="240" w:after="240"/>
      <w:jc w:val="center"/>
      <w:outlineLvl w:val="0"/>
    </w:pPr>
    <w:rPr>
      <w:rFonts w:eastAsia="Times New Roman" w:cs="Arial"/>
      <w:b/>
      <w:bCs/>
      <w:caps/>
      <w:kern w:val="2"/>
      <w:sz w:val="32"/>
      <w:szCs w:val="32"/>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Base_Document.dot</Template>
  <TotalTime>3</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2006-12-13T14:23:00Z</dcterms:created>
  <dc:creator>Stuart Johnson</dc:creator>
  <dc:description> </dc:description>
  <cp:keywords/>
  <dc:language>en-US</dc:language>
  <cp:lastModifiedBy>Stuart Johnson</cp:lastModifiedBy>
  <cp:lastPrinted>2006-06-28T10:58:00Z</cp:lastPrinted>
  <dcterms:modified xsi:type="dcterms:W3CDTF">2006-12-13T14:26:00Z</dcterms:modified>
  <cp:revision>6</cp:revision>
  <dc:subject>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Corresp">
    <vt:lpwstr>Brechje Nollen</vt:lpwstr>
  </property>
  <property fmtid="{D5CDD505-2E9C-101B-9397-08002B2CF9AE}" pid="3" name="authEmail">
    <vt:lpwstr>brechje.nollen@freshfields.com</vt:lpwstr>
  </property>
  <property fmtid="{D5CDD505-2E9C-101B-9397-08002B2CF9AE}" pid="4" name="authExtension">
    <vt:lpwstr>7626</vt:lpwstr>
  </property>
  <property fmtid="{D5CDD505-2E9C-101B-9397-08002B2CF9AE}" pid="5" name="authFax">
    <vt:lpwstr>31 20 572 7626</vt:lpwstr>
  </property>
  <property fmtid="{D5CDD505-2E9C-101B-9397-08002B2CF9AE}" pid="6" name="authId">
    <vt:lpwstr>BNOLLEN</vt:lpwstr>
  </property>
  <property fmtid="{D5CDD505-2E9C-101B-9397-08002B2CF9AE}" pid="7" name="authInitials">
    <vt:lpwstr>BN</vt:lpwstr>
  </property>
  <property fmtid="{D5CDD505-2E9C-101B-9397-08002B2CF9AE}" pid="8" name="authLocation">
    <vt:lpwstr>Amsterdam</vt:lpwstr>
  </property>
  <property fmtid="{D5CDD505-2E9C-101B-9397-08002B2CF9AE}" pid="9" name="authName">
    <vt:lpwstr>Nollen, Brechje</vt:lpwstr>
  </property>
  <property fmtid="{D5CDD505-2E9C-101B-9397-08002B2CF9AE}" pid="10" name="authPhone">
    <vt:lpwstr>31 20 485 7626</vt:lpwstr>
  </property>
  <property fmtid="{D5CDD505-2E9C-101B-9397-08002B2CF9AE}" pid="11" name="cpClientMatter">
    <vt:lpwstr>80750-00002</vt:lpwstr>
  </property>
  <property fmtid="{D5CDD505-2E9C-101B-9397-08002B2CF9AE}" pid="12" name="cpCombinedRef">
    <vt:lpwstr>80750-00002 AMEM:203610.2</vt:lpwstr>
  </property>
  <property fmtid="{D5CDD505-2E9C-101B-9397-08002B2CF9AE}" pid="13" name="cpDate">
    <vt:lpwstr>23 May 2006</vt:lpwstr>
  </property>
  <property fmtid="{D5CDD505-2E9C-101B-9397-08002B2CF9AE}" pid="14" name="cpDocRef">
    <vt:lpwstr>AMEM:203610.2</vt:lpwstr>
  </property>
  <property fmtid="{D5CDD505-2E9C-101B-9397-08002B2CF9AE}" pid="15" name="docClass">
    <vt:lpwstr>-NONE-</vt:lpwstr>
  </property>
  <property fmtid="{D5CDD505-2E9C-101B-9397-08002B2CF9AE}" pid="16" name="docCliMat">
    <vt:lpwstr>104955-0076</vt:lpwstr>
  </property>
  <property fmtid="{D5CDD505-2E9C-101B-9397-08002B2CF9AE}" pid="17" name="docClient">
    <vt:lpwstr>104955</vt:lpwstr>
  </property>
  <property fmtid="{D5CDD505-2E9C-101B-9397-08002B2CF9AE}" pid="18" name="docDesc">
    <vt:lpwstr>ING/SWS Exhibit 5 - (5 december 2006) consistency check</vt:lpwstr>
  </property>
  <property fmtid="{D5CDD505-2E9C-101B-9397-08002B2CF9AE}" pid="19" name="docGlobPracGroup">
    <vt:lpwstr/>
  </property>
  <property fmtid="{D5CDD505-2E9C-101B-9397-08002B2CF9AE}" pid="20" name="docGlobSectGroup">
    <vt:lpwstr/>
  </property>
  <property fmtid="{D5CDD505-2E9C-101B-9397-08002B2CF9AE}" pid="21" name="docId">
    <vt:lpwstr>AMS127422</vt:lpwstr>
  </property>
  <property fmtid="{D5CDD505-2E9C-101B-9397-08002B2CF9AE}" pid="22" name="docIdVer">
    <vt:lpwstr>AMS127422/2</vt:lpwstr>
  </property>
  <property fmtid="{D5CDD505-2E9C-101B-9397-08002B2CF9AE}" pid="23" name="docLanguage">
    <vt:lpwstr>EN(UK)</vt:lpwstr>
  </property>
  <property fmtid="{D5CDD505-2E9C-101B-9397-08002B2CF9AE}" pid="24" name="docMatter">
    <vt:lpwstr>0076</vt:lpwstr>
  </property>
  <property fmtid="{D5CDD505-2E9C-101B-9397-08002B2CF9AE}" pid="25" name="docOrganisation">
    <vt:lpwstr/>
  </property>
  <property fmtid="{D5CDD505-2E9C-101B-9397-08002B2CF9AE}" pid="26" name="docSubClass">
    <vt:lpwstr/>
  </property>
  <property fmtid="{D5CDD505-2E9C-101B-9397-08002B2CF9AE}" pid="27" name="docVersion">
    <vt:lpwstr>2</vt:lpwstr>
  </property>
  <property fmtid="{D5CDD505-2E9C-101B-9397-08002B2CF9AE}" pid="28" name="operCorresp">
    <vt:lpwstr>Brechje Nollen</vt:lpwstr>
  </property>
  <property fmtid="{D5CDD505-2E9C-101B-9397-08002B2CF9AE}" pid="29" name="operEmail">
    <vt:lpwstr>brechje.nollen@freshfields.com</vt:lpwstr>
  </property>
  <property fmtid="{D5CDD505-2E9C-101B-9397-08002B2CF9AE}" pid="30" name="operExtension">
    <vt:lpwstr>7626</vt:lpwstr>
  </property>
  <property fmtid="{D5CDD505-2E9C-101B-9397-08002B2CF9AE}" pid="31" name="operFax">
    <vt:lpwstr>31 20 572 7626</vt:lpwstr>
  </property>
  <property fmtid="{D5CDD505-2E9C-101B-9397-08002B2CF9AE}" pid="32" name="operId">
    <vt:lpwstr>BNOLLEN</vt:lpwstr>
  </property>
  <property fmtid="{D5CDD505-2E9C-101B-9397-08002B2CF9AE}" pid="33" name="operInitials">
    <vt:lpwstr>BN</vt:lpwstr>
  </property>
  <property fmtid="{D5CDD505-2E9C-101B-9397-08002B2CF9AE}" pid="34" name="operLocation">
    <vt:lpwstr>Amsterdam</vt:lpwstr>
  </property>
  <property fmtid="{D5CDD505-2E9C-101B-9397-08002B2CF9AE}" pid="35" name="operName">
    <vt:lpwstr>Nollen, Brechje</vt:lpwstr>
  </property>
  <property fmtid="{D5CDD505-2E9C-101B-9397-08002B2CF9AE}" pid="36" name="operPhone">
    <vt:lpwstr>31 20 485 7626</vt:lpwstr>
  </property>
</Properties>
</file>