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szCs w:val="22"/>
        </w:rPr>
      </w:pPr>
      <w:r>
        <w:rPr>
          <w:szCs w:val="22"/>
        </w:rPr>
      </w:r>
    </w:p>
    <w:p>
      <w:pPr>
        <w:pStyle w:val="Normal"/>
        <w:jc w:val="both"/>
        <w:rPr>
          <w:szCs w:val="22"/>
        </w:rPr>
      </w:pPr>
      <w:r>
        <w:rPr>
          <w:szCs w:val="22"/>
        </w:rPr>
      </w:r>
    </w:p>
    <w:p>
      <w:pPr>
        <w:pStyle w:val="Heading"/>
        <w:rPr>
          <w:szCs w:val="22"/>
          <w:lang w:val="en-GB"/>
        </w:rPr>
      </w:pPr>
      <w:r>
        <w:rPr>
          <w:szCs w:val="22"/>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t>EuroBank</w:t>
      </w:r>
    </w:p>
    <w:p>
      <w:pPr>
        <w:pStyle w:val="Heading"/>
        <w:rPr>
          <w:lang w:val="en-GB"/>
        </w:rPr>
      </w:pPr>
      <w:r>
        <w:rPr>
          <w:lang w:val="en-GB"/>
        </w:rPr>
      </w:r>
    </w:p>
    <w:p>
      <w:pPr>
        <w:pStyle w:val="Heading"/>
        <w:rPr>
          <w:lang w:val="en-GB"/>
        </w:rPr>
      </w:pPr>
      <w:r>
        <w:rPr>
          <w:lang w:val="en-GB"/>
        </w:rPr>
        <w:t>Master Services Agreement (MSA)</w:t>
      </w:r>
    </w:p>
    <w:p>
      <w:pPr>
        <w:pStyle w:val="Heading"/>
        <w:rPr>
          <w:lang w:val="en-GB"/>
        </w:rPr>
      </w:pPr>
      <w:r>
        <w:rPr>
          <w:lang w:val="en-GB"/>
        </w:rPr>
      </w:r>
    </w:p>
    <w:p>
      <w:pPr>
        <w:pStyle w:val="Heading"/>
        <w:rPr>
          <w:lang w:val="en-GB"/>
        </w:rPr>
      </w:pPr>
      <w:r>
        <w:rPr>
          <w:lang w:val="en-GB"/>
        </w:rPr>
        <w:t>[PST Name]</w:t>
      </w:r>
    </w:p>
    <w:p>
      <w:pPr>
        <w:sectPr>
          <w:headerReference w:type="default" r:id="rId2"/>
          <w:footerReference w:type="default" r:id="rId3"/>
          <w:type w:val="nextPage"/>
          <w:pgSz w:w="11906" w:h="16838"/>
          <w:pgMar w:left="1797" w:right="1797" w:gutter="0" w:header="720" w:top="1440" w:footer="720" w:bottom="1797"/>
          <w:pgNumType w:start="1" w:fmt="decimal"/>
          <w:formProt w:val="false"/>
          <w:textDirection w:val="lrTb"/>
          <w:docGrid w:type="default" w:linePitch="360" w:charSpace="0"/>
        </w:sectPr>
        <w:pStyle w:val="Normal"/>
        <w:jc w:val="both"/>
        <w:rPr>
          <w:szCs w:val="22"/>
          <w:lang w:val="en-GB"/>
        </w:rPr>
      </w:pPr>
      <w:r>
        <w:rPr>
          <w:szCs w:val="22"/>
          <w:lang w:val="en-GB"/>
        </w:rPr>
      </w:r>
    </w:p>
    <w:p>
      <w:pPr>
        <w:pStyle w:val="Normal"/>
        <w:jc w:val="center"/>
        <w:rPr>
          <w:b/>
          <w:szCs w:val="22"/>
        </w:rPr>
      </w:pPr>
      <w:r>
        <w:rPr>
          <w:b/>
          <w:szCs w:val="22"/>
        </w:rPr>
        <w:t>Table of Contents</w:t>
      </w:r>
    </w:p>
    <w:p>
      <w:pPr>
        <w:pStyle w:val="Normal"/>
        <w:jc w:val="both"/>
        <w:rPr>
          <w:b/>
          <w:szCs w:val="22"/>
        </w:rPr>
      </w:pPr>
      <w:r>
        <w:rPr>
          <w:b/>
          <w:szCs w:val="22"/>
        </w:rPr>
      </w:r>
    </w:p>
    <w:p>
      <w:pPr>
        <w:pStyle w:val="Normal"/>
        <w:jc w:val="both"/>
        <w:rPr>
          <w:szCs w:val="22"/>
        </w:rPr>
      </w:pPr>
      <w:r>
        <w:rPr>
          <w:szCs w:val="22"/>
        </w:rPr>
      </w:r>
    </w:p>
    <w:p>
      <w:pPr>
        <w:pStyle w:val="Normal"/>
        <w:jc w:val="both"/>
        <w:rPr>
          <w:szCs w:val="22"/>
        </w:rPr>
      </w:pPr>
      <w:r>
        <w:rPr>
          <w:szCs w:val="22"/>
        </w:rPr>
      </w:r>
    </w:p>
    <w:p>
      <w:pPr>
        <w:pStyle w:val="Normal"/>
        <w:jc w:val="both"/>
        <w:rPr>
          <w:szCs w:val="22"/>
        </w:rPr>
      </w:pPr>
      <w:r>
        <w:rPr>
          <w:szCs w:val="22"/>
        </w:rPr>
      </w:r>
    </w:p>
    <w:p>
      <w:pPr>
        <w:pStyle w:val="Normal"/>
        <w:jc w:val="both"/>
        <w:rPr>
          <w:szCs w:val="22"/>
        </w:rPr>
      </w:pPr>
      <w:r>
        <w:rPr>
          <w:szCs w:val="22"/>
        </w:rPr>
      </w:r>
    </w:p>
    <w:p>
      <w:pPr>
        <w:sectPr>
          <w:headerReference w:type="default" r:id="rId4"/>
          <w:headerReference w:type="first" r:id="rId5"/>
          <w:footerReference w:type="default" r:id="rId6"/>
          <w:footerReference w:type="first" r:id="rId7"/>
          <w:type w:val="nextPage"/>
          <w:pgSz w:w="11906" w:h="16838"/>
          <w:pgMar w:left="1797" w:right="1797" w:gutter="0" w:header="720" w:top="1440" w:footer="720" w:bottom="1797"/>
          <w:pgNumType w:start="1" w:fmt="decimal"/>
          <w:formProt w:val="false"/>
          <w:textDirection w:val="lrTb"/>
          <w:docGrid w:type="default" w:linePitch="360" w:charSpace="0"/>
        </w:sectPr>
        <w:pStyle w:val="Normal"/>
        <w:jc w:val="both"/>
        <w:rPr>
          <w:szCs w:val="22"/>
        </w:rPr>
      </w:pPr>
      <w:r>
        <w:rPr>
          <w:szCs w:val="22"/>
        </w:rPr>
      </w:r>
    </w:p>
    <w:p>
      <w:pPr>
        <w:pStyle w:val="Normal"/>
        <w:jc w:val="both"/>
        <w:rPr>
          <w:szCs w:val="22"/>
        </w:rPr>
      </w:pPr>
      <w:r>
        <w:rPr>
          <w:szCs w:val="22"/>
        </w:rPr>
      </w:r>
    </w:p>
    <w:p>
      <w:pPr>
        <w:pStyle w:val="Normal"/>
        <w:jc w:val="both"/>
        <w:rPr>
          <w:szCs w:val="22"/>
        </w:rPr>
      </w:pPr>
      <w:r>
        <w:rPr>
          <w:szCs w:val="22"/>
        </w:rPr>
      </w:r>
    </w:p>
    <w:p>
      <w:pPr>
        <w:pStyle w:val="Normal"/>
        <w:jc w:val="both"/>
        <w:rPr/>
      </w:pPr>
      <w:r>
        <w:rPr>
          <w:b/>
          <w:szCs w:val="22"/>
        </w:rPr>
        <w:t>AN AGREEMENT</w:t>
      </w:r>
      <w:r>
        <w:rPr>
          <w:szCs w:val="22"/>
        </w:rPr>
        <w:t xml:space="preserve"> made on _____ _____ _____ 2006</w:t>
      </w:r>
    </w:p>
    <w:p>
      <w:pPr>
        <w:pStyle w:val="Normal"/>
        <w:jc w:val="both"/>
        <w:rPr>
          <w:szCs w:val="22"/>
        </w:rPr>
      </w:pPr>
      <w:r>
        <w:rPr>
          <w:szCs w:val="22"/>
        </w:rPr>
      </w:r>
    </w:p>
    <w:p>
      <w:pPr>
        <w:pStyle w:val="Normal"/>
        <w:jc w:val="center"/>
        <w:rPr>
          <w:b/>
          <w:kern w:val="2"/>
        </w:rPr>
      </w:pPr>
      <w:r>
        <w:rPr>
          <w:b/>
          <w:kern w:val="2"/>
        </w:rPr>
        <w:t>BETWEEN</w:t>
      </w:r>
    </w:p>
    <w:p>
      <w:pPr>
        <w:pStyle w:val="Normal"/>
        <w:jc w:val="both"/>
        <w:rPr>
          <w:b/>
          <w:kern w:val="2"/>
          <w:szCs w:val="22"/>
        </w:rPr>
      </w:pPr>
      <w:r>
        <w:rPr>
          <w:b/>
          <w:kern w:val="2"/>
          <w:szCs w:val="22"/>
        </w:rPr>
      </w:r>
    </w:p>
    <w:p>
      <w:pPr>
        <w:pStyle w:val="Normal"/>
        <w:ind w:hanging="720" w:start="720" w:end="0"/>
        <w:jc w:val="both"/>
        <w:rPr/>
      </w:pPr>
      <w:r>
        <w:rPr>
          <w:szCs w:val="22"/>
        </w:rPr>
        <w:t>(1)</w:t>
        <w:tab/>
        <w:t>EUROBANK NV, a company incorporated under the laws of the Netherlands under company number 99887766 whose registered office is at Keizersgracht 100, 1015 AA Rotterdam (EuroBank); and</w:t>
      </w:r>
      <w:r>
        <w:rPr>
          <w:b/>
          <w:szCs w:val="22"/>
        </w:rPr>
      </w:r>
      <w:r>
        <w:rPr>
          <w:szCs w:val="22"/>
        </w:rPr>
      </w:r>
    </w:p>
    <w:p>
      <w:pPr>
        <w:pStyle w:val="Normal"/>
        <w:jc w:val="both"/>
        <w:rPr>
          <w:szCs w:val="22"/>
        </w:rPr>
      </w:pPr>
      <w:r>
        <w:rPr>
          <w:szCs w:val="22"/>
        </w:rPr>
      </w:r>
    </w:p>
    <w:p>
      <w:pPr>
        <w:pStyle w:val="Normal"/>
        <w:ind w:hanging="720" w:start="720" w:end="0"/>
        <w:jc w:val="both"/>
        <w:rPr>
          <w:szCs w:val="22"/>
        </w:rPr>
      </w:pPr>
      <w:r>
        <w:rPr>
          <w:szCs w:val="22"/>
        </w:rPr>
        <w:t>(2)</w:t>
        <w:tab/>
        <w:t>[●], a company incorporated under the laws of [●] under company number [●] whose [registered] office is at [●] (the PST Supplier).</w:t>
      </w:r>
    </w:p>
    <w:p>
      <w:pPr>
        <w:pStyle w:val="Normal"/>
        <w:ind w:hanging="720" w:start="720" w:end="0"/>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rFonts w:ascii="Times New Roman Bold;Times New Roman" w:hAnsi="Times New Roman Bold;Times New Roman" w:cs="Arial"/>
          <w:bCs/>
          <w:kern w:val="2"/>
          <w:szCs w:val="22"/>
        </w:rPr>
      </w:pPr>
      <w:r>
        <w:rPr>
          <w:rFonts w:cs="Arial" w:ascii="Times New Roman Bold;Times New Roman" w:hAnsi="Times New Roman Bold;Times New Roman"/>
          <w:bCs/>
          <w:kern w:val="2"/>
          <w:szCs w:val="22"/>
        </w:rPr>
        <w:t>RECITALS</w:t>
      </w:r>
    </w:p>
    <w:p>
      <w:pPr>
        <w:pStyle w:val="Normal"/>
        <w:jc w:val="both"/>
        <w:rPr>
          <w:rFonts w:ascii="Times New Roman Bold;Times New Roman" w:hAnsi="Times New Roman Bold;Times New Roman" w:cs="Arial"/>
          <w:bCs/>
          <w:kern w:val="2"/>
          <w:szCs w:val="22"/>
        </w:rPr>
      </w:pPr>
      <w:r>
        <w:rPr>
          <w:rFonts w:cs="Arial" w:ascii="Times New Roman Bold;Times New Roman" w:hAnsi="Times New Roman Bold;Times New Roman"/>
          <w:bCs/>
          <w:kern w:val="2"/>
          <w:szCs w:val="22"/>
        </w:rPr>
      </w:r>
    </w:p>
    <w:p>
      <w:pPr>
        <w:pStyle w:val="Normal"/>
        <w:jc w:val="both"/>
        <w:rPr/>
      </w:pPr>
      <w:r>
        <w:rPr>
          <w:szCs w:val="22"/>
        </w:rPr>
        <w:t>(A)</w:t>
        <w:tab/>
        <w:t xml:space="preserve">Following a strategic review of the EuroBank Group’s workplace IT infrastructure function, EuroBank issued a Request for Proposal (RFP) on 15 March 2005 inviting bidders to make proposals for the supply of specific locally based workplace infrastructure services in Belgium and the Netherlands (with the possibility of additional roll-outs in other countries), comprising the following Bundles: </w:t>
      </w:r>
      <w:r>
        <w:rPr>
          <w:b/>
          <w:i/>
          <w:szCs w:val="22"/>
        </w:rPr>
      </w:r>
      <w:r>
        <w:rPr>
          <w:szCs w:val="22"/>
        </w:rPr>
      </w:r>
    </w:p>
    <w:p>
      <w:pPr>
        <w:pStyle w:val="Normal"/>
        <w:jc w:val="both"/>
        <w:rPr>
          <w:szCs w:val="22"/>
        </w:rPr>
      </w:pPr>
      <w:r>
        <w:rPr>
          <w:szCs w:val="22"/>
        </w:rPr>
      </w:r>
    </w:p>
    <w:p>
      <w:pPr>
        <w:pStyle w:val="Normal"/>
        <w:numPr>
          <w:ilvl w:val="0"/>
          <w:numId w:val="24"/>
        </w:numPr>
        <w:jc w:val="both"/>
        <w:rPr>
          <w:szCs w:val="22"/>
        </w:rPr>
      </w:pPr>
      <w:r>
        <w:rPr>
          <w:szCs w:val="22"/>
        </w:rPr>
        <w:t xml:space="preserve">end user computing services (comprising the following sub-bundles: design and support services, application services and user access services ), </w:t>
      </w:r>
    </w:p>
    <w:p>
      <w:pPr>
        <w:pStyle w:val="Normal"/>
        <w:ind w:start="360" w:end="0"/>
        <w:jc w:val="both"/>
        <w:rPr>
          <w:szCs w:val="22"/>
        </w:rPr>
      </w:pPr>
      <w:r>
        <w:rPr>
          <w:szCs w:val="22"/>
        </w:rPr>
      </w:r>
    </w:p>
    <w:p>
      <w:pPr>
        <w:pStyle w:val="Normal"/>
        <w:numPr>
          <w:ilvl w:val="0"/>
          <w:numId w:val="24"/>
        </w:numPr>
        <w:jc w:val="both"/>
        <w:rPr>
          <w:szCs w:val="22"/>
        </w:rPr>
      </w:pPr>
      <w:r>
        <w:rPr>
          <w:szCs w:val="22"/>
        </w:rPr>
        <w:t>service desk services,</w:t>
      </w:r>
    </w:p>
    <w:p>
      <w:pPr>
        <w:pStyle w:val="Normal"/>
        <w:jc w:val="both"/>
        <w:rPr>
          <w:szCs w:val="22"/>
        </w:rPr>
      </w:pPr>
      <w:r>
        <w:rPr>
          <w:szCs w:val="22"/>
        </w:rPr>
      </w:r>
    </w:p>
    <w:p>
      <w:pPr>
        <w:pStyle w:val="Normal"/>
        <w:numPr>
          <w:ilvl w:val="0"/>
          <w:numId w:val="24"/>
        </w:numPr>
        <w:jc w:val="both"/>
        <w:rPr>
          <w:szCs w:val="22"/>
        </w:rPr>
      </w:pPr>
      <w:r>
        <w:rPr>
          <w:szCs w:val="22"/>
        </w:rPr>
        <w:t>LAN services</w:t>
      </w:r>
    </w:p>
    <w:p>
      <w:pPr>
        <w:pStyle w:val="Normal"/>
        <w:jc w:val="both"/>
        <w:rPr>
          <w:szCs w:val="22"/>
        </w:rPr>
      </w:pPr>
      <w:r>
        <w:rPr>
          <w:szCs w:val="22"/>
        </w:rPr>
      </w:r>
    </w:p>
    <w:p>
      <w:pPr>
        <w:pStyle w:val="Normal"/>
        <w:numPr>
          <w:ilvl w:val="0"/>
          <w:numId w:val="24"/>
        </w:numPr>
        <w:jc w:val="both"/>
        <w:rPr>
          <w:szCs w:val="22"/>
        </w:rPr>
      </w:pPr>
      <w:r>
        <w:rPr>
          <w:szCs w:val="22"/>
        </w:rPr>
        <w:t>voice services,</w:t>
      </w:r>
    </w:p>
    <w:p>
      <w:pPr>
        <w:pStyle w:val="Normal"/>
        <w:jc w:val="both"/>
        <w:rPr>
          <w:szCs w:val="22"/>
        </w:rPr>
      </w:pPr>
      <w:r>
        <w:rPr>
          <w:szCs w:val="22"/>
        </w:rPr>
      </w:r>
    </w:p>
    <w:p>
      <w:pPr>
        <w:pStyle w:val="Normal"/>
        <w:numPr>
          <w:ilvl w:val="0"/>
          <w:numId w:val="24"/>
        </w:numPr>
        <w:jc w:val="both"/>
        <w:rPr>
          <w:szCs w:val="22"/>
        </w:rPr>
      </w:pPr>
      <w:r>
        <w:rPr>
          <w:szCs w:val="22"/>
        </w:rPr>
        <w:t>end user computing services (comprising user infra support services, including desktop hardware services), and</w:t>
      </w:r>
    </w:p>
    <w:p>
      <w:pPr>
        <w:pStyle w:val="Normal"/>
        <w:jc w:val="both"/>
        <w:rPr>
          <w:szCs w:val="22"/>
        </w:rPr>
      </w:pPr>
      <w:r>
        <w:rPr>
          <w:szCs w:val="22"/>
        </w:rPr>
      </w:r>
    </w:p>
    <w:p>
      <w:pPr>
        <w:pStyle w:val="Normal"/>
        <w:numPr>
          <w:ilvl w:val="0"/>
          <w:numId w:val="24"/>
        </w:numPr>
        <w:jc w:val="both"/>
        <w:rPr>
          <w:szCs w:val="22"/>
        </w:rPr>
      </w:pPr>
      <w:r>
        <w:rPr>
          <w:szCs w:val="22"/>
        </w:rPr>
        <w:t xml:space="preserve">server management services (together, the </w:t>
      </w:r>
      <w:r>
        <w:rPr>
          <w:b/>
          <w:i/>
          <w:szCs w:val="22"/>
        </w:rPr>
        <w:t>SWS Function</w:t>
      </w:r>
      <w:r>
        <w:rPr>
          <w:szCs w:val="22"/>
        </w:rPr>
        <w:t>).</w:t>
      </w:r>
    </w:p>
    <w:p>
      <w:pPr>
        <w:pStyle w:val="Normal"/>
        <w:jc w:val="both"/>
        <w:rPr>
          <w:szCs w:val="22"/>
        </w:rPr>
      </w:pPr>
      <w:r>
        <w:rPr>
          <w:szCs w:val="22"/>
        </w:rPr>
      </w:r>
    </w:p>
    <w:p>
      <w:pPr>
        <w:pStyle w:val="Normal"/>
        <w:numPr>
          <w:ilvl w:val="0"/>
          <w:numId w:val="28"/>
        </w:numPr>
        <w:tabs>
          <w:tab w:val="clear" w:pos="720"/>
        </w:tabs>
        <w:ind w:hanging="0" w:start="0" w:end="0"/>
        <w:jc w:val="both"/>
        <w:rPr>
          <w:szCs w:val="22"/>
        </w:rPr>
      </w:pPr>
      <w:r>
        <w:rPr>
          <w:szCs w:val="22"/>
        </w:rPr>
        <w:t>EuroBank required bidders to respond to the RFP jointly as preferred supplier teams (each, a PST) comprising an infrastructure integration manager (a 2IM) and a number of suppliers responsible for delivery of one of more service bundles within the workplace services function (the PST Supplier and the Other PST Suppliers).</w:t>
      </w:r>
      <w:r>
        <w:rPr>
          <w:b/>
          <w:i/>
          <w:szCs w:val="22"/>
        </w:rPr>
      </w:r>
      <w:r>
        <w:rPr>
          <w:szCs w:val="22"/>
        </w:rPr>
      </w:r>
      <w:r>
        <w:rPr>
          <w:b/>
          <w:i/>
          <w:szCs w:val="22"/>
        </w:rPr>
      </w:r>
      <w:r>
        <w:rPr>
          <w:szCs w:val="22"/>
        </w:rPr>
      </w:r>
      <w:r>
        <w:rPr>
          <w:b/>
          <w:i/>
          <w:szCs w:val="22"/>
        </w:rPr>
      </w:r>
      <w:r>
        <w:rPr>
          <w:szCs w:val="22"/>
        </w:rPr>
      </w:r>
      <w:r>
        <w:rPr>
          <w:b/>
          <w:i/>
          <w:szCs w:val="22"/>
        </w:rPr>
      </w:r>
      <w:r>
        <w:rPr>
          <w:szCs w:val="22"/>
        </w:rPr>
      </w:r>
    </w:p>
    <w:p>
      <w:pPr>
        <w:pStyle w:val="Normal"/>
        <w:ind w:start="360" w:end="0"/>
        <w:jc w:val="both"/>
        <w:rPr>
          <w:szCs w:val="22"/>
        </w:rPr>
      </w:pPr>
      <w:r>
        <w:rPr>
          <w:szCs w:val="22"/>
        </w:rPr>
      </w:r>
    </w:p>
    <w:p>
      <w:pPr>
        <w:pStyle w:val="Normal"/>
        <w:numPr>
          <w:ilvl w:val="0"/>
          <w:numId w:val="28"/>
        </w:numPr>
        <w:tabs>
          <w:tab w:val="clear" w:pos="720"/>
        </w:tabs>
        <w:ind w:hanging="0" w:start="0" w:end="0"/>
        <w:jc w:val="both"/>
        <w:rPr>
          <w:szCs w:val="22"/>
        </w:rPr>
      </w:pPr>
      <w:r>
        <w:rPr>
          <w:szCs w:val="22"/>
        </w:rPr>
        <w:t>The PST Supplier responded to the RFP jointly with [list team members] (the PST known as Neptune).  The PST Supplier with the other members of Neptune prepared a Response to the Request for Proposal dated 1 June 2005 (the Response).  In the Response the PST Supplier proposed that it be responsible for the delivery of [indicate service bundle for which the PST Supplier is responsible].</w:t>
      </w:r>
      <w:r>
        <w:rPr>
          <w:i/>
          <w:szCs w:val="22"/>
        </w:rPr>
      </w:r>
      <w:r>
        <w:rPr>
          <w:szCs w:val="22"/>
        </w:rPr>
      </w:r>
      <w:r>
        <w:rPr>
          <w:b/>
          <w:i/>
          <w:szCs w:val="22"/>
        </w:rPr>
      </w:r>
      <w:r>
        <w:rPr>
          <w:szCs w:val="22"/>
        </w:rPr>
      </w:r>
      <w:r>
        <w:rPr>
          <w:i/>
          <w:szCs w:val="22"/>
        </w:rPr>
      </w:r>
      <w:r>
        <w:rPr>
          <w:szCs w:val="22"/>
        </w:rPr>
      </w:r>
    </w:p>
    <w:p>
      <w:pPr>
        <w:pStyle w:val="Normal"/>
        <w:jc w:val="both"/>
        <w:rPr>
          <w:szCs w:val="22"/>
        </w:rPr>
      </w:pPr>
      <w:r>
        <w:rPr>
          <w:szCs w:val="22"/>
        </w:rPr>
      </w:r>
    </w:p>
    <w:p>
      <w:pPr>
        <w:pStyle w:val="Normal"/>
        <w:numPr>
          <w:ilvl w:val="0"/>
          <w:numId w:val="28"/>
        </w:numPr>
        <w:tabs>
          <w:tab w:val="clear" w:pos="720"/>
        </w:tabs>
        <w:ind w:hanging="0" w:start="0" w:end="0"/>
        <w:jc w:val="both"/>
        <w:rPr>
          <w:szCs w:val="22"/>
        </w:rPr>
      </w:pPr>
      <w:r>
        <w:rPr>
          <w:szCs w:val="22"/>
        </w:rPr>
        <w:t>On the basis of the Response, EuroBank selected the members of Neptune to provide the SWS Function, including the provision of the Services by the PST Supplier.</w:t>
      </w:r>
    </w:p>
    <w:p>
      <w:pPr>
        <w:pStyle w:val="Normal"/>
        <w:jc w:val="both"/>
        <w:rPr>
          <w:szCs w:val="22"/>
        </w:rPr>
      </w:pPr>
      <w:r>
        <w:rPr>
          <w:szCs w:val="22"/>
        </w:rPr>
      </w:r>
    </w:p>
    <w:p>
      <w:pPr>
        <w:pStyle w:val="Normal"/>
        <w:numPr>
          <w:ilvl w:val="0"/>
          <w:numId w:val="28"/>
        </w:numPr>
        <w:tabs>
          <w:tab w:val="clear" w:pos="720"/>
        </w:tabs>
        <w:ind w:hanging="0" w:start="0" w:end="0"/>
        <w:jc w:val="both"/>
        <w:rPr>
          <w:szCs w:val="22"/>
        </w:rPr>
      </w:pPr>
      <w:r>
        <w:rPr>
          <w:szCs w:val="22"/>
        </w:rPr>
        <w:t>The PST Supplier acknowledges that it is being contracted under this MSA to provide the Services as part of an integrated team, with the 2IM’s role including responsibility for the operational management of this MSA and the service agreements with the Other PST Suppliers and responsibility for ensuring the effective and consistent management of all of the workplace services service bundles and related projects and programs.</w:t>
      </w:r>
    </w:p>
    <w:p>
      <w:pPr>
        <w:pStyle w:val="Normal"/>
        <w:jc w:val="both"/>
        <w:rPr>
          <w:szCs w:val="22"/>
        </w:rPr>
      </w:pPr>
      <w:r>
        <w:rPr>
          <w:szCs w:val="22"/>
        </w:rPr>
      </w:r>
    </w:p>
    <w:p>
      <w:pPr>
        <w:pStyle w:val="Normal"/>
        <w:numPr>
          <w:ilvl w:val="0"/>
          <w:numId w:val="28"/>
        </w:numPr>
        <w:tabs>
          <w:tab w:val="clear" w:pos="720"/>
        </w:tabs>
        <w:ind w:hanging="0" w:start="0" w:end="0"/>
        <w:jc w:val="both"/>
        <w:rPr>
          <w:szCs w:val="22"/>
        </w:rPr>
      </w:pPr>
      <w:r>
        <w:rPr>
          <w:szCs w:val="22"/>
        </w:rPr>
        <w:t>The 2IM role is separately documented in a 2IM MSA of today’s date between EuroBank and [●].</w:t>
      </w:r>
    </w:p>
    <w:p>
      <w:pPr>
        <w:pStyle w:val="Normal"/>
        <w:jc w:val="both"/>
        <w:rPr>
          <w:szCs w:val="22"/>
        </w:rPr>
      </w:pPr>
      <w:r>
        <w:rPr>
          <w:szCs w:val="22"/>
        </w:rPr>
      </w:r>
    </w:p>
    <w:p>
      <w:pPr>
        <w:pStyle w:val="Normal"/>
        <w:numPr>
          <w:ilvl w:val="0"/>
          <w:numId w:val="28"/>
        </w:numPr>
        <w:tabs>
          <w:tab w:val="clear" w:pos="720"/>
        </w:tabs>
        <w:ind w:hanging="0" w:start="0" w:end="0"/>
        <w:jc w:val="both"/>
        <w:rPr>
          <w:szCs w:val="22"/>
        </w:rPr>
      </w:pPr>
      <w:r>
        <w:rPr>
          <w:szCs w:val="22"/>
        </w:rPr>
        <w:t>The PST Supplier acknowledges that the 2IM’s responsibility under its MSA with EuroBank involves the right for EuroBank to appoint the 2IM as its representative in exercising in EuroBank’s name and on EuroBank’s behalf a number of EuroBank’s rights and responsibilities under this MSA and that EuroBank may, in its discretion, appoint the 2IM or other persons to manage this MSA.  The PST Supplier also acknowledges that seamless end-to-end delivery of the SWS Function will require that the PST Supplier co-operate with the 2IM and with the Other PST Suppliers in accordance with this MSA.  As part of its obligations under this MSA, the PST Supplier will be entering into operational level agreements with the 2IM and the Other PST Suppliers and the PST Supplier will comply with its obligations under these agreements as a crucial part of the requirements of this MSA.</w:t>
      </w:r>
    </w:p>
    <w:p>
      <w:pPr>
        <w:pStyle w:val="Normal"/>
        <w:jc w:val="both"/>
        <w:rPr>
          <w:szCs w:val="22"/>
        </w:rPr>
      </w:pPr>
      <w:r>
        <w:rPr>
          <w:szCs w:val="22"/>
        </w:rPr>
      </w:r>
    </w:p>
    <w:p>
      <w:pPr>
        <w:pStyle w:val="Normal"/>
        <w:numPr>
          <w:ilvl w:val="0"/>
          <w:numId w:val="28"/>
        </w:numPr>
        <w:tabs>
          <w:tab w:val="clear" w:pos="720"/>
        </w:tabs>
        <w:ind w:hanging="0" w:start="0" w:end="0"/>
        <w:jc w:val="both"/>
        <w:rPr>
          <w:color w:val="008000"/>
          <w:szCs w:val="22"/>
        </w:rPr>
      </w:pPr>
      <w:r>
        <w:rPr>
          <w:color w:val="008000"/>
          <w:szCs w:val="22"/>
        </w:rPr>
        <w:t>[The PST Supplier and EuroBank have entered into the MATA on the same date as this MSA, which sets out the terms on which EuroBank shall transfer assets and contracts to the PST Supplier Group. The PST Supplier have entered (or will enter) into a LATA on December 13, 2006, which sets out the terms and conditions on which EuroBank Belgium shall transfer assets and contracts to the PST Supplier Group.][TelCo Version only.]</w:t>
      </w:r>
      <w:r>
        <w:rPr>
          <w:b/>
          <w:color w:val="008000"/>
          <w:szCs w:val="22"/>
          <w:highlight w:val="yellow"/>
        </w:rPr>
      </w:r>
      <w:r>
        <w:rPr>
          <w:color w:val="008000"/>
          <w:szCs w:val="22"/>
        </w:rPr>
      </w:r>
    </w:p>
    <w:p>
      <w:pPr>
        <w:pStyle w:val="Normal"/>
        <w:jc w:val="both"/>
        <w:rPr>
          <w:color w:val="008000"/>
          <w:szCs w:val="22"/>
        </w:rPr>
      </w:pPr>
      <w:r>
        <w:rPr>
          <w:color w:val="008000"/>
          <w:szCs w:val="22"/>
        </w:rPr>
      </w:r>
    </w:p>
    <w:p>
      <w:pPr>
        <w:pStyle w:val="Normal"/>
        <w:numPr>
          <w:ilvl w:val="0"/>
          <w:numId w:val="28"/>
        </w:numPr>
        <w:tabs>
          <w:tab w:val="clear" w:pos="720"/>
        </w:tabs>
        <w:ind w:hanging="0" w:start="0" w:end="0"/>
        <w:jc w:val="both"/>
        <w:rPr>
          <w:szCs w:val="22"/>
        </w:rPr>
      </w:pPr>
      <w:r>
        <w:rPr>
          <w:szCs w:val="22"/>
        </w:rPr>
        <w:t>EuroBank, EuroBank Verzekeringen Nederland N.V., EuroBank Personeel V.O.F. and the PST Supplier have entered into the Employee Transfer Agreement on the same date as this MSA, which sets out the terms on which EuroBank shall transfer employees to the PST Supplier Group.</w:t>
      </w:r>
    </w:p>
    <w:p>
      <w:pPr>
        <w:pStyle w:val="Normal"/>
        <w:jc w:val="both"/>
        <w:rPr>
          <w:szCs w:val="22"/>
        </w:rPr>
      </w:pPr>
      <w:r>
        <w:rPr>
          <w:szCs w:val="22"/>
        </w:rPr>
      </w:r>
    </w:p>
    <w:p>
      <w:pPr>
        <w:pStyle w:val="Normal"/>
        <w:jc w:val="both"/>
        <w:rPr>
          <w:szCs w:val="22"/>
        </w:rPr>
      </w:pPr>
      <w:r>
        <w:rPr>
          <w:szCs w:val="22"/>
        </w:rPr>
      </w:r>
    </w:p>
    <w:p>
      <w:pPr>
        <w:pStyle w:val="Normal"/>
        <w:jc w:val="both"/>
        <w:rPr/>
      </w:pPr>
      <w:r>
        <w:rPr>
          <w:b/>
          <w:szCs w:val="22"/>
        </w:rPr>
        <w:t>THE PARTIES AGREE</w:t>
      </w:r>
      <w:r>
        <w:rPr>
          <w:szCs w:val="22"/>
        </w:rPr>
        <w:t xml:space="preserve"> as follows:</w:t>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r>
        <w:rPr>
          <w:rFonts w:cs="Arial" w:ascii="Times New Roman Bold;Times New Roman" w:hAnsi="Times New Roman Bold;Times New Roman"/>
          <w:bCs/>
          <w:kern w:val="2"/>
          <w:szCs w:val="22"/>
        </w:rPr>
        <w:t>1.</w:t>
        <w:tab/>
        <w:t>AGREEMENT STRUCTURE</w:t>
      </w:r>
    </w:p>
    <w:p>
      <w:pPr>
        <w:pStyle w:val="Normal"/>
        <w:numPr>
          <w:ilvl w:val="1"/>
          <w:numId w:val="29"/>
        </w:numPr>
        <w:tabs>
          <w:tab w:val="clear" w:pos="720"/>
        </w:tabs>
        <w:spacing w:before="120" w:after="120"/>
        <w:ind w:hanging="0" w:start="0" w:end="0"/>
        <w:jc w:val="both"/>
        <w:rPr>
          <w:b/>
          <w:szCs w:val="22"/>
        </w:rPr>
      </w:pPr>
      <w:bookmarkStart w:id="0" w:name="_Ref127609378"/>
      <w:r>
        <w:rPr>
          <w:b/>
          <w:szCs w:val="22"/>
        </w:rPr>
        <w:t>Definitions and interpretation</w:t>
      </w:r>
      <w:bookmarkEnd w:id="0"/>
    </w:p>
    <w:p>
      <w:pPr>
        <w:pStyle w:val="Normal"/>
        <w:jc w:val="both"/>
        <w:rPr>
          <w:szCs w:val="22"/>
        </w:rPr>
      </w:pPr>
      <w:r>
        <w:rPr>
          <w:szCs w:val="22"/>
        </w:rPr>
        <w:t>Exhibit 1 (</w:t>
      </w:r>
      <w:r>
        <w:rPr>
          <w:i/>
          <w:szCs w:val="22"/>
        </w:rPr>
        <w:t>Definitions</w:t>
      </w:r>
      <w:r>
        <w:rPr>
          <w:szCs w:val="22"/>
        </w:rPr>
        <w:t>) contains the defined terms and principles of interpretation used in this MSA.</w:t>
      </w:r>
    </w:p>
    <w:p>
      <w:pPr>
        <w:pStyle w:val="Normal"/>
        <w:jc w:val="both"/>
        <w:rPr>
          <w:szCs w:val="22"/>
        </w:rPr>
      </w:pPr>
      <w:r>
        <w:rPr>
          <w:szCs w:val="22"/>
        </w:rPr>
      </w:r>
    </w:p>
    <w:p>
      <w:pPr>
        <w:pStyle w:val="Normal"/>
        <w:numPr>
          <w:ilvl w:val="1"/>
          <w:numId w:val="29"/>
        </w:numPr>
        <w:tabs>
          <w:tab w:val="clear" w:pos="720"/>
        </w:tabs>
        <w:spacing w:before="120" w:after="120"/>
        <w:ind w:hanging="0" w:start="0" w:end="0"/>
        <w:jc w:val="both"/>
        <w:rPr>
          <w:b/>
          <w:szCs w:val="22"/>
        </w:rPr>
      </w:pPr>
      <w:r>
        <w:rPr>
          <w:b/>
          <w:szCs w:val="22"/>
        </w:rPr>
        <w:t>MSA</w:t>
      </w:r>
    </w:p>
    <w:p>
      <w:pPr>
        <w:pStyle w:val="Normal"/>
        <w:numPr>
          <w:ilvl w:val="0"/>
          <w:numId w:val="0"/>
        </w:numPr>
        <w:ind w:hanging="0" w:start="0"/>
        <w:jc w:val="both"/>
        <w:rPr>
          <w:szCs w:val="22"/>
        </w:rPr>
      </w:pPr>
      <w:r>
        <w:rPr>
          <w:szCs w:val="22"/>
        </w:rPr>
        <w:t>1.2.1</w:t>
        <w:tab/>
        <w:t>The PST Supplier shall provide the Services to the EuroBank Group members in accordance with the Statements of Work, the Work Orders, the Service Levels and the other provisions of this MSA.</w:t>
      </w:r>
    </w:p>
    <w:p>
      <w:pPr>
        <w:pStyle w:val="Normal"/>
        <w:jc w:val="both"/>
        <w:rPr>
          <w:szCs w:val="22"/>
        </w:rPr>
      </w:pPr>
      <w:r>
        <w:rPr>
          <w:szCs w:val="22"/>
        </w:rPr>
      </w:r>
    </w:p>
    <w:p>
      <w:pPr>
        <w:pStyle w:val="Normal"/>
        <w:numPr>
          <w:ilvl w:val="0"/>
          <w:numId w:val="0"/>
        </w:numPr>
        <w:ind w:hanging="0" w:start="0"/>
        <w:jc w:val="both"/>
        <w:rPr/>
      </w:pPr>
      <w:bookmarkStart w:id="1" w:name="_Ref115147551"/>
      <w:r>
        <w:rPr>
          <w:szCs w:val="22"/>
        </w:rPr>
        <w:t>1.2.2</w:t>
        <w:tab/>
        <w:t>Each party shall comply with its obligations under the Exhibits.</w:t>
      </w:r>
      <w:bookmarkEnd w:id="1"/>
    </w:p>
    <w:p>
      <w:pPr>
        <w:pStyle w:val="Normal"/>
        <w:jc w:val="both"/>
        <w:rPr>
          <w:szCs w:val="22"/>
        </w:rPr>
      </w:pPr>
      <w:r>
        <w:rPr>
          <w:szCs w:val="22"/>
        </w:rPr>
      </w:r>
    </w:p>
    <w:p>
      <w:pPr>
        <w:pStyle w:val="Normal"/>
        <w:numPr>
          <w:ilvl w:val="0"/>
          <w:numId w:val="0"/>
        </w:numPr>
        <w:ind w:hanging="0" w:start="0"/>
        <w:jc w:val="both"/>
        <w:rPr>
          <w:szCs w:val="22"/>
        </w:rPr>
      </w:pPr>
      <w:bookmarkStart w:id="2" w:name="_Ref127607752"/>
      <w:r>
        <w:rPr>
          <w:szCs w:val="22"/>
        </w:rPr>
        <w:t>1.2.3</w:t>
        <w:tab/>
        <w:t>The PST Supplier shall perform its obligations under this MSA in accordance with</w:t>
      </w:r>
      <w:bookmarkEnd w:id="2"/>
      <w:r>
        <w:rPr>
          <w:szCs w:val="22"/>
        </w:rPr>
        <w:t>:</w:t>
      </w:r>
    </w:p>
    <w:p>
      <w:pPr>
        <w:pStyle w:val="Normal"/>
        <w:jc w:val="both"/>
        <w:rPr>
          <w:szCs w:val="22"/>
        </w:rPr>
      </w:pPr>
      <w:r>
        <w:rPr>
          <w:szCs w:val="22"/>
        </w:rPr>
      </w:r>
      <w:bookmarkStart w:id="3" w:name="_Ref127603346"/>
      <w:bookmarkStart w:id="4" w:name="_Ref127603346"/>
    </w:p>
    <w:p>
      <w:pPr>
        <w:pStyle w:val="ListBullet5"/>
        <w:numPr>
          <w:ilvl w:val="0"/>
          <w:numId w:val="0"/>
        </w:numPr>
        <w:ind w:hanging="0" w:start="0"/>
        <w:jc w:val="both"/>
        <w:rPr/>
      </w:pPr>
      <w:bookmarkStart w:id="5" w:name="_Ref127603346"/>
      <w:r>
        <w:rPr/>
        <w:t>(a)</w:t>
        <w:tab/>
        <w:t>the Policies and (from the date of its agreement) the Policies and Procedures Manual</w:t>
      </w:r>
      <w:bookmarkEnd w:id="5"/>
      <w:r>
        <w:rPr/>
        <w:t>;</w:t>
      </w:r>
    </w:p>
    <w:p>
      <w:pPr>
        <w:pStyle w:val="Normal"/>
        <w:jc w:val="both"/>
        <w:rPr/>
      </w:pPr>
      <w:r>
        <w:rPr/>
      </w:r>
    </w:p>
    <w:p>
      <w:pPr>
        <w:pStyle w:val="ListBullet5"/>
        <w:numPr>
          <w:ilvl w:val="1"/>
          <w:numId w:val="22"/>
        </w:numPr>
        <w:tabs>
          <w:tab w:val="clear" w:pos="720"/>
        </w:tabs>
        <w:ind w:hanging="0" w:start="0" w:end="0"/>
        <w:jc w:val="both"/>
        <w:rPr/>
      </w:pPr>
      <w:bookmarkStart w:id="6" w:name="_Ref120341404"/>
      <w:r>
        <w:rPr>
          <w:szCs w:val="22"/>
        </w:rPr>
        <w:t>Applicable Law; and</w:t>
      </w:r>
      <w:bookmarkEnd w:id="6"/>
    </w:p>
    <w:p>
      <w:pPr>
        <w:pStyle w:val="Normal"/>
        <w:jc w:val="both"/>
        <w:rPr/>
      </w:pPr>
      <w:r>
        <w:rPr/>
      </w:r>
    </w:p>
    <w:p>
      <w:pPr>
        <w:pStyle w:val="ListBullet5"/>
        <w:numPr>
          <w:ilvl w:val="1"/>
          <w:numId w:val="22"/>
        </w:numPr>
        <w:tabs>
          <w:tab w:val="clear" w:pos="720"/>
        </w:tabs>
        <w:ind w:hanging="720" w:start="720" w:end="0"/>
        <w:jc w:val="both"/>
        <w:rPr/>
      </w:pPr>
      <w:bookmarkStart w:id="7" w:name="_Ref127603354"/>
      <w:r>
        <w:rPr>
          <w:szCs w:val="22"/>
        </w:rPr>
        <w:t>The PST Supplier’s own best practice policies and procedures (the PST Supplier, at EuroBank’s request, providing EuroBank with copies of such policies and procedures that can be disclosed) and, to the extent that they do not conflict with the PST Supplier’s best practices, the ITIL Standards.</w:t>
      </w:r>
      <w:bookmarkEnd w:id="7"/>
    </w:p>
    <w:p>
      <w:pPr>
        <w:pStyle w:val="Normal"/>
        <w:jc w:val="both"/>
        <w:rPr>
          <w:szCs w:val="22"/>
        </w:rPr>
      </w:pPr>
      <w:r>
        <w:rPr>
          <w:szCs w:val="22"/>
        </w:rPr>
      </w:r>
    </w:p>
    <w:p>
      <w:pPr>
        <w:pStyle w:val="Normal"/>
        <w:numPr>
          <w:ilvl w:val="0"/>
          <w:numId w:val="0"/>
        </w:numPr>
        <w:ind w:hanging="0" w:start="0"/>
        <w:jc w:val="both"/>
        <w:rPr/>
      </w:pPr>
      <w:r>
        <w:rPr>
          <w:szCs w:val="22"/>
        </w:rPr>
        <w:t>1.2.4</w:t>
        <w:tab/>
        <w:t>If and to the extent of any conflict between the requirements of sub-clauses 1.2.3(a), 1.2.3(b) and/or 1.2.3(c), then the following order of precedence shall apply: sub-clause 1.2.3(b), followed by sub-clause 1.2.3(a), followed by sub-clause 1.2.3(c).</w:t>
      </w:r>
    </w:p>
    <w:p>
      <w:pPr>
        <w:pStyle w:val="Normal"/>
        <w:jc w:val="both"/>
        <w:rPr>
          <w:szCs w:val="22"/>
        </w:rPr>
      </w:pPr>
      <w:r>
        <w:rPr>
          <w:szCs w:val="22"/>
        </w:rPr>
      </w:r>
    </w:p>
    <w:p>
      <w:pPr>
        <w:pStyle w:val="Normal"/>
        <w:numPr>
          <w:ilvl w:val="0"/>
          <w:numId w:val="0"/>
        </w:numPr>
        <w:ind w:hanging="0" w:start="0"/>
        <w:jc w:val="both"/>
        <w:rPr/>
      </w:pPr>
      <w:r>
        <w:rPr>
          <w:szCs w:val="22"/>
        </w:rPr>
        <w:t>1.2.5</w:t>
        <w:tab/>
        <w:t xml:space="preserve">EuroBank shall provide such information and assistance in implementing and receiving the Services as the parties may agree from time to time or as otherwise required in accordance with Applicable Law. EuroBank shall consider in good faith any additional request by the PST Supplier for such information and assistance.  </w:t>
      </w:r>
    </w:p>
    <w:p>
      <w:pPr>
        <w:pStyle w:val="Normal"/>
        <w:jc w:val="both"/>
        <w:rPr>
          <w:szCs w:val="22"/>
        </w:rPr>
      </w:pPr>
      <w:r>
        <w:rPr>
          <w:szCs w:val="22"/>
        </w:rPr>
      </w:r>
    </w:p>
    <w:p>
      <w:pPr>
        <w:pStyle w:val="Normal"/>
        <w:numPr>
          <w:ilvl w:val="1"/>
          <w:numId w:val="29"/>
        </w:numPr>
        <w:tabs>
          <w:tab w:val="clear" w:pos="720"/>
        </w:tabs>
        <w:spacing w:before="120" w:after="120"/>
        <w:ind w:hanging="0" w:start="0" w:end="0"/>
        <w:jc w:val="both"/>
        <w:rPr>
          <w:b/>
          <w:szCs w:val="22"/>
        </w:rPr>
      </w:pPr>
      <w:r>
        <w:rPr>
          <w:b/>
          <w:szCs w:val="22"/>
        </w:rPr>
        <w:t>LSAs</w:t>
      </w:r>
    </w:p>
    <w:p>
      <w:pPr>
        <w:pStyle w:val="Normal"/>
        <w:numPr>
          <w:ilvl w:val="0"/>
          <w:numId w:val="0"/>
        </w:numPr>
        <w:ind w:hanging="0" w:start="0"/>
        <w:jc w:val="both"/>
        <w:rPr>
          <w:szCs w:val="22"/>
        </w:rPr>
      </w:pPr>
      <w:r>
        <w:rPr>
          <w:szCs w:val="22"/>
        </w:rPr>
        <w:t>1.3.1</w:t>
        <w:tab/>
        <w:t>The parties shall upon mutual agreement enter into, or procure that their relevant local Affiliates enter into, LSAs to implement this MSA in the countries specified in Exhibit 7 (</w:t>
      </w:r>
      <w:r>
        <w:rPr>
          <w:i/>
          <w:szCs w:val="22"/>
        </w:rPr>
        <w:t>Sites and Local Entities</w:t>
      </w:r>
      <w:r>
        <w:rPr>
          <w:szCs w:val="22"/>
        </w:rPr>
        <w:t>) and/or in any New Countries from time to time.</w:t>
      </w:r>
    </w:p>
    <w:p>
      <w:pPr>
        <w:pStyle w:val="Normal"/>
        <w:jc w:val="both"/>
        <w:rPr>
          <w:szCs w:val="22"/>
        </w:rPr>
      </w:pPr>
      <w:r>
        <w:rPr>
          <w:szCs w:val="22"/>
        </w:rPr>
      </w:r>
    </w:p>
    <w:p>
      <w:pPr>
        <w:pStyle w:val="Normal"/>
        <w:numPr>
          <w:ilvl w:val="0"/>
          <w:numId w:val="0"/>
        </w:numPr>
        <w:tabs>
          <w:tab w:val="left" w:pos="720" w:leader="none"/>
        </w:tabs>
        <w:ind w:hanging="0" w:start="0"/>
        <w:jc w:val="both"/>
        <w:rPr/>
      </w:pPr>
      <w:r>
        <w:rPr>
          <w:szCs w:val="22"/>
        </w:rPr>
        <w:t>1.3.2</w:t>
        <w:tab/>
        <w:t>The requirements set out in clause 15 shall apply to each LSA.</w:t>
      </w:r>
    </w:p>
    <w:p>
      <w:pPr>
        <w:pStyle w:val="Normal"/>
        <w:jc w:val="both"/>
        <w:rPr>
          <w:szCs w:val="22"/>
        </w:rPr>
      </w:pPr>
      <w:r>
        <w:rPr>
          <w:szCs w:val="22"/>
        </w:rPr>
      </w:r>
    </w:p>
    <w:p>
      <w:pPr>
        <w:pStyle w:val="Normal"/>
        <w:numPr>
          <w:ilvl w:val="0"/>
          <w:numId w:val="0"/>
        </w:numPr>
        <w:tabs>
          <w:tab w:val="left" w:pos="720" w:leader="none"/>
        </w:tabs>
        <w:ind w:hanging="0" w:start="0"/>
        <w:jc w:val="both"/>
        <w:rPr/>
      </w:pPr>
      <w:r>
        <w:rPr>
          <w:szCs w:val="22"/>
        </w:rPr>
        <w:t>1.3.3</w:t>
        <w:tab/>
        <w:t xml:space="preserve">Each party shall procure that its relevant Affiliates perform their respective obligations under the LSAs.  A breach of a LSA shall be a breach of this MSA and be dealt with under the provisions of this MSA unless otherwise agreed or as required by local Applicable Law. </w:t>
      </w:r>
    </w:p>
    <w:p>
      <w:pPr>
        <w:pStyle w:val="Normal"/>
        <w:jc w:val="both"/>
        <w:rPr>
          <w:szCs w:val="22"/>
        </w:rPr>
      </w:pPr>
      <w:r>
        <w:rPr>
          <w:szCs w:val="22"/>
        </w:rPr>
      </w:r>
    </w:p>
    <w:p>
      <w:pPr>
        <w:pStyle w:val="Normal"/>
        <w:numPr>
          <w:ilvl w:val="1"/>
          <w:numId w:val="29"/>
        </w:numPr>
        <w:tabs>
          <w:tab w:val="clear" w:pos="720"/>
        </w:tabs>
        <w:spacing w:before="120" w:after="120"/>
        <w:ind w:hanging="0" w:start="0" w:end="0"/>
        <w:jc w:val="both"/>
        <w:rPr>
          <w:b/>
          <w:szCs w:val="22"/>
        </w:rPr>
      </w:pPr>
      <w:r>
        <w:rPr>
          <w:b/>
          <w:szCs w:val="22"/>
        </w:rPr>
        <w:t>PST Structure and OLAs</w:t>
      </w:r>
    </w:p>
    <w:p>
      <w:pPr>
        <w:pStyle w:val="Normal"/>
        <w:numPr>
          <w:ilvl w:val="0"/>
          <w:numId w:val="0"/>
        </w:numPr>
        <w:ind w:hanging="0" w:start="0"/>
        <w:jc w:val="both"/>
        <w:rPr>
          <w:szCs w:val="22"/>
        </w:rPr>
      </w:pPr>
      <w:r>
        <w:rPr>
          <w:szCs w:val="22"/>
        </w:rPr>
        <w:t>1.4.1</w:t>
        <w:tab/>
        <w:t>The PST Supplier acknowledges that:</w:t>
      </w:r>
    </w:p>
    <w:p>
      <w:pPr>
        <w:pStyle w:val="Normal"/>
        <w:jc w:val="both"/>
        <w:rPr>
          <w:szCs w:val="22"/>
        </w:rPr>
      </w:pPr>
      <w:r>
        <w:rPr>
          <w:szCs w:val="22"/>
        </w:rPr>
      </w:r>
    </w:p>
    <w:p>
      <w:pPr>
        <w:pStyle w:val="ListBullet5"/>
        <w:numPr>
          <w:ilvl w:val="0"/>
          <w:numId w:val="0"/>
        </w:numPr>
        <w:ind w:hanging="720" w:start="720" w:end="0"/>
        <w:jc w:val="both"/>
        <w:rPr/>
      </w:pPr>
      <w:r>
        <w:rPr/>
        <w:t>(a)</w:t>
        <w:tab/>
        <w:t>it shall provide the Services as an integrated part of the SWS Function in co-operation with the 2IM and the Other PST Suppliers;</w:t>
      </w:r>
    </w:p>
    <w:p>
      <w:pPr>
        <w:pStyle w:val="ListBullet5"/>
        <w:numPr>
          <w:ilvl w:val="0"/>
          <w:numId w:val="0"/>
        </w:numPr>
        <w:ind w:hanging="720" w:start="720" w:end="0"/>
        <w:jc w:val="both"/>
        <w:rPr/>
      </w:pPr>
      <w:r>
        <w:rPr/>
      </w:r>
    </w:p>
    <w:p>
      <w:pPr>
        <w:pStyle w:val="Normal"/>
        <w:ind w:hanging="720" w:start="720" w:end="0"/>
        <w:jc w:val="both"/>
        <w:rPr/>
      </w:pPr>
      <w:r>
        <w:rPr/>
        <w:t>(b)</w:t>
        <w:tab/>
        <w:t>EuroBank may, from time to time, appoint new or additional persons to fulfil the 2IM and Other PST Supplier roles and these entities shall, from the time of appointment, be the 2IM or the Other PST Suppliers for the purposes of this MSA.  The efforts needed to implement such appointments, the impact thereof on the Services and related Service Levels (if any) will be dealt with in accordance with the Change Control Procedure, provided that the PST Supplier shall bear its own costs related to such appointments and their implementation (save for additional costs of new or altered service interfaces agreed under the relevant OLAs as approved by EuroBank beforehand and on the assumption that EuroBank has entered into an agreement with the new Other PST Supplier on materially the same conditions as this MSA);</w:t>
      </w:r>
      <w:bookmarkStart w:id="8" w:name="OLE_LINK1"/>
      <w:r>
        <w:rPr/>
      </w:r>
      <w:bookmarkEnd w:id="8"/>
    </w:p>
    <w:p>
      <w:pPr>
        <w:pStyle w:val="ListBullet5"/>
        <w:numPr>
          <w:ilvl w:val="0"/>
          <w:numId w:val="0"/>
        </w:numPr>
        <w:ind w:hanging="720" w:start="720" w:end="0"/>
        <w:jc w:val="both"/>
        <w:rPr/>
      </w:pPr>
      <w:r>
        <w:rPr/>
      </w:r>
      <w:bookmarkStart w:id="9" w:name="_DV_M5"/>
      <w:bookmarkStart w:id="10" w:name="_DV_M4"/>
      <w:bookmarkStart w:id="11" w:name="_DV_M3"/>
      <w:bookmarkStart w:id="12" w:name="_DV_M5"/>
      <w:bookmarkStart w:id="13" w:name="_DV_M4"/>
      <w:bookmarkStart w:id="14" w:name="_DV_M3"/>
      <w:bookmarkEnd w:id="12"/>
      <w:bookmarkEnd w:id="13"/>
      <w:bookmarkEnd w:id="14"/>
    </w:p>
    <w:p>
      <w:pPr>
        <w:pStyle w:val="ListBullet5"/>
        <w:numPr>
          <w:ilvl w:val="0"/>
          <w:numId w:val="0"/>
        </w:numPr>
        <w:ind w:hanging="720" w:start="720" w:end="0"/>
        <w:jc w:val="both"/>
        <w:rPr/>
      </w:pPr>
      <w:r>
        <w:rPr/>
        <w:t xml:space="preserve">(c) </w:t>
        <w:tab/>
        <w:t>EuroBank may sub-contract the performance of any of its obligations under this MSA to the 2IM and may appoint the 2IM to act as its representative in exercising on EuroBank’s behalf and in EuroBank’s name any of its rights under this MSA for the purpose of enabling the 2IM to fulfil its obligations to EuroBank; and</w:t>
      </w:r>
    </w:p>
    <w:p>
      <w:pPr>
        <w:pStyle w:val="ListBullet5"/>
        <w:numPr>
          <w:ilvl w:val="0"/>
          <w:numId w:val="0"/>
        </w:numPr>
        <w:ind w:hanging="720" w:start="720" w:end="0"/>
        <w:jc w:val="both"/>
        <w:rPr/>
      </w:pPr>
      <w:r>
        <w:rPr/>
      </w:r>
      <w:bookmarkStart w:id="15" w:name="_Ref126576570"/>
      <w:bookmarkStart w:id="16" w:name="_Ref126576570"/>
    </w:p>
    <w:p>
      <w:pPr>
        <w:pStyle w:val="ListBullet5"/>
        <w:numPr>
          <w:ilvl w:val="0"/>
          <w:numId w:val="0"/>
        </w:numPr>
        <w:ind w:hanging="720" w:start="720" w:end="0"/>
        <w:jc w:val="both"/>
        <w:rPr/>
      </w:pPr>
      <w:r>
        <w:rPr/>
        <w:t>(d)</w:t>
        <w:tab/>
        <w:t>EuroBank may appoint the 2IM to manage all or any part of this MSA on EuroBank’s behalf.</w:t>
      </w:r>
      <w:r>
        <w:rPr>
          <w:szCs w:val="22"/>
        </w:rPr>
      </w:r>
      <w:bookmarkEnd w:id="16"/>
    </w:p>
    <w:p>
      <w:pPr>
        <w:pStyle w:val="Normal"/>
        <w:jc w:val="both"/>
        <w:rPr>
          <w:szCs w:val="22"/>
        </w:rPr>
      </w:pPr>
      <w:r>
        <w:rPr>
          <w:szCs w:val="22"/>
        </w:rPr>
      </w:r>
    </w:p>
    <w:p>
      <w:pPr>
        <w:pStyle w:val="Normal"/>
        <w:jc w:val="both"/>
        <w:rPr>
          <w:szCs w:val="22"/>
        </w:rPr>
      </w:pPr>
      <w:r>
        <w:rPr>
          <w:szCs w:val="22"/>
        </w:rPr>
        <w:t>1.4.2</w:t>
        <w:tab/>
        <w:t xml:space="preserve">The PST Supplier shall enter into OLAs with the 2IM and each of the Other PST Suppliers from time to time in accordance with the requirements of Exhibit 2.7 (2IM Services and Governance).  The PST Supplier acknowledges that the 2IM shall manage the negotiation, performance and any amendment of the OLAs in accordance with Exhibit 2.7 (2IM Services and Governance).  The PST Supplier shall co-operate with the 2IM accordingly.  As further detailed in Exhibit 2.7 (2IM Services and Governance), the purpose of the OLAs is to prescribe the roles and responsibilities and dependencies of the PST Supplier, the 2IM and the Other PST Suppliers as part of a fully integrated supplier team in order to provide EuroBank with end-to-end delivery of the SWS Function. </w:t>
      </w:r>
      <w:r>
        <w:rPr>
          <w:i/>
          <w:szCs w:val="22"/>
        </w:rPr>
      </w:r>
      <w:r>
        <w:rPr>
          <w:szCs w:val="22"/>
        </w:rPr>
      </w:r>
      <w:r>
        <w:rPr>
          <w:i/>
          <w:szCs w:val="22"/>
        </w:rPr>
      </w:r>
      <w:r>
        <w:rPr>
          <w:szCs w:val="22"/>
        </w:rPr>
      </w:r>
      <w:r>
        <w:rPr>
          <w:i/>
          <w:szCs w:val="22"/>
        </w:rPr>
      </w:r>
      <w:r>
        <w:rPr>
          <w:szCs w:val="22"/>
        </w:rPr>
      </w:r>
    </w:p>
    <w:p>
      <w:pPr>
        <w:pStyle w:val="Normal"/>
        <w:jc w:val="both"/>
        <w:rPr>
          <w:szCs w:val="22"/>
        </w:rPr>
      </w:pPr>
      <w:r>
        <w:rPr>
          <w:szCs w:val="22"/>
        </w:rPr>
      </w:r>
    </w:p>
    <w:p>
      <w:pPr>
        <w:pStyle w:val="Normal"/>
        <w:jc w:val="both"/>
        <w:rPr/>
      </w:pPr>
      <w:r>
        <w:rPr>
          <w:szCs w:val="22"/>
        </w:rPr>
        <w:t>1.4.3</w:t>
        <w:tab/>
        <w:t>The PST Supplier acknowledges and agrees that it is obliged to interact with the 2IM and the Other PST Suppliers in a professional way and will provide to the 2IM and the Other PST Suppliers all reasonably necessary support and co-operation falling within the sphere of its own Bundle to enable the 2IM and the Other PST Suppliers to effectively and efficiently execute their tasks and responsibilities towards EuroBank under their MSAs. This includes the tasks described in the OLAs.  The PST Supplier will use its best efforts in describing and agreeing all material Touch Points, interfaces, handover points and operational interdependencies in the OLAs and shall request and agree updates to the OLAs in accordance with the terms of the OLAs from time to time if the requirements change.</w:t>
      </w:r>
    </w:p>
    <w:p>
      <w:pPr>
        <w:pStyle w:val="Normal"/>
        <w:jc w:val="both"/>
        <w:rPr>
          <w:szCs w:val="22"/>
        </w:rPr>
      </w:pPr>
      <w:r>
        <w:rPr>
          <w:szCs w:val="22"/>
        </w:rPr>
      </w:r>
    </w:p>
    <w:p>
      <w:pPr>
        <w:pStyle w:val="Normal"/>
        <w:jc w:val="both"/>
        <w:rPr/>
      </w:pPr>
      <w:r>
        <w:rPr>
          <w:szCs w:val="22"/>
        </w:rPr>
        <w:t>1.4.4</w:t>
        <w:tab/>
        <w:t>The PST Supplier shall, in co-operation with the 2IM, negotiate and agree each OLA at its own cost directly with the 2IM and each Other PST Supplier on or before the Effective Date.  EuroBank shall be entitled to give its consent to each such OLA (and any amendments thereto) prior to execution, such consent not to be unreasonably withheld or delayed. The PST Supplier acknowledges that EuroBank assumes no responsibility for any OLA.</w:t>
      </w:r>
    </w:p>
    <w:p>
      <w:pPr>
        <w:pStyle w:val="Normal"/>
        <w:jc w:val="both"/>
        <w:rPr>
          <w:szCs w:val="22"/>
        </w:rPr>
      </w:pPr>
      <w:r>
        <w:rPr>
          <w:szCs w:val="22"/>
        </w:rPr>
      </w:r>
    </w:p>
    <w:p>
      <w:pPr>
        <w:pStyle w:val="Normal"/>
        <w:jc w:val="both"/>
        <w:rPr/>
      </w:pPr>
      <w:r>
        <w:rPr>
          <w:szCs w:val="22"/>
        </w:rPr>
        <w:t>1.4.5</w:t>
        <w:tab/>
        <w:t>The PST Supplier shall perform its obligations under each OLA in accordance with its terms and, subject to EuroBank’s consent in each instance, not to be unreasonably withheld or delayed, shall amend the OLAs from time to time in writing to account for any changes to the Services and/or the SWS Function or as otherwise directed by the 2IM in accordance with Exhibit 2.7 (2IM Services &amp; Governance).  The PST Supplier undertakes to not enter into any agreement or arrangement which conflicts with or is inconsistent with the provisions of this MSA or any OLA. The PST Supplier shall not unreasonably withhold or delay its answer to any request by EuroBank for information pertaining to any agreement or arrangement entered into by the PST Supplier or any Affiliate from time to time with the 2IM and/or any of the Other PST Suppliers which relates to the SWS Function.</w:t>
      </w:r>
      <w:r>
        <w:rPr>
          <w:i/>
          <w:szCs w:val="22"/>
        </w:rPr>
      </w:r>
      <w:r>
        <w:rPr>
          <w:szCs w:val="22"/>
        </w:rPr>
      </w:r>
    </w:p>
    <w:p>
      <w:pPr>
        <w:pStyle w:val="Normal"/>
        <w:jc w:val="both"/>
        <w:rPr>
          <w:szCs w:val="22"/>
        </w:rPr>
      </w:pPr>
      <w:r>
        <w:rPr>
          <w:szCs w:val="22"/>
        </w:rPr>
      </w:r>
    </w:p>
    <w:p>
      <w:pPr>
        <w:pStyle w:val="Normal"/>
        <w:jc w:val="both"/>
        <w:rPr/>
      </w:pPr>
      <w:r>
        <w:rPr>
          <w:szCs w:val="22"/>
        </w:rPr>
        <w:t>1.4.6</w:t>
        <w:tab/>
        <w:t>The PST Supplier shall be responsible for ensuring that none of its obligations under any OLA is inconsistent with the requirements of this MSA.  Any breach by the PST Supplier of an OLA shall be deemed to be a breach by the PST Supplier of this MSA. EuroBank is a third party beneficiary under the OLAs and the proper performance by the PST Supplier of its tasks under the OLA is and integral part of its obligations towards EuroBank under this MSA. EuroBank hereby accepts the rights granted and to be granted to it as a third party beneficiary under any current or future OLA entered into by the PST Supplier in accordance with this MSA. The PST Supplier does not accept liability or responsibility towards EuroBank for the proper performance by the Other PST Suppliers or the 2IM of their obligations under their OLAs with the PST Supplier and the Other PST Suppliers and the 2IM shall not be considered subcontractors (hulppersonen ex 6:76 Dutch civil code) of the PST Supplier, provided that:</w:t>
      </w:r>
      <w:r>
        <w:rPr>
          <w:i/>
          <w:szCs w:val="22"/>
        </w:rPr>
      </w:r>
      <w:r>
        <w:rPr>
          <w:szCs w:val="22"/>
        </w:rPr>
      </w:r>
    </w:p>
    <w:p>
      <w:pPr>
        <w:pStyle w:val="Normal"/>
        <w:jc w:val="both"/>
        <w:rPr>
          <w:szCs w:val="22"/>
        </w:rPr>
      </w:pPr>
      <w:r>
        <w:rPr>
          <w:szCs w:val="22"/>
        </w:rPr>
      </w:r>
    </w:p>
    <w:p>
      <w:pPr>
        <w:pStyle w:val="Normal"/>
        <w:ind w:hanging="720" w:start="720" w:end="0"/>
        <w:jc w:val="both"/>
        <w:rPr/>
      </w:pPr>
      <w:r>
        <w:rPr>
          <w:szCs w:val="22"/>
        </w:rPr>
        <w:t>(a)</w:t>
        <w:tab/>
        <w:t>the PST Supplier shall promptly notify EuroBank and the 2IM of any breach or suspected breach by the Other PST Suppliers or the 2IM of an OLA to which it is a party; and</w:t>
      </w:r>
    </w:p>
    <w:p>
      <w:pPr>
        <w:pStyle w:val="Normal"/>
        <w:ind w:hanging="720" w:start="720" w:end="0"/>
        <w:jc w:val="both"/>
        <w:rPr>
          <w:szCs w:val="22"/>
        </w:rPr>
      </w:pPr>
      <w:r>
        <w:rPr>
          <w:szCs w:val="22"/>
        </w:rPr>
      </w:r>
    </w:p>
    <w:p>
      <w:pPr>
        <w:pStyle w:val="Normal"/>
        <w:ind w:hanging="720" w:start="720" w:end="0"/>
        <w:jc w:val="both"/>
        <w:rPr>
          <w:szCs w:val="22"/>
        </w:rPr>
      </w:pPr>
      <w:r>
        <w:rPr>
          <w:szCs w:val="22"/>
        </w:rPr>
        <w:t>(b)</w:t>
        <w:tab/>
        <w:t>the provisions of Exhibit 3 (</w:t>
      </w:r>
      <w:r>
        <w:rPr>
          <w:i/>
          <w:szCs w:val="22"/>
        </w:rPr>
        <w:t>Service Levels</w:t>
      </w:r>
      <w:r>
        <w:rPr>
          <w:szCs w:val="22"/>
        </w:rPr>
        <w:t>) shall apply with respect to breaches of Service Levels arising from any breach of an OLA to which the PST Supplier is a party.</w:t>
      </w:r>
    </w:p>
    <w:p>
      <w:pPr>
        <w:pStyle w:val="Normal"/>
        <w:jc w:val="both"/>
        <w:rPr>
          <w:szCs w:val="22"/>
        </w:rPr>
      </w:pPr>
      <w:r>
        <w:rPr>
          <w:szCs w:val="22"/>
        </w:rPr>
      </w:r>
    </w:p>
    <w:p>
      <w:pPr>
        <w:pStyle w:val="Normal"/>
        <w:numPr>
          <w:ilvl w:val="1"/>
          <w:numId w:val="29"/>
        </w:numPr>
        <w:tabs>
          <w:tab w:val="clear" w:pos="720"/>
        </w:tabs>
        <w:spacing w:before="120" w:after="120"/>
        <w:ind w:hanging="0" w:start="0" w:end="0"/>
        <w:jc w:val="both"/>
        <w:rPr>
          <w:b/>
          <w:szCs w:val="22"/>
        </w:rPr>
      </w:pPr>
      <w:r>
        <w:rPr>
          <w:b/>
          <w:szCs w:val="22"/>
        </w:rPr>
        <w:t>Contract Extension for Global Services</w:t>
      </w:r>
    </w:p>
    <w:p>
      <w:pPr>
        <w:pStyle w:val="Normal"/>
        <w:jc w:val="both"/>
        <w:rPr/>
      </w:pPr>
      <w:r>
        <w:rPr>
          <w:szCs w:val="22"/>
        </w:rPr>
        <w:t>1.5.1</w:t>
        <w:tab/>
        <w:t>During the Term and any extension thereof, EuroBank may require the extension of this MSA beyond the In-Scope Countries to additional countries (each a New Country; more than one New Country, collectively: New Countries). The procedure for extension of this MSA to such New Countries and the provision of the Services in such New Countries by the PST Supplier under the terms of this MSA, will be subject to the terms and conditions specified below:</w:t>
      </w:r>
      <w:r>
        <w:rPr>
          <w:b/>
          <w:i/>
          <w:szCs w:val="22"/>
        </w:rPr>
      </w:r>
      <w:r>
        <w:rPr>
          <w:szCs w:val="22"/>
        </w:rPr>
      </w:r>
      <w:r>
        <w:rPr>
          <w:b/>
          <w:i/>
          <w:szCs w:val="22"/>
        </w:rPr>
      </w:r>
      <w:r>
        <w:rPr>
          <w:szCs w:val="22"/>
        </w:rPr>
      </w:r>
    </w:p>
    <w:p>
      <w:pPr>
        <w:pStyle w:val="Normal"/>
        <w:jc w:val="both"/>
        <w:rPr>
          <w:szCs w:val="22"/>
        </w:rPr>
      </w:pPr>
      <w:r>
        <w:rPr>
          <w:szCs w:val="22"/>
        </w:rPr>
      </w:r>
    </w:p>
    <w:p>
      <w:pPr>
        <w:pStyle w:val="Normal"/>
        <w:ind w:hanging="720" w:start="720" w:end="0"/>
        <w:jc w:val="both"/>
        <w:rPr/>
      </w:pPr>
      <w:r>
        <w:rPr>
          <w:szCs w:val="22"/>
        </w:rPr>
        <w:t>(a)</w:t>
        <w:tab/>
        <w:t>Subject to a notice period of 3 months EuroBank shall notify the PST Supplier in writing of its desire to add a New Country (the New Country Notice). The New Country Notice shall specify the identity of the New Country, the corresponding assets and resource baselines, and the proposed date on which the provision of the Services to that New Country shall commence;</w:t>
      </w:r>
      <w:r>
        <w:rPr>
          <w:b/>
          <w:i/>
          <w:szCs w:val="22"/>
        </w:rPr>
      </w:r>
      <w:r>
        <w:rPr>
          <w:szCs w:val="22"/>
        </w:rPr>
      </w:r>
    </w:p>
    <w:p>
      <w:pPr>
        <w:pStyle w:val="Normal"/>
        <w:ind w:hanging="720" w:start="720" w:end="0"/>
        <w:jc w:val="both"/>
        <w:rPr>
          <w:szCs w:val="22"/>
        </w:rPr>
      </w:pPr>
      <w:r>
        <w:rPr>
          <w:szCs w:val="22"/>
        </w:rPr>
      </w:r>
    </w:p>
    <w:p>
      <w:pPr>
        <w:pStyle w:val="Normal"/>
        <w:ind w:hanging="720" w:start="720" w:end="0"/>
        <w:jc w:val="both"/>
        <w:rPr/>
      </w:pPr>
      <w:r>
        <w:rPr>
          <w:szCs w:val="22"/>
        </w:rPr>
        <w:t>(b)</w:t>
        <w:tab/>
        <w:t>Following receipt of the New Country Notice by the PST Supplier, the parties shall consult together in good faith with a view to:</w:t>
      </w:r>
    </w:p>
    <w:p>
      <w:pPr>
        <w:pStyle w:val="Normal"/>
        <w:ind w:hanging="720" w:start="1440" w:end="0"/>
        <w:jc w:val="both"/>
        <w:rPr>
          <w:szCs w:val="22"/>
        </w:rPr>
      </w:pPr>
      <w:r>
        <w:rPr>
          <w:szCs w:val="22"/>
        </w:rPr>
      </w:r>
    </w:p>
    <w:p>
      <w:pPr>
        <w:pStyle w:val="Normal"/>
        <w:ind w:hanging="720" w:start="1440" w:end="0"/>
        <w:jc w:val="both"/>
        <w:rPr/>
      </w:pPr>
      <w:r>
        <w:rPr>
          <w:szCs w:val="22"/>
        </w:rPr>
        <w:t>(i)</w:t>
        <w:tab/>
        <w:t>Enabling the PST Supplier to undertake due diligence on assets, resources, the existing contracts and services in the relevant New Country;</w:t>
      </w:r>
    </w:p>
    <w:p>
      <w:pPr>
        <w:pStyle w:val="Normal"/>
        <w:ind w:hanging="720" w:start="1440" w:end="0"/>
        <w:jc w:val="both"/>
        <w:rPr>
          <w:szCs w:val="22"/>
        </w:rPr>
      </w:pPr>
      <w:r>
        <w:rPr>
          <w:szCs w:val="22"/>
        </w:rPr>
      </w:r>
    </w:p>
    <w:p>
      <w:pPr>
        <w:pStyle w:val="Normal"/>
        <w:ind w:hanging="720" w:start="1440" w:end="0"/>
        <w:jc w:val="both"/>
        <w:rPr/>
      </w:pPr>
      <w:r>
        <w:rPr>
          <w:szCs w:val="22"/>
        </w:rPr>
        <w:t>(ii)</w:t>
        <w:tab/>
        <w:t>Providing the PST Supplier with such other information as reasonably necessary to enable the PST Supplier to make a commercial proposal to EuroBank for the addition of the New Country to the MSA; and</w:t>
      </w:r>
    </w:p>
    <w:p>
      <w:pPr>
        <w:pStyle w:val="Normal"/>
        <w:ind w:hanging="720" w:start="1440" w:end="0"/>
        <w:jc w:val="both"/>
        <w:rPr>
          <w:szCs w:val="22"/>
        </w:rPr>
      </w:pPr>
      <w:r>
        <w:rPr>
          <w:szCs w:val="22"/>
        </w:rPr>
      </w:r>
      <w:bookmarkStart w:id="17" w:name="_Ref148250361"/>
      <w:bookmarkStart w:id="18" w:name="_Ref148250361"/>
    </w:p>
    <w:p>
      <w:pPr>
        <w:pStyle w:val="Normal"/>
        <w:ind w:hanging="720" w:start="1440" w:end="0"/>
        <w:jc w:val="both"/>
        <w:rPr/>
      </w:pPr>
      <w:bookmarkStart w:id="19" w:name="_Ref148250361"/>
      <w:r>
        <w:rPr>
          <w:szCs w:val="22"/>
        </w:rPr>
        <w:t>(iii)</w:t>
        <w:tab/>
        <w:t>Agreeing the relevant factor that represents the difference in cost-of-living expenses between the Netherlands and the New Country. The pricing provisions stipulated in the MSA shall apply to the Services in the New Country subject only to adjustment by reference to the factor agreed under this sub-clause (iii). The factor shall be verified in writing by the 2IM as being reasonable (in all the prevalent market circumstances) prior to being adopted for use as above.</w:t>
      </w:r>
      <w:bookmarkEnd w:id="19"/>
    </w:p>
    <w:p>
      <w:pPr>
        <w:pStyle w:val="Normal"/>
        <w:ind w:hanging="720" w:start="1440" w:end="0"/>
        <w:jc w:val="both"/>
        <w:rPr>
          <w:szCs w:val="22"/>
        </w:rPr>
      </w:pPr>
      <w:r>
        <w:rPr>
          <w:szCs w:val="22"/>
        </w:rPr>
      </w:r>
    </w:p>
    <w:p>
      <w:pPr>
        <w:pStyle w:val="Normal"/>
        <w:ind w:hanging="720" w:start="720" w:end="0"/>
        <w:jc w:val="both"/>
        <w:rPr/>
      </w:pPr>
      <w:r>
        <w:rPr>
          <w:szCs w:val="22"/>
        </w:rPr>
        <w:t>(c)</w:t>
        <w:tab/>
        <w:t>Within 1 month of receipt of the New Country Notice, the PST Supplier shall prepare and present to EuroBank and the 2IM a commercial proposal for the addition of the New Country to the MSA (the New Country Proposal). The costs associated with due diligence and preparation of the New Country Proposal will be for the account of the PST Supplier. The New Country Proposal shall state whether the PST Supplier believes that the proposed date for commencement of the additional services is feasible and, as a minimum, should consist of completed copies of the MSA Attachments 4-A, 4-D, 4-E, 4-F, 4-G, 4-J and 4-K for each New Country. To the extent possible, the New Country Proposal shall also include completed copies of the Attachments to Exhibit 5 (Human Resources Provisions) and any other Exhibits/Attachments that can be completed on a per-country basis;</w:t>
      </w:r>
      <w:r>
        <w:rPr>
          <w:b/>
          <w:i/>
          <w:szCs w:val="22"/>
        </w:rPr>
      </w:r>
      <w:r>
        <w:rPr>
          <w:szCs w:val="22"/>
        </w:rPr>
      </w:r>
      <w:r>
        <w:rPr>
          <w:i/>
          <w:szCs w:val="22"/>
        </w:rPr>
      </w:r>
      <w:r>
        <w:rPr>
          <w:szCs w:val="22"/>
        </w:rPr>
      </w:r>
    </w:p>
    <w:p>
      <w:pPr>
        <w:pStyle w:val="Normal"/>
        <w:ind w:hanging="720" w:start="720" w:end="0"/>
        <w:jc w:val="both"/>
        <w:rPr>
          <w:szCs w:val="22"/>
        </w:rPr>
      </w:pPr>
      <w:r>
        <w:rPr>
          <w:szCs w:val="22"/>
        </w:rPr>
      </w:r>
    </w:p>
    <w:p>
      <w:pPr>
        <w:pStyle w:val="Normal"/>
        <w:ind w:hanging="720" w:start="720" w:end="0"/>
        <w:jc w:val="both"/>
        <w:rPr/>
      </w:pPr>
      <w:r>
        <w:rPr>
          <w:szCs w:val="22"/>
        </w:rPr>
        <w:t>(d)</w:t>
        <w:tab/>
        <w:t>Within 3 weeks of receipt of the New Country Proposal, the 2IM shall review the New Country Proposal and provide EuroBank with a written recommendation as to whether or not to accept the New Country Proposal. In performing its review of the New Country Proposal, the 2IM shall apply its expertise and, to the extent applicable, the provisions of Exhibit 34 (Price Adjustment and Benchmarking). EuroBank will not be bound to accept the recommendations of the 2IM;</w:t>
      </w:r>
      <w:r>
        <w:rPr>
          <w:i/>
          <w:szCs w:val="22"/>
        </w:rPr>
      </w:r>
      <w:r>
        <w:rPr>
          <w:szCs w:val="22"/>
        </w:rPr>
      </w:r>
    </w:p>
    <w:p>
      <w:pPr>
        <w:pStyle w:val="Normal"/>
        <w:ind w:hanging="720" w:start="720" w:end="0"/>
        <w:jc w:val="both"/>
        <w:rPr>
          <w:szCs w:val="22"/>
        </w:rPr>
      </w:pPr>
      <w:r>
        <w:rPr>
          <w:szCs w:val="22"/>
        </w:rPr>
      </w:r>
    </w:p>
    <w:p>
      <w:pPr>
        <w:pStyle w:val="Normal"/>
        <w:ind w:hanging="720" w:start="720" w:end="0"/>
        <w:jc w:val="both"/>
        <w:rPr/>
      </w:pPr>
      <w:r>
        <w:rPr>
          <w:szCs w:val="22"/>
        </w:rPr>
        <w:t>(e)</w:t>
        <w:tab/>
        <w:t xml:space="preserve">Within 4 weeks of receipt of the New Country Proposal, EuroBank will indicate to the PST Supplier whether or not the New Country Proposal is acceptable. In the event that EuroBank deems the New Country Proposal to be unacceptable, the parties will, at EuroBank’s request, negotiate in good faith to find a mutually acceptable solution. </w:t>
      </w:r>
    </w:p>
    <w:p>
      <w:pPr>
        <w:pStyle w:val="Normal"/>
        <w:ind w:hanging="720" w:start="720" w:end="0"/>
        <w:jc w:val="both"/>
        <w:rPr>
          <w:szCs w:val="22"/>
        </w:rPr>
      </w:pPr>
      <w:r>
        <w:rPr>
          <w:szCs w:val="22"/>
        </w:rPr>
      </w:r>
    </w:p>
    <w:p>
      <w:pPr>
        <w:pStyle w:val="Normal"/>
        <w:ind w:hanging="720" w:start="720" w:end="0"/>
        <w:jc w:val="both"/>
        <w:rPr/>
      </w:pPr>
      <w:r>
        <w:rPr>
          <w:szCs w:val="22"/>
        </w:rPr>
        <w:t>(f)</w:t>
        <w:tab/>
        <w:t>If EuroBank deems the New Country Proposal to be acceptable, or the parties agree to a mutually acceptable revised version of the New Country Proposal pursuant to the negotiations specified in sub-clause (e) above, EuroBank will confirm its acceptance of the New Country Proposal in writing. Unless otherwise agreed in the New Country Proposal (or a revised version of it), the parties will then agree upon the commencement date for provision of the Services to that New Country (the New Country Effective Date). The parties shall record the terms relating to the provision of Services in the New Country by agreement of an LSA and/or by amendment to this MSA pursuant to the Change Control Procedure.</w:t>
      </w:r>
      <w:r>
        <w:rPr>
          <w:b/>
          <w:i/>
          <w:szCs w:val="22"/>
        </w:rPr>
      </w:r>
      <w:r>
        <w:rPr>
          <w:szCs w:val="22"/>
        </w:rPr>
      </w:r>
      <w:r>
        <w:rPr>
          <w:b/>
          <w:i/>
          <w:szCs w:val="22"/>
        </w:rPr>
      </w:r>
      <w:r>
        <w:rPr>
          <w:szCs w:val="22"/>
        </w:rPr>
      </w:r>
    </w:p>
    <w:p>
      <w:pPr>
        <w:pStyle w:val="Normal"/>
        <w:ind w:hanging="720" w:start="720" w:end="0"/>
        <w:jc w:val="both"/>
        <w:rPr>
          <w:szCs w:val="22"/>
        </w:rPr>
      </w:pPr>
      <w:r>
        <w:rPr>
          <w:szCs w:val="22"/>
        </w:rPr>
      </w:r>
    </w:p>
    <w:p>
      <w:pPr>
        <w:pStyle w:val="Normal"/>
        <w:ind w:hanging="720" w:start="720" w:end="0"/>
        <w:jc w:val="both"/>
        <w:rPr>
          <w:szCs w:val="22"/>
        </w:rPr>
      </w:pPr>
      <w:r>
        <w:rPr>
          <w:szCs w:val="22"/>
        </w:rPr>
        <w:t>(g)</w:t>
        <w:tab/>
        <w:t>The provision of Services, and the liability for payment of Charges for each New Country shall commence from the New Country Effective Date for the relevant New Country. The terms of this MSA (as may be amended by agreement pursuant to the Change Control Procedure) shall apply to the New Country as from the same date.</w:t>
      </w:r>
    </w:p>
    <w:p>
      <w:pPr>
        <w:pStyle w:val="Normal"/>
        <w:ind w:hanging="720" w:start="720" w:end="0"/>
        <w:jc w:val="both"/>
        <w:rPr>
          <w:szCs w:val="22"/>
        </w:rPr>
      </w:pPr>
      <w:r>
        <w:rPr>
          <w:szCs w:val="22"/>
        </w:rPr>
      </w:r>
    </w:p>
    <w:p>
      <w:pPr>
        <w:pStyle w:val="Normal"/>
        <w:ind w:hanging="720" w:start="720" w:end="0"/>
        <w:jc w:val="both"/>
        <w:rPr>
          <w:szCs w:val="22"/>
        </w:rPr>
      </w:pPr>
      <w:r>
        <w:rPr>
          <w:szCs w:val="22"/>
        </w:rPr>
        <w:t>(h)</w:t>
        <w:tab/>
        <w:t>Any tax implications that result from the extension of this MSA to New Countries, shall be dealt with by way of mutual agreement between parties acting in good faith and having regard to the intentions of the parties as agreed in this MSA</w:t>
      </w:r>
    </w:p>
    <w:p>
      <w:pPr>
        <w:pStyle w:val="Normal"/>
        <w:ind w:hanging="720" w:start="720" w:end="0"/>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r>
        <w:rPr>
          <w:rFonts w:cs="Arial" w:ascii="Times New Roman Bold;Times New Roman" w:hAnsi="Times New Roman Bold;Times New Roman"/>
          <w:bCs/>
          <w:kern w:val="2"/>
          <w:szCs w:val="22"/>
        </w:rPr>
        <w:t>2.</w:t>
        <w:tab/>
        <w:t>TERM</w:t>
      </w:r>
    </w:p>
    <w:p>
      <w:pPr>
        <w:pStyle w:val="Normal"/>
        <w:jc w:val="both"/>
        <w:rPr>
          <w:szCs w:val="22"/>
        </w:rPr>
      </w:pPr>
      <w:r>
        <w:rPr>
          <w:szCs w:val="22"/>
        </w:rPr>
        <w:t>2.1</w:t>
        <w:tab/>
        <w:t xml:space="preserve">This MSA will become effective on the Effective Date and, unless terminated earlier under clause 16, shall continue for a period of 7 (seven) years from the Commencement Date (the </w:t>
      </w:r>
      <w:r>
        <w:rPr>
          <w:b/>
          <w:i/>
          <w:szCs w:val="22"/>
        </w:rPr>
        <w:t>Term</w:t>
      </w:r>
      <w:r>
        <w:rPr>
          <w:szCs w:val="22"/>
        </w:rPr>
        <w:t xml:space="preserve">).  The parties will meet at the beginning of the third Year of the MSA in order to discuss the potential extension of the Term and the applicable terms and conditions. If no agreement is reached on an extension of the Term, the MSA will, subject to clause 2.2 below, automatically expire at the end of the initial 7 year Term. </w:t>
      </w:r>
    </w:p>
    <w:p>
      <w:pPr>
        <w:pStyle w:val="Normal"/>
        <w:jc w:val="both"/>
        <w:rPr>
          <w:szCs w:val="22"/>
          <w:highlight w:val="yellow"/>
        </w:rPr>
      </w:pPr>
      <w:r>
        <w:rPr>
          <w:szCs w:val="22"/>
          <w:highlight w:val="yellow"/>
        </w:rPr>
      </w:r>
    </w:p>
    <w:p>
      <w:pPr>
        <w:pStyle w:val="Normal"/>
        <w:jc w:val="both"/>
        <w:rPr>
          <w:szCs w:val="22"/>
        </w:rPr>
      </w:pPr>
      <w:r>
        <w:rPr>
          <w:szCs w:val="22"/>
        </w:rPr>
        <w:t>2.2</w:t>
        <w:tab/>
        <w:t>At the end of the fifth Year, EuroBank may terminate this MSA by providing the PST Supplier with at least 6 months’ written notice to do so. The notice period shall expire on the last day of the fifth Year and in the event that it is given, this MSA shall terminate without penalty or payment of any Termination Fees by EuroBank.</w:t>
      </w:r>
    </w:p>
    <w:p>
      <w:pPr>
        <w:pStyle w:val="Normal"/>
        <w:jc w:val="both"/>
        <w:rPr>
          <w:szCs w:val="22"/>
          <w:highlight w:val="yellow"/>
        </w:rPr>
      </w:pPr>
      <w:r>
        <w:rPr>
          <w:szCs w:val="22"/>
          <w:highlight w:val="yellow"/>
        </w:rPr>
      </w:r>
    </w:p>
    <w:p>
      <w:pPr>
        <w:pStyle w:val="Heading1"/>
        <w:keepNext w:val="false"/>
        <w:keepLines w:val="false"/>
        <w:tabs>
          <w:tab w:val="clear" w:pos="720"/>
          <w:tab w:val="left" w:pos="360" w:leader="none"/>
        </w:tabs>
        <w:spacing w:before="240" w:after="240"/>
        <w:ind w:hanging="0" w:start="0"/>
        <w:jc w:val="center"/>
        <w:rPr>
          <w:rFonts w:ascii="Times New Roman Bold;Times New Roman" w:hAnsi="Times New Roman Bold;Times New Roman" w:cs="Arial"/>
          <w:bCs/>
          <w:kern w:val="2"/>
          <w:szCs w:val="22"/>
        </w:rPr>
      </w:pPr>
      <w:r>
        <w:rPr>
          <w:rFonts w:cs="Arial" w:ascii="Times New Roman Bold;Times New Roman" w:hAnsi="Times New Roman Bold;Times New Roman"/>
          <w:bCs/>
          <w:kern w:val="2"/>
          <w:szCs w:val="22"/>
        </w:rPr>
        <w:t>3.</w:t>
        <w:tab/>
        <w:t>TRANSITION AND TRANSFORMATION</w:t>
      </w:r>
    </w:p>
    <w:p>
      <w:pPr>
        <w:pStyle w:val="Normal"/>
        <w:numPr>
          <w:ilvl w:val="1"/>
          <w:numId w:val="23"/>
        </w:numPr>
        <w:tabs>
          <w:tab w:val="clear" w:pos="720"/>
        </w:tabs>
        <w:spacing w:before="120" w:after="120"/>
        <w:ind w:hanging="0" w:start="0" w:end="0"/>
        <w:jc w:val="both"/>
        <w:rPr>
          <w:b/>
          <w:szCs w:val="22"/>
        </w:rPr>
      </w:pPr>
      <w:bookmarkStart w:id="20" w:name="_Ref119293852"/>
      <w:r>
        <w:rPr>
          <w:b/>
          <w:szCs w:val="22"/>
        </w:rPr>
        <w:t>Performance of Transition Plan</w:t>
      </w:r>
      <w:bookmarkEnd w:id="20"/>
    </w:p>
    <w:p>
      <w:pPr>
        <w:pStyle w:val="Normal"/>
        <w:jc w:val="both"/>
        <w:rPr>
          <w:szCs w:val="22"/>
        </w:rPr>
      </w:pPr>
      <w:r>
        <w:rPr>
          <w:szCs w:val="22"/>
        </w:rPr>
        <w:t>The PST Supplier shall perform the Transition Plan and the Transformation Plan in accordance with Exhibit 30 (</w:t>
      </w:r>
      <w:r>
        <w:rPr>
          <w:i/>
          <w:szCs w:val="22"/>
        </w:rPr>
        <w:t>Transition and Transformation</w:t>
      </w:r>
      <w:r>
        <w:rPr>
          <w:szCs w:val="22"/>
        </w:rPr>
        <w:t>).</w:t>
      </w:r>
    </w:p>
    <w:p>
      <w:pPr>
        <w:pStyle w:val="Normal"/>
        <w:jc w:val="both"/>
        <w:rPr>
          <w:szCs w:val="22"/>
        </w:rPr>
      </w:pPr>
      <w:r>
        <w:rPr>
          <w:szCs w:val="22"/>
        </w:rPr>
      </w:r>
    </w:p>
    <w:p>
      <w:pPr>
        <w:pStyle w:val="Normal"/>
        <w:numPr>
          <w:ilvl w:val="1"/>
          <w:numId w:val="23"/>
        </w:numPr>
        <w:tabs>
          <w:tab w:val="clear" w:pos="720"/>
        </w:tabs>
        <w:spacing w:before="120" w:after="120"/>
        <w:ind w:hanging="0" w:start="0" w:end="0"/>
        <w:jc w:val="both"/>
        <w:rPr>
          <w:b/>
          <w:szCs w:val="22"/>
        </w:rPr>
      </w:pPr>
      <w:r>
        <w:rPr>
          <w:b/>
          <w:szCs w:val="22"/>
        </w:rPr>
        <w:t>Remedial plan</w:t>
      </w:r>
    </w:p>
    <w:p>
      <w:pPr>
        <w:pStyle w:val="Normal"/>
        <w:jc w:val="both"/>
        <w:rPr>
          <w:szCs w:val="22"/>
        </w:rPr>
      </w:pPr>
      <w:r>
        <w:rPr>
          <w:szCs w:val="22"/>
        </w:rPr>
        <w:t>If the PST Supplier becomes aware that it will not, or is unlikely to, meet any date for completion of any Milestone under either the Transition Plan or the Transformation Plan, then it shall:</w:t>
      </w:r>
    </w:p>
    <w:p>
      <w:pPr>
        <w:pStyle w:val="Normal"/>
        <w:jc w:val="both"/>
        <w:rPr>
          <w:szCs w:val="22"/>
        </w:rPr>
      </w:pPr>
      <w:r>
        <w:rPr>
          <w:szCs w:val="22"/>
        </w:rPr>
      </w:r>
    </w:p>
    <w:p>
      <w:pPr>
        <w:pStyle w:val="Normal"/>
        <w:ind w:hanging="720" w:start="720" w:end="0"/>
        <w:jc w:val="both"/>
        <w:rPr/>
      </w:pPr>
      <w:r>
        <w:rPr>
          <w:szCs w:val="22"/>
        </w:rPr>
        <w:t>(a)</w:t>
        <w:tab/>
        <w:t>immediately notify EuroBank and the 2IM in writing;</w:t>
      </w:r>
    </w:p>
    <w:p>
      <w:pPr>
        <w:pStyle w:val="Normal"/>
        <w:ind w:hanging="720" w:start="720" w:end="0"/>
        <w:jc w:val="both"/>
        <w:rPr>
          <w:szCs w:val="22"/>
        </w:rPr>
      </w:pPr>
      <w:r>
        <w:rPr>
          <w:szCs w:val="22"/>
        </w:rPr>
      </w:r>
    </w:p>
    <w:p>
      <w:pPr>
        <w:pStyle w:val="Normal"/>
        <w:ind w:hanging="720" w:start="720" w:end="0"/>
        <w:jc w:val="both"/>
        <w:rPr/>
      </w:pPr>
      <w:r>
        <w:rPr>
          <w:szCs w:val="22"/>
        </w:rPr>
        <w:t>(b)</w:t>
        <w:tab/>
        <w:t>prepare and deliver a remedial plan to EuroBank and the 2IM detailing the PST Supplier’s proposals for completing the Milestone as soon as reasonably practicable after the required date;</w:t>
      </w:r>
    </w:p>
    <w:p>
      <w:pPr>
        <w:pStyle w:val="Normal"/>
        <w:ind w:hanging="720" w:start="720" w:end="0"/>
        <w:jc w:val="both"/>
        <w:rPr>
          <w:szCs w:val="22"/>
        </w:rPr>
      </w:pPr>
      <w:r>
        <w:rPr>
          <w:szCs w:val="22"/>
        </w:rPr>
      </w:r>
    </w:p>
    <w:p>
      <w:pPr>
        <w:pStyle w:val="Normal"/>
        <w:ind w:hanging="720" w:start="720" w:end="0"/>
        <w:jc w:val="both"/>
        <w:rPr/>
      </w:pPr>
      <w:r>
        <w:rPr>
          <w:szCs w:val="22"/>
        </w:rPr>
        <w:t>(c)</w:t>
        <w:tab/>
        <w:t>at EuroBank’s request and without limiting EuroBank’s other rights, implement the remedial plan on its terms at no cost to EuroBank if the delay is attributable to the PST Supplier or any of its Sub-Contractors, subject to any amendments to the plan reasonably required by EuroBank; and</w:t>
      </w:r>
    </w:p>
    <w:p>
      <w:pPr>
        <w:pStyle w:val="Normal"/>
        <w:ind w:hanging="720" w:start="720" w:end="0"/>
        <w:jc w:val="both"/>
        <w:rPr>
          <w:szCs w:val="22"/>
        </w:rPr>
      </w:pPr>
      <w:r>
        <w:rPr>
          <w:szCs w:val="22"/>
        </w:rPr>
      </w:r>
    </w:p>
    <w:p>
      <w:pPr>
        <w:pStyle w:val="Normal"/>
        <w:ind w:hanging="720" w:start="720" w:end="0"/>
        <w:jc w:val="both"/>
        <w:rPr>
          <w:szCs w:val="22"/>
        </w:rPr>
      </w:pPr>
      <w:r>
        <w:rPr>
          <w:szCs w:val="22"/>
        </w:rPr>
        <w:t>(d)</w:t>
        <w:tab/>
        <w:t>commit all reasonably available additional resources as may be required, at no cost to EuroBank if the delay is attributable to the PST Supplier or any of its Sub-Contractors, to ensure that the Milestone is completed as soon as reasonably practicable after the required date and to minimise the consequences of the delay.</w:t>
      </w:r>
    </w:p>
    <w:p>
      <w:pPr>
        <w:pStyle w:val="Normal"/>
        <w:jc w:val="both"/>
        <w:rPr>
          <w:szCs w:val="22"/>
        </w:rPr>
      </w:pPr>
      <w:r>
        <w:rPr>
          <w:szCs w:val="22"/>
        </w:rPr>
      </w:r>
    </w:p>
    <w:p>
      <w:pPr>
        <w:pStyle w:val="Normal"/>
        <w:numPr>
          <w:ilvl w:val="1"/>
          <w:numId w:val="23"/>
        </w:numPr>
        <w:tabs>
          <w:tab w:val="clear" w:pos="720"/>
        </w:tabs>
        <w:spacing w:before="120" w:after="120"/>
        <w:ind w:hanging="0" w:start="0" w:end="0"/>
        <w:jc w:val="both"/>
        <w:rPr>
          <w:b/>
          <w:szCs w:val="22"/>
        </w:rPr>
      </w:pPr>
      <w:bookmarkStart w:id="21" w:name="_Ref127609451"/>
      <w:r>
        <w:rPr>
          <w:b/>
          <w:szCs w:val="22"/>
        </w:rPr>
        <w:t>Delay of Transition Plan or Transformation Plan</w:t>
      </w:r>
      <w:bookmarkEnd w:id="21"/>
    </w:p>
    <w:p>
      <w:pPr>
        <w:pStyle w:val="Normal"/>
        <w:jc w:val="both"/>
        <w:rPr>
          <w:b/>
          <w:szCs w:val="22"/>
        </w:rPr>
      </w:pPr>
      <w:r>
        <w:rPr>
          <w:b/>
          <w:szCs w:val="22"/>
        </w:rPr>
      </w:r>
    </w:p>
    <w:p>
      <w:pPr>
        <w:pStyle w:val="Normal"/>
        <w:jc w:val="both"/>
        <w:rPr>
          <w:szCs w:val="22"/>
        </w:rPr>
      </w:pPr>
      <w:r>
        <w:rPr>
          <w:szCs w:val="22"/>
        </w:rPr>
        <w:t>If any Critical Deliverable (including those under the Transition Plan or Transformation Plan) is not Accepted in accordance with the requirements of this MSA as a result of the PST Supplier’s breach of clause 3.1 or any other provision of this MSA, then EuroBank may, without limiting its other rights, claim the penalties specified in Attachment 3C (Critical Deliverables).  For the avoidance of doubt, Article 6:92 first section of the Dutch Civil Code is excluded in relation to this penalty.</w:t>
      </w:r>
      <w:r>
        <w:rPr>
          <w:i/>
          <w:szCs w:val="22"/>
        </w:rPr>
      </w:r>
      <w:r>
        <w:rPr>
          <w:szCs w:val="22"/>
        </w:rPr>
      </w:r>
    </w:p>
    <w:p>
      <w:pPr>
        <w:pStyle w:val="Normal"/>
        <w:jc w:val="both"/>
        <w:rPr>
          <w:szCs w:val="22"/>
        </w:rPr>
      </w:pPr>
      <w:r>
        <w:rPr>
          <w:szCs w:val="22"/>
        </w:rPr>
      </w:r>
    </w:p>
    <w:p>
      <w:pPr>
        <w:pStyle w:val="Normal"/>
        <w:numPr>
          <w:ilvl w:val="1"/>
          <w:numId w:val="23"/>
        </w:numPr>
        <w:tabs>
          <w:tab w:val="clear" w:pos="720"/>
        </w:tabs>
        <w:spacing w:before="120" w:after="120"/>
        <w:ind w:hanging="0" w:start="0" w:end="0"/>
        <w:jc w:val="both"/>
        <w:rPr>
          <w:b/>
          <w:szCs w:val="22"/>
        </w:rPr>
      </w:pPr>
      <w:bookmarkStart w:id="22" w:name="_Ref125380859"/>
      <w:bookmarkStart w:id="23" w:name="_Ref125380828"/>
      <w:bookmarkStart w:id="24" w:name="_Ref115240824"/>
      <w:bookmarkStart w:id="25" w:name="_Ref115147561"/>
      <w:r>
        <w:rPr>
          <w:b/>
          <w:szCs w:val="22"/>
        </w:rPr>
        <w:t>Delay of Final Transition Milestone</w:t>
      </w:r>
      <w:bookmarkEnd w:id="22"/>
      <w:bookmarkEnd w:id="23"/>
      <w:bookmarkEnd w:id="24"/>
      <w:bookmarkEnd w:id="25"/>
    </w:p>
    <w:p>
      <w:pPr>
        <w:pStyle w:val="Normal"/>
        <w:jc w:val="both"/>
        <w:rPr>
          <w:szCs w:val="22"/>
        </w:rPr>
      </w:pPr>
      <w:r>
        <w:rPr>
          <w:szCs w:val="22"/>
        </w:rPr>
        <w:t>If the Final Transition Milestone has not been Accepted by the Transition Long Stop Date as a result of its breach of its obligations under the MSA, then the PST Supplier shall be in material breach of this MSA and, without limiting EuroBank’s other rights, including the right to performance and damages in excess of the applicable penalty, EuroBank shall be entitled to receive the immediate payment by the PST Supplier of the penalty indicated for such failure in Attachment 3-C (Critical Deliverables).  In the event that EuroBank terminates this MSA under the termination for cause provisions of clause 16.2 where the PST Supplier fails to achieve Acceptance by the Transition Long Stop Date, Article 6:92 sections 1 and 2 of the Dutch Civil Code are excluded in relation to this penalty.  In addition to its rights set out above, EuroBank shall in such event also be entitled to receive an immediate refund from the PST Supplier of all sums paid to it under this MSA including Supply Taxes paid, subject to Dutch Civil Code 6:272, second section (for the avoidance of doubt, by reference to this article the parties do not intend to imply any right to dissolve the MSA pursuant to that article, which right is expressly excluded).</w:t>
      </w:r>
      <w:r>
        <w:rPr>
          <w:i/>
          <w:szCs w:val="22"/>
        </w:rPr>
      </w:r>
      <w:r>
        <w:rPr>
          <w:szCs w:val="22"/>
        </w:rPr>
      </w:r>
      <w:r>
        <w:rPr/>
      </w:r>
      <w:r>
        <w:rPr>
          <w:szCs w:val="22"/>
        </w:rPr>
      </w:r>
    </w:p>
    <w:p>
      <w:pPr>
        <w:pStyle w:val="Normal"/>
        <w:jc w:val="both"/>
        <w:rPr>
          <w:szCs w:val="22"/>
          <w:highlight w:val="yellow"/>
        </w:rPr>
      </w:pPr>
      <w:r>
        <w:rPr>
          <w:szCs w:val="22"/>
          <w:highlight w:val="yellow"/>
        </w:rPr>
      </w:r>
    </w:p>
    <w:p>
      <w:pPr>
        <w:pStyle w:val="Heading1"/>
        <w:keepNext w:val="false"/>
        <w:keepLines w:val="false"/>
        <w:tabs>
          <w:tab w:val="clear" w:pos="720"/>
          <w:tab w:val="left" w:pos="360" w:leader="none"/>
        </w:tabs>
        <w:spacing w:before="240" w:after="240"/>
        <w:ind w:hanging="0" w:start="0"/>
        <w:jc w:val="center"/>
        <w:rPr/>
      </w:pPr>
      <w:bookmarkStart w:id="26" w:name="_Ref115156355"/>
      <w:r>
        <w:rPr>
          <w:rFonts w:cs="Arial" w:ascii="Times New Roman Bold;Times New Roman" w:hAnsi="Times New Roman Bold;Times New Roman"/>
          <w:bCs/>
          <w:kern w:val="2"/>
          <w:szCs w:val="22"/>
        </w:rPr>
        <w:t>4</w:t>
        <w:tab/>
        <w:t>SERVICE PROVISION</w:t>
      </w:r>
      <w:bookmarkEnd w:id="26"/>
    </w:p>
    <w:p>
      <w:pPr>
        <w:pStyle w:val="Normal"/>
        <w:numPr>
          <w:ilvl w:val="1"/>
          <w:numId w:val="19"/>
        </w:numPr>
        <w:tabs>
          <w:tab w:val="clear" w:pos="720"/>
        </w:tabs>
        <w:spacing w:before="120" w:after="120"/>
        <w:ind w:hanging="0" w:start="0" w:end="0"/>
        <w:jc w:val="both"/>
        <w:rPr>
          <w:b/>
          <w:szCs w:val="22"/>
        </w:rPr>
      </w:pPr>
      <w:bookmarkStart w:id="27" w:name="_Ref120324442"/>
      <w:r>
        <w:rPr>
          <w:b/>
          <w:szCs w:val="22"/>
        </w:rPr>
        <w:t>Departing Members</w:t>
      </w:r>
      <w:bookmarkEnd w:id="27"/>
    </w:p>
    <w:p>
      <w:pPr>
        <w:pStyle w:val="Normal"/>
        <w:jc w:val="both"/>
        <w:rPr/>
      </w:pPr>
      <w:r>
        <w:rPr>
          <w:szCs w:val="22"/>
        </w:rPr>
        <w:t>4.1.1</w:t>
        <w:tab/>
        <w:t>EuroBank may nominate any EuroBank Group member to receive the Services (or any part of the Services), and the PST Supplier shall supply the Services to each EuroBank Group member on the terms of this MSA.</w:t>
      </w:r>
    </w:p>
    <w:p>
      <w:pPr>
        <w:pStyle w:val="Normal"/>
        <w:jc w:val="both"/>
        <w:rPr>
          <w:szCs w:val="22"/>
        </w:rPr>
      </w:pPr>
      <w:r>
        <w:rPr>
          <w:szCs w:val="22"/>
        </w:rPr>
      </w:r>
    </w:p>
    <w:p>
      <w:pPr>
        <w:pStyle w:val="Normal"/>
        <w:jc w:val="both"/>
        <w:rPr/>
      </w:pPr>
      <w:r>
        <w:rPr>
          <w:szCs w:val="22"/>
        </w:rPr>
        <w:t>4.1.2</w:t>
        <w:tab/>
        <w:t>If:</w:t>
      </w:r>
    </w:p>
    <w:p>
      <w:pPr>
        <w:pStyle w:val="Normal"/>
        <w:jc w:val="both"/>
        <w:rPr>
          <w:szCs w:val="22"/>
        </w:rPr>
      </w:pPr>
      <w:r>
        <w:rPr>
          <w:szCs w:val="22"/>
        </w:rPr>
      </w:r>
    </w:p>
    <w:p>
      <w:pPr>
        <w:pStyle w:val="Normal"/>
        <w:jc w:val="both"/>
        <w:rPr/>
      </w:pPr>
      <w:r>
        <w:rPr>
          <w:szCs w:val="22"/>
        </w:rPr>
        <w:t>(a)</w:t>
        <w:tab/>
        <w:t>any person which is or becomes an EuroBank Group member ceases to be an EuroBank Group member during the Term; or</w:t>
      </w:r>
    </w:p>
    <w:p>
      <w:pPr>
        <w:pStyle w:val="Normal"/>
        <w:jc w:val="both"/>
        <w:rPr>
          <w:szCs w:val="22"/>
        </w:rPr>
      </w:pPr>
      <w:r>
        <w:rPr>
          <w:szCs w:val="22"/>
        </w:rPr>
      </w:r>
    </w:p>
    <w:p>
      <w:pPr>
        <w:pStyle w:val="Normal"/>
        <w:jc w:val="both"/>
        <w:rPr/>
      </w:pPr>
      <w:r>
        <w:rPr>
          <w:szCs w:val="22"/>
        </w:rPr>
        <w:t>(b)</w:t>
        <w:tab/>
        <w:t>all, or substantially all, of the assets of any EuroBank Group member or any division or business of any EuroBank Group member is disposed of (each, a Departing Member),</w:t>
      </w:r>
      <w:r>
        <w:rPr>
          <w:b/>
          <w:i/>
          <w:szCs w:val="22"/>
        </w:rPr>
      </w:r>
      <w:r>
        <w:rPr>
          <w:szCs w:val="22"/>
        </w:rPr>
      </w:r>
    </w:p>
    <w:p>
      <w:pPr>
        <w:pStyle w:val="Normal"/>
        <w:jc w:val="both"/>
        <w:rPr>
          <w:szCs w:val="22"/>
        </w:rPr>
      </w:pPr>
      <w:r>
        <w:rPr>
          <w:szCs w:val="22"/>
        </w:rPr>
      </w:r>
    </w:p>
    <w:p>
      <w:pPr>
        <w:pStyle w:val="Normal"/>
        <w:jc w:val="both"/>
        <w:rPr>
          <w:szCs w:val="22"/>
        </w:rPr>
      </w:pPr>
      <w:r>
        <w:rPr>
          <w:szCs w:val="22"/>
        </w:rPr>
        <w:t xml:space="preserve">then the PST Supplier shall, if requested by EuroBank, continue to supply some or all of the Services to the Departing Member on the terms of this MSA for the remainder of the Term, or a shorter period specified by EuroBank. Any additional efforts needed to provide the Services or related changes required with respect to the Services to enable the continuation of the Services to the Departing Member will be dealt with in accordance with the Change Control Procedure. </w:t>
      </w:r>
    </w:p>
    <w:p>
      <w:pPr>
        <w:pStyle w:val="Normal"/>
        <w:jc w:val="both"/>
        <w:rPr>
          <w:szCs w:val="22"/>
        </w:rPr>
      </w:pPr>
      <w:r>
        <w:rPr>
          <w:szCs w:val="22"/>
        </w:rPr>
      </w:r>
    </w:p>
    <w:p>
      <w:pPr>
        <w:pStyle w:val="Normal"/>
        <w:numPr>
          <w:ilvl w:val="1"/>
          <w:numId w:val="19"/>
        </w:numPr>
        <w:tabs>
          <w:tab w:val="clear" w:pos="720"/>
        </w:tabs>
        <w:spacing w:before="120" w:after="120"/>
        <w:ind w:hanging="0" w:start="0" w:end="0"/>
        <w:jc w:val="both"/>
        <w:rPr>
          <w:b/>
          <w:szCs w:val="22"/>
        </w:rPr>
      </w:pPr>
      <w:r>
        <w:rPr>
          <w:b/>
          <w:szCs w:val="22"/>
        </w:rPr>
        <w:t>Scope of Services</w:t>
      </w:r>
    </w:p>
    <w:p>
      <w:pPr>
        <w:pStyle w:val="Normal"/>
        <w:jc w:val="both"/>
        <w:rPr/>
      </w:pPr>
      <w:bookmarkStart w:id="28" w:name="_Ref110876425"/>
      <w:r>
        <w:rPr>
          <w:szCs w:val="22"/>
        </w:rPr>
        <w:t>4.2.1</w:t>
        <w:tab/>
        <w:t xml:space="preserve">The </w:t>
      </w:r>
      <w:r>
        <w:rPr>
          <w:b/>
          <w:i/>
          <w:szCs w:val="22"/>
        </w:rPr>
        <w:t>Services</w:t>
      </w:r>
      <w:r>
        <w:rPr>
          <w:szCs w:val="22"/>
        </w:rPr>
        <w:t xml:space="preserve"> shall mean the following services, functions and responsibilities for which the PST Supplier is responsible, as they may evolve during the Term and as they may be supplemented, enhanced, modified or replaced in accordance with the terms of the MSA:</w:t>
      </w:r>
      <w:bookmarkEnd w:id="28"/>
    </w:p>
    <w:p>
      <w:pPr>
        <w:pStyle w:val="Normal"/>
        <w:jc w:val="both"/>
        <w:rPr>
          <w:szCs w:val="22"/>
        </w:rPr>
      </w:pPr>
      <w:r>
        <w:rPr>
          <w:szCs w:val="22"/>
        </w:rPr>
      </w:r>
    </w:p>
    <w:p>
      <w:pPr>
        <w:pStyle w:val="Normal"/>
        <w:ind w:hanging="720" w:start="720" w:end="0"/>
        <w:jc w:val="both"/>
        <w:rPr/>
      </w:pPr>
      <w:r>
        <w:rPr>
          <w:szCs w:val="22"/>
        </w:rPr>
        <w:t>(a)</w:t>
        <w:tab/>
        <w:t>the services, functions, responsibilities and obligations of the PST Supplier described in this MSA (including the Exhibits, the Statements of Work and any Work Orders); and</w:t>
      </w:r>
    </w:p>
    <w:p>
      <w:pPr>
        <w:pStyle w:val="Normal"/>
        <w:ind w:hanging="720" w:start="720" w:end="0"/>
        <w:jc w:val="both"/>
        <w:rPr>
          <w:szCs w:val="22"/>
        </w:rPr>
      </w:pPr>
      <w:r>
        <w:rPr>
          <w:szCs w:val="22"/>
        </w:rPr>
      </w:r>
      <w:bookmarkStart w:id="29" w:name="_Ref133894015"/>
      <w:bookmarkStart w:id="30" w:name="_Ref133894015"/>
    </w:p>
    <w:p>
      <w:pPr>
        <w:pStyle w:val="Normal"/>
        <w:ind w:hanging="720" w:start="720" w:end="0"/>
        <w:jc w:val="both"/>
        <w:rPr/>
      </w:pPr>
      <w:bookmarkStart w:id="31" w:name="_Ref133894015"/>
      <w:r>
        <w:rPr>
          <w:szCs w:val="22"/>
        </w:rPr>
        <w:t>(b)</w:t>
        <w:tab/>
        <w:t>those activities which can be reasonably deemed to be part of the services, responsibilities and obligations of the PST Supplier described in the Statement of Work, considering the apparent intent of the text of the Statement of Work, considering good business practices in the IT outsourcing industry and considering the agreed Charges for the relevant activity. The parties acknowledge that this sub clause (b) is not intended to significantly increase the responsibilities of the PST Supplier beyond those described in the Statement of Work as the agreed Charges are based thereon.</w:t>
      </w:r>
      <w:bookmarkEnd w:id="31"/>
    </w:p>
    <w:p>
      <w:pPr>
        <w:pStyle w:val="Normal"/>
        <w:jc w:val="both"/>
        <w:rPr>
          <w:szCs w:val="22"/>
        </w:rPr>
      </w:pPr>
      <w:r>
        <w:rPr>
          <w:szCs w:val="22"/>
        </w:rPr>
      </w:r>
    </w:p>
    <w:p>
      <w:pPr>
        <w:pStyle w:val="Normal"/>
        <w:jc w:val="both"/>
        <w:rPr/>
      </w:pPr>
      <w:r>
        <w:rPr>
          <w:szCs w:val="22"/>
        </w:rPr>
        <w:t>4.2.2</w:t>
        <w:tab/>
        <w:t>If requested by EuroBank, the PST Supplier will act as a purchasing representative for EuroBank to procure Equipment, software and services not within the scope of the Services subject to the agreement through the Change Control Procedure and the agreement of the PST Supplier, not to be unreasonably withheld or delayed.</w:t>
      </w:r>
    </w:p>
    <w:p>
      <w:pPr>
        <w:pStyle w:val="Normal"/>
        <w:jc w:val="both"/>
        <w:rPr>
          <w:szCs w:val="22"/>
        </w:rPr>
      </w:pPr>
      <w:r>
        <w:rPr>
          <w:szCs w:val="22"/>
        </w:rPr>
      </w:r>
    </w:p>
    <w:p>
      <w:pPr>
        <w:pStyle w:val="Normal"/>
        <w:numPr>
          <w:ilvl w:val="1"/>
          <w:numId w:val="19"/>
        </w:numPr>
        <w:tabs>
          <w:tab w:val="clear" w:pos="720"/>
        </w:tabs>
        <w:spacing w:before="120" w:after="120"/>
        <w:ind w:hanging="0" w:start="0" w:end="0"/>
        <w:jc w:val="both"/>
        <w:rPr>
          <w:b/>
          <w:szCs w:val="22"/>
        </w:rPr>
      </w:pPr>
      <w:r>
        <w:rPr>
          <w:b/>
          <w:szCs w:val="22"/>
        </w:rPr>
        <w:t xml:space="preserve">Additional volumes and countries </w:t>
      </w:r>
    </w:p>
    <w:p>
      <w:pPr>
        <w:pStyle w:val="Normal"/>
        <w:jc w:val="both"/>
        <w:rPr>
          <w:szCs w:val="22"/>
        </w:rPr>
      </w:pPr>
      <w:bookmarkStart w:id="32" w:name="_Ref125361518"/>
      <w:r>
        <w:rPr>
          <w:szCs w:val="22"/>
        </w:rPr>
        <w:t>4.3.1</w:t>
        <w:tab/>
        <w:t>During the Term, EuroBank will notify the PST Supplier where it intends to purchase any services of the same type as the Services in one of the countries on the list of “Future PST Countries” in Exhibit 7 (Sites and Local Entities) (involving an annual spend in excess of € 500,000) and provide the PST Supplier with the opportunity to offer to supply the services.  Nothing in this MSA shall restrict EuroBank from soliciting offers from any third party in relation to additional countries for the Services. With respect to new Sites in new geographical areas clause 1.5.1 applies.</w:t>
      </w:r>
      <w:r>
        <w:rPr>
          <w:i/>
          <w:szCs w:val="22"/>
        </w:rPr>
      </w:r>
      <w:r>
        <w:rPr>
          <w:szCs w:val="22"/>
        </w:rPr>
      </w:r>
      <w:bookmarkEnd w:id="32"/>
      <w:r>
        <w:rPr>
          <w:szCs w:val="22"/>
        </w:rPr>
      </w:r>
    </w:p>
    <w:p>
      <w:pPr>
        <w:pStyle w:val="Normal"/>
        <w:jc w:val="both"/>
        <w:rPr>
          <w:szCs w:val="22"/>
        </w:rPr>
      </w:pPr>
      <w:r>
        <w:rPr>
          <w:szCs w:val="22"/>
        </w:rPr>
      </w:r>
    </w:p>
    <w:p>
      <w:pPr>
        <w:pStyle w:val="Normal"/>
        <w:jc w:val="both"/>
        <w:rPr/>
      </w:pPr>
      <w:bookmarkStart w:id="33" w:name="_Ref125361537"/>
      <w:r>
        <w:rPr>
          <w:szCs w:val="22"/>
        </w:rPr>
        <w:t>4.3.2</w:t>
        <w:tab/>
        <w:t>Where the PST Supplier submits an offer pursuant to clause 4.3.1 in accordance with the reasonable timeframe specified by EuroBank, EuroBank will consider the offer in good faith.  In the event that the PST Supplier’s offer is not accepted, EuroBank shall within a reasonable period of time give the PST Supplier a general indication as to why the offer has been declined, provided that EuroBank shall be under no obligation to disclose to the PST Supplier any details of third party offers for services (including as to pricing, service quality or term).</w:t>
      </w:r>
      <w:bookmarkEnd w:id="33"/>
    </w:p>
    <w:p>
      <w:pPr>
        <w:pStyle w:val="Normal"/>
        <w:jc w:val="both"/>
        <w:rPr>
          <w:szCs w:val="22"/>
        </w:rPr>
      </w:pPr>
      <w:r>
        <w:rPr>
          <w:szCs w:val="22"/>
        </w:rPr>
      </w:r>
    </w:p>
    <w:p>
      <w:pPr>
        <w:pStyle w:val="Normal"/>
        <w:jc w:val="both"/>
        <w:rPr/>
      </w:pPr>
      <w:r>
        <w:rPr>
          <w:szCs w:val="22"/>
        </w:rPr>
        <w:t>4.3.3</w:t>
        <w:tab/>
        <w:t>Notwithstanding the provisions of clauses 4.3.1 and 4.3.2, neither the PST Supplier nor any member of the PST Supplier Group shall, by virtue of this MSA, be the exclusive supplier to EuroBank or any EuroBank Group member for the purposes of any future expansion in the scope or volume of the Services or of any other services or receive any other commitment as to future expansion in the scope or volume of the Services or of any other services.</w:t>
      </w:r>
    </w:p>
    <w:p>
      <w:pPr>
        <w:pStyle w:val="Normal"/>
        <w:jc w:val="both"/>
        <w:rPr>
          <w:szCs w:val="22"/>
        </w:rPr>
      </w:pPr>
      <w:r>
        <w:rPr>
          <w:szCs w:val="22"/>
        </w:rPr>
      </w:r>
    </w:p>
    <w:p>
      <w:pPr>
        <w:pStyle w:val="Normal"/>
        <w:jc w:val="both"/>
        <w:rPr/>
      </w:pPr>
      <w:r>
        <w:rPr>
          <w:szCs w:val="22"/>
        </w:rPr>
        <w:t>4.3.4</w:t>
        <w:tab/>
        <w:t>EuroBank gives no guarantee and accepts no liability for the volume of Services which it may require from the PST Supplier under this MSA. However, for the avoidance of doubt, the price impact of changed volumes agreed in Exhibit 4 (Pricing and Financial Provisions) with respect to the ARCs and RRCs are binding between the parties.</w:t>
      </w:r>
      <w:r>
        <w:rPr>
          <w:i/>
          <w:szCs w:val="22"/>
        </w:rPr>
      </w:r>
      <w:r>
        <w:rPr>
          <w:szCs w:val="22"/>
        </w:rPr>
      </w:r>
    </w:p>
    <w:p>
      <w:pPr>
        <w:pStyle w:val="Normal"/>
        <w:jc w:val="both"/>
        <w:rPr>
          <w:szCs w:val="22"/>
        </w:rPr>
      </w:pPr>
      <w:r>
        <w:rPr>
          <w:szCs w:val="22"/>
        </w:rPr>
      </w:r>
    </w:p>
    <w:p>
      <w:pPr>
        <w:pStyle w:val="Normal"/>
        <w:jc w:val="both"/>
        <w:rPr/>
      </w:pPr>
      <w:r>
        <w:rPr>
          <w:szCs w:val="22"/>
          <w:highlight w:val="yellow"/>
        </w:rPr>
        <w:t>Additional wording just for TelCo MSA:</w:t>
      </w:r>
      <w:r>
        <w:rPr>
          <w:szCs w:val="22"/>
        </w:rPr>
      </w:r>
    </w:p>
    <w:p>
      <w:pPr>
        <w:pStyle w:val="Normal"/>
        <w:jc w:val="both"/>
        <w:rPr>
          <w:szCs w:val="22"/>
        </w:rPr>
      </w:pPr>
      <w:r>
        <w:rPr>
          <w:szCs w:val="22"/>
        </w:rPr>
      </w:r>
    </w:p>
    <w:p>
      <w:pPr>
        <w:pStyle w:val="Normal"/>
        <w:jc w:val="both"/>
        <w:rPr/>
      </w:pPr>
      <w:r>
        <w:rPr>
          <w:szCs w:val="22"/>
        </w:rPr>
        <w:t>4.3.5</w:t>
        <w:tab/>
        <w:t xml:space="preserve">In relation to the contracts for Mobile Telecommunication Services in the six First Right of Refusal Countries identified in Exhibit 7 (Sites and Local Entities), EuroBank shall three months prior to the expiry of such a contract inform the PST Supplier of such expiry and subject to the PST Supplier offering market competitive terms for the relevant Mobile Telecommunication Services such contract shall be awarded to the PST Supplier as Services under this MSA. </w:t>
      </w:r>
      <w:r>
        <w:rPr>
          <w:i/>
          <w:szCs w:val="22"/>
        </w:rPr>
      </w:r>
      <w:r>
        <w:rPr>
          <w:szCs w:val="22"/>
        </w:rPr>
      </w:r>
    </w:p>
    <w:p>
      <w:pPr>
        <w:pStyle w:val="Normal"/>
        <w:jc w:val="both"/>
        <w:rPr>
          <w:szCs w:val="22"/>
        </w:rPr>
      </w:pPr>
      <w:r>
        <w:rPr>
          <w:szCs w:val="22"/>
        </w:rPr>
      </w:r>
    </w:p>
    <w:p>
      <w:pPr>
        <w:pStyle w:val="Normal"/>
        <w:numPr>
          <w:ilvl w:val="1"/>
          <w:numId w:val="19"/>
        </w:numPr>
        <w:tabs>
          <w:tab w:val="clear" w:pos="720"/>
        </w:tabs>
        <w:spacing w:before="120" w:after="120"/>
        <w:ind w:hanging="0" w:start="0" w:end="0"/>
        <w:jc w:val="both"/>
        <w:rPr>
          <w:b/>
          <w:szCs w:val="22"/>
        </w:rPr>
      </w:pPr>
      <w:r>
        <w:rPr>
          <w:b/>
          <w:szCs w:val="22"/>
        </w:rPr>
        <w:t>Resources and assets</w:t>
      </w:r>
    </w:p>
    <w:p>
      <w:pPr>
        <w:pStyle w:val="Normal"/>
        <w:jc w:val="both"/>
        <w:rPr/>
      </w:pPr>
      <w:r>
        <w:rPr>
          <w:szCs w:val="22"/>
        </w:rPr>
        <w:t>4.4.1</w:t>
        <w:tab/>
        <w:t>The PST Supplier shall provide and maintain all resources and assets necessary for the proper and efficient performance of the Services except as agreed otherwise in or in accordance with this MSA.</w:t>
      </w:r>
    </w:p>
    <w:p>
      <w:pPr>
        <w:pStyle w:val="Normal"/>
        <w:jc w:val="both"/>
        <w:rPr>
          <w:szCs w:val="22"/>
        </w:rPr>
      </w:pPr>
      <w:r>
        <w:rPr>
          <w:szCs w:val="22"/>
        </w:rPr>
      </w:r>
    </w:p>
    <w:p>
      <w:pPr>
        <w:pStyle w:val="Normal"/>
        <w:jc w:val="both"/>
        <w:rPr/>
      </w:pPr>
      <w:r>
        <w:rPr>
          <w:szCs w:val="22"/>
        </w:rPr>
        <w:t>4.4.2</w:t>
        <w:tab/>
        <w:t>The EuroBank Facilities and EuroBank Materials used by the PST Supplier in the provision of the Services shall be used solely by the PST Supplier for the provision of the Services and for the benefit of the EuroBank Group members.</w:t>
      </w:r>
    </w:p>
    <w:p>
      <w:pPr>
        <w:pStyle w:val="Normal"/>
        <w:jc w:val="both"/>
        <w:rPr>
          <w:szCs w:val="22"/>
        </w:rPr>
      </w:pPr>
      <w:r>
        <w:rPr>
          <w:szCs w:val="22"/>
        </w:rPr>
      </w:r>
    </w:p>
    <w:p>
      <w:pPr>
        <w:pStyle w:val="Normal"/>
        <w:numPr>
          <w:ilvl w:val="1"/>
          <w:numId w:val="19"/>
        </w:numPr>
        <w:tabs>
          <w:tab w:val="clear" w:pos="720"/>
        </w:tabs>
        <w:spacing w:before="120" w:after="120"/>
        <w:ind w:hanging="0" w:start="0" w:end="0"/>
        <w:jc w:val="both"/>
        <w:rPr>
          <w:b/>
          <w:szCs w:val="22"/>
        </w:rPr>
      </w:pPr>
      <w:bookmarkStart w:id="34" w:name="_Ref128473389"/>
      <w:r>
        <w:rPr>
          <w:b/>
          <w:szCs w:val="22"/>
        </w:rPr>
        <w:t>Sites and Local Entities</w:t>
      </w:r>
      <w:bookmarkEnd w:id="34"/>
    </w:p>
    <w:p>
      <w:pPr>
        <w:pStyle w:val="Normal"/>
        <w:numPr>
          <w:ilvl w:val="2"/>
          <w:numId w:val="19"/>
        </w:numPr>
        <w:ind w:hanging="0" w:start="0" w:end="0"/>
        <w:jc w:val="both"/>
        <w:rPr>
          <w:szCs w:val="22"/>
        </w:rPr>
      </w:pPr>
      <w:r>
        <w:rPr>
          <w:szCs w:val="22"/>
        </w:rPr>
        <w:t xml:space="preserve">The PST Supplier shall provide the Services to the EuroBank Group members notified by EuroBank from time to time.  The PST Supplier shall provide the Services to any and all Sites and to any additional EuroBank Sites that EuroBank may request during the Term.  The Services to new EuroBank Group members and new Sites shall be charged according to the rates set out in Exhibit 4 (Pricing and Financial Provisions), provided that such new EuroBank Sites are within the geographical area for which there are agreed rates in Exhibit 4 (Pricing and Financial Provisions). </w:t>
      </w:r>
      <w:r>
        <w:rPr>
          <w:i/>
          <w:szCs w:val="22"/>
        </w:rPr>
      </w:r>
      <w:r>
        <w:rPr>
          <w:szCs w:val="22"/>
        </w:rPr>
      </w:r>
      <w:r>
        <w:rPr>
          <w:i/>
          <w:szCs w:val="22"/>
        </w:rPr>
      </w:r>
      <w:r>
        <w:rPr>
          <w:szCs w:val="22"/>
        </w:rPr>
      </w:r>
    </w:p>
    <w:p>
      <w:pPr>
        <w:pStyle w:val="Normal"/>
        <w:jc w:val="both"/>
        <w:rPr>
          <w:szCs w:val="22"/>
        </w:rPr>
      </w:pPr>
      <w:r>
        <w:rPr>
          <w:szCs w:val="22"/>
        </w:rPr>
      </w:r>
    </w:p>
    <w:p>
      <w:pPr>
        <w:pStyle w:val="Normal"/>
        <w:numPr>
          <w:ilvl w:val="2"/>
          <w:numId w:val="19"/>
        </w:numPr>
        <w:ind w:hanging="0" w:start="0" w:end="0"/>
        <w:jc w:val="both"/>
        <w:rPr>
          <w:szCs w:val="22"/>
        </w:rPr>
      </w:pPr>
      <w:r>
        <w:rPr>
          <w:szCs w:val="22"/>
        </w:rPr>
        <w:t>Although EuroBank’s requirements under the MSA are focused on the provision of Services in Belgium and The Netherlands, the SWS Function includes the provision of Services to the Remotely Managed Countries identified in Exhibit 7 (Sites &amp; Local Entities). Such Services to those other countries are provided from either Belgium or The Netherlands. It is agreed between the parties that delivery of those Services within the individual countries is out of scope of the MSA</w:t>
      </w:r>
      <w:r>
        <w:rPr>
          <w:i/>
          <w:szCs w:val="22"/>
        </w:rPr>
      </w:r>
      <w:r>
        <w:rPr>
          <w:szCs w:val="22"/>
        </w:rPr>
      </w:r>
      <w:r>
        <w:rPr>
          <w:szCs w:val="22"/>
          <w:u w:val="single"/>
        </w:rPr>
      </w:r>
      <w:r>
        <w:rPr>
          <w:szCs w:val="22"/>
        </w:rPr>
      </w:r>
    </w:p>
    <w:p>
      <w:pPr>
        <w:pStyle w:val="Normal"/>
        <w:jc w:val="both"/>
        <w:rPr>
          <w:szCs w:val="22"/>
        </w:rPr>
      </w:pPr>
      <w:r>
        <w:rPr>
          <w:szCs w:val="22"/>
        </w:rPr>
      </w:r>
    </w:p>
    <w:p>
      <w:pPr>
        <w:pStyle w:val="Normal"/>
        <w:numPr>
          <w:ilvl w:val="1"/>
          <w:numId w:val="19"/>
        </w:numPr>
        <w:tabs>
          <w:tab w:val="clear" w:pos="720"/>
        </w:tabs>
        <w:spacing w:before="120" w:after="120"/>
        <w:ind w:hanging="0" w:start="0" w:end="0"/>
        <w:jc w:val="both"/>
        <w:rPr>
          <w:b/>
          <w:szCs w:val="22"/>
        </w:rPr>
      </w:pPr>
      <w:r>
        <w:rPr>
          <w:b/>
          <w:szCs w:val="22"/>
        </w:rPr>
        <w:t>PST Supplier Facilities</w:t>
      </w:r>
    </w:p>
    <w:p>
      <w:pPr>
        <w:pStyle w:val="Normal"/>
        <w:jc w:val="both"/>
        <w:rPr/>
      </w:pPr>
      <w:bookmarkStart w:id="35" w:name="_Ref119321014"/>
      <w:r>
        <w:rPr>
          <w:szCs w:val="22"/>
        </w:rPr>
        <w:t>4.6.1</w:t>
        <w:tab/>
        <w:t>The PST Supplier will maintain and enforce, at the PST Supplier Facilities, safety and physical security procedures that are at least equal to the highest of the following:</w:t>
      </w:r>
      <w:bookmarkEnd w:id="35"/>
    </w:p>
    <w:p>
      <w:pPr>
        <w:pStyle w:val="Normal"/>
        <w:jc w:val="both"/>
        <w:rPr>
          <w:szCs w:val="22"/>
        </w:rPr>
      </w:pPr>
      <w:r>
        <w:rPr>
          <w:szCs w:val="22"/>
        </w:rPr>
      </w:r>
    </w:p>
    <w:p>
      <w:pPr>
        <w:pStyle w:val="Normal"/>
        <w:jc w:val="both"/>
        <w:rPr/>
      </w:pPr>
      <w:r>
        <w:rPr>
          <w:szCs w:val="22"/>
        </w:rPr>
        <w:t>(a)</w:t>
        <w:tab/>
        <w:t>industry standards for locations similar to the PST Supplier Facilities’ locations;</w:t>
      </w:r>
    </w:p>
    <w:p>
      <w:pPr>
        <w:pStyle w:val="Normal"/>
        <w:jc w:val="both"/>
        <w:rPr>
          <w:szCs w:val="22"/>
        </w:rPr>
      </w:pPr>
      <w:r>
        <w:rPr>
          <w:szCs w:val="22"/>
        </w:rPr>
      </w:r>
    </w:p>
    <w:p>
      <w:pPr>
        <w:pStyle w:val="Normal"/>
        <w:jc w:val="both"/>
        <w:rPr/>
      </w:pPr>
      <w:r>
        <w:rPr>
          <w:szCs w:val="22"/>
        </w:rPr>
        <w:t>(b)</w:t>
        <w:tab/>
        <w:t>the Policies applicable to the PST Supplier Facilities’ locations; and</w:t>
      </w:r>
    </w:p>
    <w:p>
      <w:pPr>
        <w:pStyle w:val="Normal"/>
        <w:jc w:val="both"/>
        <w:rPr>
          <w:szCs w:val="22"/>
        </w:rPr>
      </w:pPr>
      <w:r>
        <w:rPr>
          <w:szCs w:val="22"/>
        </w:rPr>
      </w:r>
    </w:p>
    <w:p>
      <w:pPr>
        <w:pStyle w:val="Normal"/>
        <w:jc w:val="both"/>
        <w:rPr/>
      </w:pPr>
      <w:r>
        <w:rPr>
          <w:szCs w:val="22"/>
        </w:rPr>
        <w:t>(c)</w:t>
        <w:tab/>
        <w:t xml:space="preserve">any higher standard otherwise agreed by the parties.  </w:t>
      </w:r>
    </w:p>
    <w:p>
      <w:pPr>
        <w:pStyle w:val="Normal"/>
        <w:jc w:val="both"/>
        <w:rPr>
          <w:szCs w:val="22"/>
        </w:rPr>
      </w:pPr>
      <w:r>
        <w:rPr>
          <w:szCs w:val="22"/>
        </w:rPr>
      </w:r>
    </w:p>
    <w:p>
      <w:pPr>
        <w:pStyle w:val="Normal"/>
        <w:jc w:val="both"/>
        <w:rPr/>
      </w:pPr>
      <w:r>
        <w:rPr>
          <w:szCs w:val="22"/>
        </w:rPr>
        <w:t>4.6.2</w:t>
        <w:tab/>
        <w:t>Without limiting clause 4.6.1, the PST Supplier will comply with the Policies and any other safety and security policies and procedures in effect at the EuroBank Facilities when working in those EuroBank Facilities and provided these have been communicated in writing to the PST Supplier.</w:t>
      </w:r>
    </w:p>
    <w:p>
      <w:pPr>
        <w:pStyle w:val="Normal"/>
        <w:jc w:val="both"/>
        <w:rPr>
          <w:szCs w:val="22"/>
        </w:rPr>
      </w:pPr>
      <w:r>
        <w:rPr>
          <w:szCs w:val="22"/>
        </w:rPr>
      </w:r>
    </w:p>
    <w:p>
      <w:pPr>
        <w:pStyle w:val="Normal"/>
        <w:jc w:val="both"/>
        <w:rPr/>
      </w:pPr>
      <w:r>
        <w:rPr>
          <w:szCs w:val="22"/>
        </w:rPr>
        <w:t>4.6.3</w:t>
        <w:tab/>
        <w:t>The PST Supplier will comply with the requirements related to the PST Supplier Facilities and EuroBank Facilities in Exhibit 2 (Statement of Work) and all other requirements related to PST Supplier Facilities and/or EuroBank Facilities specified in this MSA.</w:t>
      </w:r>
      <w:r>
        <w:rPr>
          <w:i/>
          <w:szCs w:val="22"/>
        </w:rPr>
      </w:r>
      <w:r>
        <w:rPr>
          <w:szCs w:val="22"/>
        </w:rPr>
      </w:r>
    </w:p>
    <w:p>
      <w:pPr>
        <w:pStyle w:val="Normal"/>
        <w:jc w:val="both"/>
        <w:rPr>
          <w:szCs w:val="22"/>
        </w:rPr>
      </w:pPr>
      <w:r>
        <w:rPr>
          <w:szCs w:val="22"/>
        </w:rPr>
      </w:r>
    </w:p>
    <w:p>
      <w:pPr>
        <w:pStyle w:val="Normal"/>
        <w:numPr>
          <w:ilvl w:val="1"/>
          <w:numId w:val="19"/>
        </w:numPr>
        <w:tabs>
          <w:tab w:val="clear" w:pos="720"/>
        </w:tabs>
        <w:spacing w:before="120" w:after="120"/>
        <w:ind w:hanging="0" w:start="0" w:end="0"/>
        <w:jc w:val="both"/>
        <w:rPr>
          <w:b/>
          <w:szCs w:val="22"/>
        </w:rPr>
      </w:pPr>
      <w:r>
        <w:rPr>
          <w:b/>
          <w:szCs w:val="22"/>
        </w:rPr>
        <w:t>PST Supplier use of EuroBank Facilities</w:t>
      </w:r>
    </w:p>
    <w:p>
      <w:pPr>
        <w:pStyle w:val="Normal"/>
        <w:jc w:val="both"/>
        <w:rPr>
          <w:szCs w:val="22"/>
        </w:rPr>
      </w:pPr>
      <w:r>
        <w:rPr>
          <w:szCs w:val="22"/>
          <w:highlight w:val="yellow"/>
        </w:rPr>
        <w:t>Freshfields suggested wording for 2IM MSA:</w:t>
      </w:r>
    </w:p>
    <w:p>
      <w:pPr>
        <w:pStyle w:val="Normal"/>
        <w:jc w:val="both"/>
        <w:rPr>
          <w:szCs w:val="22"/>
        </w:rPr>
      </w:pPr>
      <w:r>
        <w:rPr>
          <w:szCs w:val="22"/>
        </w:rPr>
      </w:r>
    </w:p>
    <w:p>
      <w:pPr>
        <w:pStyle w:val="Normal"/>
        <w:jc w:val="both"/>
        <w:rPr/>
      </w:pPr>
      <w:r>
        <w:rPr>
          <w:color w:val="0000FF"/>
          <w:szCs w:val="22"/>
        </w:rPr>
        <w:t>4.7.1</w:t>
        <w:tab/>
        <w:t>The 2IM will provide the Services from the relevant EuroBank Sites in the manner and for the duration specified in this MSA.</w:t>
      </w:r>
    </w:p>
    <w:p>
      <w:pPr>
        <w:pStyle w:val="Normal"/>
        <w:jc w:val="both"/>
        <w:rPr>
          <w:color w:val="0000FF"/>
          <w:szCs w:val="22"/>
        </w:rPr>
      </w:pPr>
      <w:r>
        <w:rPr>
          <w:color w:val="0000FF"/>
          <w:szCs w:val="22"/>
        </w:rPr>
      </w:r>
    </w:p>
    <w:p>
      <w:pPr>
        <w:pStyle w:val="Normal"/>
        <w:jc w:val="both"/>
        <w:rPr/>
      </w:pPr>
      <w:r>
        <w:rPr>
          <w:color w:val="0000FF"/>
          <w:szCs w:val="22"/>
        </w:rPr>
        <w:t>4.7.2</w:t>
        <w:tab/>
        <w:t>For the provision of the Services, EuroBank shall provide the 2IM with reasonably furnished office space including desktop and network facilities for the duration of this MSA and at no further cost to the 2IM.</w:t>
      </w:r>
    </w:p>
    <w:p>
      <w:pPr>
        <w:pStyle w:val="Normal"/>
        <w:jc w:val="both"/>
        <w:rPr>
          <w:color w:val="0000FF"/>
          <w:szCs w:val="22"/>
        </w:rPr>
      </w:pPr>
      <w:r>
        <w:rPr>
          <w:color w:val="0000FF"/>
          <w:szCs w:val="22"/>
        </w:rPr>
      </w:r>
    </w:p>
    <w:p>
      <w:pPr>
        <w:pStyle w:val="Normal"/>
        <w:jc w:val="both"/>
        <w:rPr/>
      </w:pPr>
      <w:r>
        <w:rPr>
          <w:color w:val="0000FF"/>
          <w:szCs w:val="22"/>
        </w:rPr>
        <w:t>4.7.3</w:t>
        <w:tab/>
        <w:t>If applicable: This is article 4.7.2. from the General MSA amended for the purpose of the 2IM MSA and in accordance with the suggested wording for 4.71 and 4.72] [With EuroBank’s prior written approval, the 2IM may make improvements to EuroBank Sites at its own expense.  Improvements to EuroBank Sites, whether owned or leased, will become the property of EuroBank or its lessors and will thereafter be maintained by EuroBank.</w:t>
      </w:r>
      <w:r>
        <w:rPr>
          <w:b/>
          <w:i/>
          <w:color w:val="0000FF"/>
          <w:szCs w:val="22"/>
        </w:rPr>
      </w:r>
      <w:r>
        <w:rPr>
          <w:color w:val="0000FF"/>
          <w:szCs w:val="22"/>
        </w:rPr>
      </w:r>
    </w:p>
    <w:p>
      <w:pPr>
        <w:pStyle w:val="Normal"/>
        <w:jc w:val="both"/>
        <w:rPr>
          <w:color w:val="0000FF"/>
          <w:szCs w:val="22"/>
        </w:rPr>
      </w:pPr>
      <w:r>
        <w:rPr>
          <w:color w:val="0000FF"/>
          <w:szCs w:val="22"/>
        </w:rPr>
        <w:t>The 2IM acknowledges that the EuroBank Sites are being made available to it on an “as is, where is” basis.  Where EuroBank agrees to provide any parking facilities at EuroBank Sites, the 2IM will pay a reasonable charge for such facilities as invoiced by EuroBank from time to time. However, with respect to the EuroBank Sites utilised by the 2IM to provide Services, EuroBank will manage and maintain at historical levels (or higher levels if explicitly agreed in writing between the parties) the building and property electrical systems; water, sewer, lights, heating, ventilation and air conditioning systems, physical security services, general custodial and landscape services (including monitoring and maintaining the uninterruptible power supply system, air handlers and water chillers.</w:t>
      </w:r>
    </w:p>
    <w:p>
      <w:pPr>
        <w:pStyle w:val="Normal"/>
        <w:jc w:val="both"/>
        <w:rPr>
          <w:color w:val="0000FF"/>
          <w:szCs w:val="22"/>
        </w:rPr>
      </w:pPr>
      <w:r>
        <w:rPr>
          <w:color w:val="0000FF"/>
          <w:szCs w:val="22"/>
        </w:rPr>
      </w:r>
    </w:p>
    <w:p>
      <w:pPr>
        <w:pStyle w:val="Normal"/>
        <w:jc w:val="both"/>
        <w:rPr/>
      </w:pPr>
      <w:r>
        <w:rPr>
          <w:color w:val="0000FF"/>
          <w:szCs w:val="22"/>
        </w:rPr>
        <w:t>4.7.4</w:t>
        <w:tab/>
        <w:t>If applicable: This is article 4.7.3. from the General MSA amended for the purpose of the 2IM MSA and in accordance with the suggested wording for 4.71 and 4.72] The 2IM will use the EuroBank Sites for the sole purpose of providing the Services and will use the EuroBank Sites in an efficient manner. The 2IM will be responsible for damages to and fines in relation to the EuroBank Sites directly caused by the 2IM, its agents, the Sub-Contractors or any employees or invitees of any of the foregoing.  The 2IM will permit EuroBank and its agents and representatives to enter into those portions of the EuroBank Sites occupied by the 2IM staff at any time, subject to EuroBank’s compliance with the 2IM’s reasonable safety regulations and other reasonable regulations respecting the legitimate interests of the 2IM (which have, in each case, been notified to EuroBank in writing) when exercising this right.  When the EuroBank Sites are no longer required for performance of the Services, the 2IM will return the EuroBank Sites to EuroBank in substantially the same condition as when the 2IM began use of the EuroBank Sites, subject to reasonable wear and tear.]</w:t>
      </w:r>
      <w:r>
        <w:rPr>
          <w:b/>
          <w:i/>
          <w:color w:val="0000FF"/>
          <w:szCs w:val="22"/>
        </w:rPr>
      </w:r>
      <w:r>
        <w:rPr>
          <w:color w:val="0000FF"/>
          <w:szCs w:val="22"/>
        </w:rPr>
      </w:r>
    </w:p>
    <w:p>
      <w:pPr>
        <w:pStyle w:val="Normal"/>
        <w:jc w:val="both"/>
        <w:rPr>
          <w:color w:val="0000FF"/>
          <w:szCs w:val="22"/>
          <w:highlight w:val="yellow"/>
        </w:rPr>
      </w:pPr>
      <w:r>
        <w:rPr>
          <w:color w:val="0000FF"/>
          <w:szCs w:val="22"/>
          <w:highlight w:val="yellow"/>
        </w:rPr>
      </w:r>
    </w:p>
    <w:p>
      <w:pPr>
        <w:pStyle w:val="Normal"/>
        <w:jc w:val="both"/>
        <w:rPr>
          <w:szCs w:val="22"/>
        </w:rPr>
      </w:pPr>
      <w:r>
        <w:rPr>
          <w:szCs w:val="22"/>
          <w:highlight w:val="yellow"/>
        </w:rPr>
        <w:t>General MSA:</w:t>
      </w:r>
    </w:p>
    <w:p>
      <w:pPr>
        <w:pStyle w:val="Normal"/>
        <w:jc w:val="both"/>
        <w:rPr>
          <w:szCs w:val="22"/>
        </w:rPr>
      </w:pPr>
      <w:r>
        <w:rPr>
          <w:szCs w:val="22"/>
        </w:rPr>
      </w:r>
    </w:p>
    <w:p>
      <w:pPr>
        <w:pStyle w:val="Normal"/>
        <w:jc w:val="both"/>
        <w:rPr/>
      </w:pPr>
      <w:r>
        <w:rPr>
          <w:color w:val="800080"/>
          <w:szCs w:val="22"/>
        </w:rPr>
        <w:t>4.7.1</w:t>
        <w:tab/>
        <w:t>The PST Supplier may only use the EuroBank Facilities in the manner and for the duration specified in this MSA.</w:t>
      </w:r>
    </w:p>
    <w:p>
      <w:pPr>
        <w:pStyle w:val="Normal"/>
        <w:jc w:val="both"/>
        <w:rPr>
          <w:color w:val="800080"/>
          <w:szCs w:val="22"/>
        </w:rPr>
      </w:pPr>
      <w:r>
        <w:rPr>
          <w:color w:val="800080"/>
          <w:szCs w:val="22"/>
        </w:rPr>
      </w:r>
    </w:p>
    <w:p>
      <w:pPr>
        <w:pStyle w:val="Normal"/>
        <w:jc w:val="both"/>
        <w:rPr/>
      </w:pPr>
      <w:r>
        <w:rPr>
          <w:color w:val="800080"/>
          <w:szCs w:val="22"/>
        </w:rPr>
        <w:t>4.7.2</w:t>
        <w:tab/>
        <w:t>With EuroBank’s prior written approval, the PST Supplier may make improvements to EuroBank Facilities at its own expense.  Improvements to EuroBank Facilities, whether owned or leased, will become the property of EuroBank or its lessors and will thereafter be maintained by EuroBank.</w:t>
      </w:r>
      <w:r>
        <w:rPr>
          <w:color w:val="0000FF"/>
          <w:szCs w:val="22"/>
        </w:rPr>
      </w:r>
      <w:r>
        <w:rPr>
          <w:color w:val="800080"/>
          <w:szCs w:val="22"/>
        </w:rPr>
      </w:r>
    </w:p>
    <w:p>
      <w:pPr>
        <w:pStyle w:val="Normal"/>
        <w:jc w:val="both"/>
        <w:rPr>
          <w:color w:val="800080"/>
          <w:szCs w:val="22"/>
        </w:rPr>
      </w:pPr>
      <w:r>
        <w:rPr>
          <w:color w:val="800080"/>
          <w:szCs w:val="22"/>
        </w:rPr>
      </w:r>
    </w:p>
    <w:p>
      <w:pPr>
        <w:pStyle w:val="Normal"/>
        <w:jc w:val="both"/>
        <w:rPr>
          <w:color w:val="800080"/>
          <w:szCs w:val="22"/>
        </w:rPr>
      </w:pPr>
      <w:r>
        <w:rPr>
          <w:color w:val="800080"/>
          <w:szCs w:val="22"/>
        </w:rPr>
        <w:t>4.7.3</w:t>
        <w:tab/>
        <w:t xml:space="preserve">The PST Supplier acknowledges that the EuroBank Facilities are being made available to it on an “as is, where is” basis.  Where EuroBank agrees to provide any parking facilities at EuroBank Facilities, the PST Supplier will pay a reasonable charge for such facilities as invoiced by EuroBank from time to time. However, with respect to the EuroBank Facilities utilised by the PST Supplier to provide Services, EuroBank will manage and maintain at historical levels (or higher levels if explicitly agreed in writing between the parties) the building and property electrical systems; water, sewer, lights, heating, ventilation and air conditioning systems, physical security services, general custodial and landscape services (including monitoring and maintaining the uninterruptible power supply system, air handlers and water chillers.) </w:t>
      </w:r>
    </w:p>
    <w:p>
      <w:pPr>
        <w:pStyle w:val="Normal"/>
        <w:jc w:val="both"/>
        <w:rPr>
          <w:color w:val="800080"/>
          <w:szCs w:val="22"/>
        </w:rPr>
      </w:pPr>
      <w:r>
        <w:rPr>
          <w:color w:val="800080"/>
          <w:szCs w:val="22"/>
        </w:rPr>
      </w:r>
    </w:p>
    <w:p>
      <w:pPr>
        <w:pStyle w:val="Normal"/>
        <w:jc w:val="both"/>
        <w:rPr/>
      </w:pPr>
      <w:r>
        <w:rPr>
          <w:color w:val="800080"/>
          <w:szCs w:val="22"/>
        </w:rPr>
        <w:t>4.7.4</w:t>
        <w:tab/>
        <w:t xml:space="preserve">The PST Supplier will use the EuroBank Facilities for the sole purpose of providing the Services and will use the EuroBank Facilities in an efficient manner. The PST Supplier will be responsible for damages to and fines in relation to the EuroBank Facilities directly caused by the PST Supplier, its agents, the Sub-Contractors or any employees or invitees of any of the foregoing.  The PST Supplier will permit EuroBank and its agents and representatives to enter into those portions of the EuroBank Facilities occupied by the PST Supplier staff at any time, subject to EuroBank’s compliance with the PST Supplier’s reasonable safety regulations and other reasonable regulations respecting the legitimate interests of the PST Supplier (which have, in each case, been notified to EuroBank in writing) when exercising this right.  When the EuroBank Facilities are no longer required for performance of the Services, the PST Supplier will return the EuroBank Facilities to EuroBank in substantially the same condition as when the PST Supplier began use of the EuroBank Facilities, subject to reasonable wear and tear. </w:t>
      </w:r>
    </w:p>
    <w:p>
      <w:pPr>
        <w:pStyle w:val="Normal"/>
        <w:jc w:val="both"/>
        <w:rPr>
          <w:color w:val="800080"/>
          <w:szCs w:val="22"/>
        </w:rPr>
      </w:pPr>
      <w:r>
        <w:rPr>
          <w:color w:val="800080"/>
          <w:szCs w:val="22"/>
        </w:rPr>
      </w:r>
    </w:p>
    <w:p>
      <w:pPr>
        <w:pStyle w:val="Normal"/>
        <w:numPr>
          <w:ilvl w:val="1"/>
          <w:numId w:val="19"/>
        </w:numPr>
        <w:tabs>
          <w:tab w:val="clear" w:pos="720"/>
        </w:tabs>
        <w:spacing w:before="120" w:after="120"/>
        <w:ind w:hanging="0" w:start="0" w:end="0"/>
        <w:jc w:val="both"/>
        <w:rPr>
          <w:b/>
          <w:szCs w:val="22"/>
        </w:rPr>
      </w:pPr>
      <w:r>
        <w:rPr>
          <w:b/>
          <w:szCs w:val="22"/>
        </w:rPr>
        <w:t>Environmental laws and hazardous materials</w:t>
      </w:r>
    </w:p>
    <w:p>
      <w:pPr>
        <w:pStyle w:val="Normal"/>
        <w:jc w:val="both"/>
        <w:rPr>
          <w:szCs w:val="22"/>
        </w:rPr>
      </w:pPr>
      <w:r>
        <w:rPr>
          <w:szCs w:val="22"/>
        </w:rPr>
        <w:t>Without limiting clause 1.2.3, in providing the Services and disposing of any Equipment, the PST Supplier shall be responsible for compliance with all Applicable Laws relating to environmental protection and hazardous materials.  The PST Supplier undertakes to not store any hazardous materials at any EuroBank Facilities or if it does have to do so in order to be able to perform the Services, undertakes to take all steps necessary to protect all persons including all employees and agents of the EuroBank Group from any exposure to hazardous materials generated or utilised in its performance under this MSA.</w:t>
      </w:r>
    </w:p>
    <w:p>
      <w:pPr>
        <w:pStyle w:val="Normal"/>
        <w:jc w:val="both"/>
        <w:rPr>
          <w:szCs w:val="22"/>
        </w:rPr>
      </w:pPr>
      <w:r>
        <w:rPr>
          <w:szCs w:val="22"/>
        </w:rPr>
      </w:r>
    </w:p>
    <w:p>
      <w:pPr>
        <w:pStyle w:val="Normal"/>
        <w:numPr>
          <w:ilvl w:val="1"/>
          <w:numId w:val="19"/>
        </w:numPr>
        <w:tabs>
          <w:tab w:val="clear" w:pos="720"/>
        </w:tabs>
        <w:spacing w:before="120" w:after="120"/>
        <w:ind w:hanging="0" w:start="0" w:end="0"/>
        <w:jc w:val="both"/>
        <w:rPr>
          <w:b/>
          <w:szCs w:val="22"/>
        </w:rPr>
      </w:pPr>
      <w:r>
        <w:rPr>
          <w:b/>
          <w:szCs w:val="22"/>
        </w:rPr>
        <w:t>EuroBank use of third parties</w:t>
      </w:r>
    </w:p>
    <w:p>
      <w:pPr>
        <w:pStyle w:val="Normal"/>
        <w:jc w:val="both"/>
        <w:rPr/>
      </w:pPr>
      <w:r>
        <w:rPr>
          <w:szCs w:val="22"/>
        </w:rPr>
        <w:t>4.9.1</w:t>
        <w:tab/>
        <w:t>EuroBank shall have the right to perform itself, or to contract with third parties to perform, any part of the Services, provided EuroBank honours all its obligations under this MSA when doing so.</w:t>
      </w:r>
    </w:p>
    <w:p>
      <w:pPr>
        <w:pStyle w:val="Normal"/>
        <w:jc w:val="both"/>
        <w:rPr>
          <w:szCs w:val="22"/>
        </w:rPr>
      </w:pPr>
      <w:r>
        <w:rPr>
          <w:szCs w:val="22"/>
        </w:rPr>
      </w:r>
    </w:p>
    <w:p>
      <w:pPr>
        <w:pStyle w:val="Normal"/>
        <w:jc w:val="both"/>
        <w:rPr>
          <w:szCs w:val="22"/>
        </w:rPr>
      </w:pPr>
      <w:r>
        <w:rPr>
          <w:szCs w:val="22"/>
        </w:rPr>
        <w:t>4.9.2</w:t>
        <w:tab/>
        <w:t>The PST Supplier shall provide reasonable cooperation to EuroBank and to third parties retained by EuroBank to perform information technology or other services, subject to the Change Control Procedure to establish the terms and Charges for such additional Services, where such cooperation would involve significant additional effort or otherwise materially impacts on the Services.</w:t>
      </w:r>
    </w:p>
    <w:p>
      <w:pPr>
        <w:pStyle w:val="Normal"/>
        <w:jc w:val="both"/>
        <w:rPr>
          <w:szCs w:val="22"/>
        </w:rPr>
      </w:pPr>
      <w:r>
        <w:rPr>
          <w:szCs w:val="22"/>
        </w:rPr>
      </w:r>
    </w:p>
    <w:p>
      <w:pPr>
        <w:pStyle w:val="Normal"/>
        <w:numPr>
          <w:ilvl w:val="1"/>
          <w:numId w:val="19"/>
        </w:numPr>
        <w:tabs>
          <w:tab w:val="clear" w:pos="720"/>
        </w:tabs>
        <w:spacing w:before="120" w:after="120"/>
        <w:ind w:hanging="0" w:start="0" w:end="0"/>
        <w:jc w:val="both"/>
        <w:rPr>
          <w:b/>
          <w:szCs w:val="22"/>
        </w:rPr>
      </w:pPr>
      <w:r>
        <w:rPr>
          <w:b/>
          <w:szCs w:val="22"/>
        </w:rPr>
        <w:t>Excused performance</w:t>
      </w:r>
    </w:p>
    <w:p>
      <w:pPr>
        <w:pStyle w:val="Normal"/>
        <w:jc w:val="both"/>
        <w:rPr/>
      </w:pPr>
      <w:bookmarkStart w:id="36" w:name="_Ref115146945"/>
      <w:r>
        <w:rPr>
          <w:szCs w:val="22"/>
        </w:rPr>
        <w:t>4.10.1</w:t>
        <w:tab/>
        <w:t xml:space="preserve">The exercise by EuroBank of its right to withhold payment in accordance with 8.3 shall not relieve the PST Supplier from any of its obligations under this MSA. </w:t>
      </w:r>
      <w:bookmarkEnd w:id="36"/>
    </w:p>
    <w:p>
      <w:pPr>
        <w:pStyle w:val="Normal"/>
        <w:jc w:val="both"/>
        <w:rPr>
          <w:szCs w:val="22"/>
        </w:rPr>
      </w:pPr>
      <w:r>
        <w:rPr>
          <w:szCs w:val="22"/>
        </w:rPr>
      </w:r>
      <w:bookmarkStart w:id="37" w:name="_Ref133999018"/>
      <w:bookmarkStart w:id="38" w:name="_Ref110770394"/>
      <w:bookmarkStart w:id="39" w:name="_Ref133999018"/>
      <w:bookmarkStart w:id="40" w:name="_Ref110770394"/>
    </w:p>
    <w:p>
      <w:pPr>
        <w:pStyle w:val="Normal"/>
        <w:jc w:val="both"/>
        <w:rPr/>
      </w:pPr>
      <w:bookmarkStart w:id="41" w:name="_Ref133999018"/>
      <w:r>
        <w:rPr>
          <w:szCs w:val="22"/>
        </w:rPr>
        <w:t>4.10.2</w:t>
        <w:tab/>
        <w:t>Before claiming any relief from performance for a failure by EuroBank to perform an obligation under this MSA, the PST Supplier shall to the extent possible first:</w:t>
      </w:r>
      <w:bookmarkEnd w:id="41"/>
    </w:p>
    <w:p>
      <w:pPr>
        <w:pStyle w:val="Normal"/>
        <w:jc w:val="both"/>
        <w:rPr>
          <w:szCs w:val="22"/>
        </w:rPr>
      </w:pPr>
      <w:r>
        <w:rPr>
          <w:szCs w:val="22"/>
        </w:rPr>
      </w:r>
      <w:bookmarkStart w:id="42" w:name="_Ref110771242"/>
      <w:bookmarkStart w:id="43" w:name="_Ref110771242"/>
    </w:p>
    <w:p>
      <w:pPr>
        <w:pStyle w:val="Normal"/>
        <w:ind w:hanging="720" w:start="720" w:end="0"/>
        <w:jc w:val="both"/>
        <w:rPr/>
      </w:pPr>
      <w:bookmarkStart w:id="44" w:name="_Ref110771242"/>
      <w:r>
        <w:rPr>
          <w:szCs w:val="22"/>
        </w:rPr>
        <w:t>(a)</w:t>
        <w:tab/>
        <w:t>promptly notify EuroBank and the 2IM of any alleged failure by EuroBank to perform the relevant obligation;</w:t>
      </w:r>
      <w:bookmarkEnd w:id="44"/>
    </w:p>
    <w:p>
      <w:pPr>
        <w:pStyle w:val="Normal"/>
        <w:ind w:hanging="720" w:start="720" w:end="0"/>
        <w:jc w:val="both"/>
        <w:rPr>
          <w:szCs w:val="22"/>
        </w:rPr>
      </w:pPr>
      <w:r>
        <w:rPr>
          <w:szCs w:val="22"/>
        </w:rPr>
      </w:r>
    </w:p>
    <w:p>
      <w:pPr>
        <w:pStyle w:val="Normal"/>
        <w:ind w:hanging="720" w:start="720" w:end="0"/>
        <w:jc w:val="both"/>
        <w:rPr/>
      </w:pPr>
      <w:r>
        <w:rPr>
          <w:szCs w:val="22"/>
        </w:rPr>
        <w:t>(b)</w:t>
        <w:tab/>
        <w:t>in its notice under (a), provide reasonable evidence supporting its claim that EuroBank’s alleged failure has prevented, or is likely to prevent, the performance of its obligation; and</w:t>
      </w:r>
    </w:p>
    <w:p>
      <w:pPr>
        <w:pStyle w:val="Normal"/>
        <w:ind w:hanging="720" w:start="720" w:end="0"/>
        <w:jc w:val="both"/>
        <w:rPr>
          <w:szCs w:val="22"/>
        </w:rPr>
      </w:pPr>
      <w:r>
        <w:rPr>
          <w:szCs w:val="22"/>
        </w:rPr>
      </w:r>
      <w:bookmarkStart w:id="45" w:name="_Ref133999282"/>
      <w:bookmarkStart w:id="46" w:name="_Ref133999282"/>
    </w:p>
    <w:p>
      <w:pPr>
        <w:pStyle w:val="Normal"/>
        <w:ind w:hanging="720" w:start="720" w:end="0"/>
        <w:jc w:val="both"/>
        <w:rPr>
          <w:szCs w:val="22"/>
        </w:rPr>
      </w:pPr>
      <w:bookmarkStart w:id="47" w:name="_Ref110770394"/>
      <w:bookmarkStart w:id="48" w:name="_Ref133999282"/>
      <w:r>
        <w:rPr>
          <w:szCs w:val="22"/>
        </w:rPr>
        <w:t>(c)</w:t>
        <w:tab/>
        <w:t>despite EuroBank’s alleged failure, use its reasonable efforts to minimise the impact of any anticipated or actual non-performance of its obligation, and with EuroBank’s prior written consent, carry out work around, re-prioritise work or re-deploy PST Member Personnel for this purpose.</w:t>
      </w:r>
      <w:bookmarkEnd w:id="47"/>
      <w:bookmarkEnd w:id="48"/>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bookmarkStart w:id="49" w:name="_Ref118795915"/>
      <w:bookmarkStart w:id="50" w:name="_Ref118794207"/>
      <w:r>
        <w:rPr>
          <w:rFonts w:cs="Arial" w:ascii="Times New Roman Bold;Times New Roman" w:hAnsi="Times New Roman Bold;Times New Roman"/>
          <w:bCs/>
          <w:kern w:val="2"/>
          <w:szCs w:val="22"/>
        </w:rPr>
        <w:t>5</w:t>
        <w:tab/>
        <w:t>MOST FAVOURED CUSTOMER</w:t>
      </w:r>
      <w:bookmarkEnd w:id="49"/>
      <w:bookmarkEnd w:id="50"/>
    </w:p>
    <w:p>
      <w:pPr>
        <w:pStyle w:val="Normal"/>
        <w:spacing w:before="120" w:after="120"/>
        <w:jc w:val="both"/>
        <w:rPr>
          <w:b/>
          <w:szCs w:val="22"/>
        </w:rPr>
      </w:pPr>
      <w:r>
        <w:rPr>
          <w:b/>
          <w:szCs w:val="22"/>
          <w:highlight w:val="yellow"/>
        </w:rPr>
        <w:t>Wording just for TelCo MSA (and subsequents paras re-numbered):</w:t>
      </w:r>
    </w:p>
    <w:p>
      <w:pPr>
        <w:pStyle w:val="Normal"/>
        <w:numPr>
          <w:ilvl w:val="1"/>
          <w:numId w:val="9"/>
        </w:numPr>
        <w:tabs>
          <w:tab w:val="clear" w:pos="720"/>
        </w:tabs>
        <w:spacing w:before="120" w:after="120"/>
        <w:ind w:hanging="0" w:start="0" w:end="0"/>
        <w:jc w:val="both"/>
        <w:rPr>
          <w:b/>
          <w:szCs w:val="22"/>
        </w:rPr>
      </w:pPr>
      <w:r>
        <w:rPr>
          <w:b/>
          <w:szCs w:val="22"/>
        </w:rPr>
        <w:t>Customer resource allocation</w:t>
      </w:r>
    </w:p>
    <w:p>
      <w:pPr>
        <w:pStyle w:val="Normal"/>
        <w:jc w:val="both"/>
        <w:rPr>
          <w:szCs w:val="22"/>
        </w:rPr>
      </w:pPr>
      <w:bookmarkStart w:id="51" w:name="_Ref110876464"/>
      <w:bookmarkEnd w:id="51"/>
      <w:r>
        <w:rPr>
          <w:szCs w:val="22"/>
        </w:rPr>
        <w:t>The PST Supplier shall not give, and shall procure that none of its Affiliates or any Sub-Contractor gives, any other person priority over EuroBank in the usage or allocation of any Transfer Assets used in providing the Service unless agreed otherwise.</w:t>
      </w:r>
    </w:p>
    <w:p>
      <w:pPr>
        <w:pStyle w:val="Normal"/>
        <w:jc w:val="both"/>
        <w:rPr>
          <w:szCs w:val="22"/>
        </w:rPr>
      </w:pPr>
      <w:r>
        <w:rPr>
          <w:szCs w:val="22"/>
        </w:rPr>
      </w:r>
    </w:p>
    <w:p>
      <w:pPr>
        <w:pStyle w:val="Normal"/>
        <w:jc w:val="both"/>
        <w:rPr>
          <w:szCs w:val="22"/>
        </w:rPr>
      </w:pPr>
      <w:r>
        <w:rPr>
          <w:szCs w:val="22"/>
          <w:highlight w:val="yellow"/>
        </w:rPr>
        <w:t>General MSA:</w:t>
      </w:r>
    </w:p>
    <w:p>
      <w:pPr>
        <w:pStyle w:val="Normal"/>
        <w:numPr>
          <w:ilvl w:val="1"/>
          <w:numId w:val="9"/>
        </w:numPr>
        <w:tabs>
          <w:tab w:val="clear" w:pos="720"/>
        </w:tabs>
        <w:spacing w:before="120" w:after="120"/>
        <w:ind w:hanging="0" w:start="0" w:end="0"/>
        <w:jc w:val="both"/>
        <w:rPr>
          <w:b/>
          <w:szCs w:val="22"/>
        </w:rPr>
      </w:pPr>
      <w:bookmarkStart w:id="52" w:name="_Ref110876464"/>
      <w:bookmarkEnd w:id="52"/>
      <w:r>
        <w:rPr>
          <w:b/>
          <w:szCs w:val="22"/>
        </w:rPr>
        <w:t>Equal treatment</w:t>
      </w:r>
    </w:p>
    <w:p>
      <w:pPr>
        <w:pStyle w:val="Normal"/>
        <w:jc w:val="both"/>
        <w:rPr>
          <w:szCs w:val="22"/>
        </w:rPr>
      </w:pPr>
      <w:bookmarkStart w:id="53" w:name="_Ref125358020"/>
      <w:r>
        <w:rPr>
          <w:szCs w:val="22"/>
        </w:rPr>
        <w:t>The PST Supplier shall provide a level of service and a level of pricing which is no less favourable than that received by similar customers to whom the PST Supplier or any of its Affiliates provides the same or similar services, in similar volumes and in similar geographies to the Services. Within 10 Business Days after the end of each Year, the PST Supplier shall certify to EuroBank that to the best of its knowledge having conducted diligent research neither the PST Supplier nor any of its Affiliates have entered into any transaction for services which would be in violation with this sub-clause.</w:t>
      </w:r>
      <w:bookmarkEnd w:id="53"/>
      <w:r>
        <w:rPr>
          <w:szCs w:val="22"/>
        </w:rPr>
      </w:r>
    </w:p>
    <w:p>
      <w:pPr>
        <w:pStyle w:val="Normal"/>
        <w:jc w:val="both"/>
        <w:rPr>
          <w:szCs w:val="22"/>
        </w:rPr>
      </w:pPr>
      <w:r>
        <w:rPr>
          <w:szCs w:val="22"/>
        </w:rPr>
      </w:r>
    </w:p>
    <w:p>
      <w:pPr>
        <w:pStyle w:val="Normal"/>
        <w:numPr>
          <w:ilvl w:val="1"/>
          <w:numId w:val="9"/>
        </w:numPr>
        <w:tabs>
          <w:tab w:val="clear" w:pos="720"/>
        </w:tabs>
        <w:spacing w:before="120" w:after="120"/>
        <w:ind w:hanging="0" w:start="0" w:end="0"/>
        <w:jc w:val="both"/>
        <w:rPr>
          <w:b/>
          <w:szCs w:val="22"/>
        </w:rPr>
      </w:pPr>
      <w:r>
        <w:rPr>
          <w:b/>
          <w:szCs w:val="22"/>
        </w:rPr>
        <w:t>Inconsistent agreements</w:t>
      </w:r>
    </w:p>
    <w:p>
      <w:pPr>
        <w:pStyle w:val="Normal"/>
        <w:jc w:val="both"/>
        <w:rPr>
          <w:szCs w:val="22"/>
        </w:rPr>
      </w:pPr>
      <w:r>
        <w:rPr>
          <w:szCs w:val="22"/>
        </w:rPr>
        <w:t>The PST Supplier shall not, and shall procure that its Affiliates do not, enter into any agreement, arrangement or understanding which is inconsistent with EuroBank’s rights under this clause without simultaneously offering to EuroBank conditions satisfying the requirements of this clause 5.</w:t>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r>
        <w:rPr>
          <w:rFonts w:cs="Arial" w:ascii="Times New Roman Bold;Times New Roman" w:hAnsi="Times New Roman Bold;Times New Roman"/>
          <w:bCs/>
          <w:kern w:val="2"/>
          <w:szCs w:val="22"/>
        </w:rPr>
        <w:t>6</w:t>
        <w:tab/>
        <w:t>STEP IN RIGHTS</w:t>
      </w:r>
    </w:p>
    <w:p>
      <w:pPr>
        <w:pStyle w:val="Normal"/>
        <w:numPr>
          <w:ilvl w:val="1"/>
          <w:numId w:val="33"/>
        </w:numPr>
        <w:tabs>
          <w:tab w:val="clear" w:pos="720"/>
        </w:tabs>
        <w:spacing w:before="120" w:after="120"/>
        <w:ind w:hanging="0" w:start="0" w:end="0"/>
        <w:jc w:val="both"/>
        <w:rPr>
          <w:b/>
          <w:szCs w:val="22"/>
        </w:rPr>
      </w:pPr>
      <w:r>
        <w:rPr>
          <w:b/>
          <w:szCs w:val="22"/>
        </w:rPr>
        <w:t>Trigger events</w:t>
      </w:r>
    </w:p>
    <w:p>
      <w:pPr>
        <w:pStyle w:val="Normal"/>
        <w:jc w:val="both"/>
        <w:rPr/>
      </w:pPr>
      <w:bookmarkStart w:id="54" w:name="_Ref110876544"/>
      <w:r>
        <w:rPr>
          <w:szCs w:val="22"/>
        </w:rPr>
        <w:t>6.1.1</w:t>
        <w:tab/>
        <w:t>EuroBank may take action under this clause if:</w:t>
      </w:r>
      <w:bookmarkEnd w:id="54"/>
    </w:p>
    <w:p>
      <w:pPr>
        <w:pStyle w:val="Normal"/>
        <w:jc w:val="both"/>
        <w:rPr>
          <w:szCs w:val="22"/>
        </w:rPr>
      </w:pPr>
      <w:r>
        <w:rPr>
          <w:szCs w:val="22"/>
        </w:rPr>
      </w:r>
    </w:p>
    <w:p>
      <w:pPr>
        <w:pStyle w:val="Normal"/>
        <w:ind w:hanging="720" w:start="720" w:end="0"/>
        <w:jc w:val="both"/>
        <w:rPr/>
      </w:pPr>
      <w:r>
        <w:rPr>
          <w:szCs w:val="22"/>
        </w:rPr>
        <w:t>(a)</w:t>
        <w:tab/>
        <w:t>there is a breach of this MSA by the PST Supplier entitling EuroBank to terminate this MSA in accordance with either clause 16.2 or 16.4;</w:t>
      </w:r>
    </w:p>
    <w:p>
      <w:pPr>
        <w:pStyle w:val="Normal"/>
        <w:ind w:hanging="720" w:start="720" w:end="0"/>
        <w:jc w:val="both"/>
        <w:rPr>
          <w:szCs w:val="22"/>
        </w:rPr>
      </w:pPr>
      <w:r>
        <w:rPr>
          <w:szCs w:val="22"/>
        </w:rPr>
      </w:r>
    </w:p>
    <w:p>
      <w:pPr>
        <w:pStyle w:val="Normal"/>
        <w:ind w:hanging="720" w:start="720" w:end="0"/>
        <w:jc w:val="both"/>
        <w:rPr/>
      </w:pPr>
      <w:r>
        <w:rPr>
          <w:szCs w:val="22"/>
        </w:rPr>
        <w:t>(b)</w:t>
        <w:tab/>
        <w:t>there is a breach or persistent breaches of this MSA by the PST Supplier that materially prevents or delays the performance of the Services or has a material negative impact on EuroBank operations or those of any of its Affiliates and if, despite notification to the PST Supplier, this breach has not been remedied within 10 Business Days of receiving notice from EuroBank to do so;</w:t>
      </w:r>
    </w:p>
    <w:p>
      <w:pPr>
        <w:pStyle w:val="Normal"/>
        <w:ind w:hanging="720" w:start="720" w:end="0"/>
        <w:jc w:val="both"/>
        <w:rPr>
          <w:szCs w:val="22"/>
        </w:rPr>
      </w:pPr>
      <w:r>
        <w:rPr>
          <w:szCs w:val="22"/>
        </w:rPr>
      </w:r>
    </w:p>
    <w:p>
      <w:pPr>
        <w:pStyle w:val="Normal"/>
        <w:ind w:hanging="720" w:start="720" w:end="0"/>
        <w:jc w:val="both"/>
        <w:rPr/>
      </w:pPr>
      <w:r>
        <w:rPr>
          <w:szCs w:val="22"/>
        </w:rPr>
        <w:t>(c)</w:t>
        <w:tab/>
        <w:t>a Regulator has ordered or explicitly advised EuroBank to exercise its rights under this clause; or</w:t>
      </w:r>
    </w:p>
    <w:p>
      <w:pPr>
        <w:pStyle w:val="Normal"/>
        <w:ind w:hanging="720" w:start="720" w:end="0"/>
        <w:jc w:val="both"/>
        <w:rPr>
          <w:szCs w:val="22"/>
        </w:rPr>
      </w:pPr>
      <w:r>
        <w:rPr>
          <w:szCs w:val="22"/>
        </w:rPr>
      </w:r>
    </w:p>
    <w:p>
      <w:pPr>
        <w:pStyle w:val="Normal"/>
        <w:ind w:hanging="720" w:start="720" w:end="0"/>
        <w:jc w:val="both"/>
        <w:rPr/>
      </w:pPr>
      <w:r>
        <w:rPr>
          <w:szCs w:val="22"/>
        </w:rPr>
        <w:t>(d)</w:t>
        <w:tab/>
        <w:t>it is required to do so by Applicable Law.</w:t>
      </w:r>
    </w:p>
    <w:p>
      <w:pPr>
        <w:pStyle w:val="Normal"/>
        <w:jc w:val="both"/>
        <w:rPr>
          <w:szCs w:val="22"/>
        </w:rPr>
      </w:pPr>
      <w:r>
        <w:rPr>
          <w:szCs w:val="22"/>
        </w:rPr>
      </w:r>
      <w:bookmarkStart w:id="55" w:name="_Ref110876563"/>
      <w:bookmarkStart w:id="56" w:name="_Ref110876563"/>
    </w:p>
    <w:p>
      <w:pPr>
        <w:pStyle w:val="Normal"/>
        <w:jc w:val="both"/>
        <w:rPr/>
      </w:pPr>
      <w:r>
        <w:rPr>
          <w:szCs w:val="22"/>
        </w:rPr>
        <w:t>6.1.2</w:t>
        <w:tab/>
        <w:t>If clause 6.1.1 applies, then EuroBank may itself (or appoint any person or persons (each, a Step In Third Party)) to perform the affected Services for so long as the circumstances set out in this clause persist. Both parties shall use reasonable efforts to minimise the duration of any step in under this clause 6.  Before performing any Services, the Step In Third Party shall enter into a non-disclosure agreement with the PST Supplier on terms reasonably satisfactory to the PST Supplier in order to protect the PST Supplier Confidential Information.</w:t>
      </w:r>
      <w:r>
        <w:rPr>
          <w:b/>
          <w:i/>
          <w:szCs w:val="22"/>
        </w:rPr>
      </w:r>
      <w:r>
        <w:rPr>
          <w:szCs w:val="22"/>
        </w:rPr>
      </w:r>
      <w:bookmarkEnd w:id="56"/>
    </w:p>
    <w:p>
      <w:pPr>
        <w:pStyle w:val="Normal"/>
        <w:jc w:val="both"/>
        <w:rPr>
          <w:szCs w:val="22"/>
        </w:rPr>
      </w:pPr>
      <w:r>
        <w:rPr>
          <w:szCs w:val="22"/>
        </w:rPr>
      </w:r>
    </w:p>
    <w:p>
      <w:pPr>
        <w:pStyle w:val="Normal"/>
        <w:numPr>
          <w:ilvl w:val="1"/>
          <w:numId w:val="33"/>
        </w:numPr>
        <w:tabs>
          <w:tab w:val="clear" w:pos="720"/>
        </w:tabs>
        <w:spacing w:before="120" w:after="120"/>
        <w:ind w:hanging="0" w:start="0" w:end="0"/>
        <w:jc w:val="both"/>
        <w:rPr>
          <w:b/>
          <w:szCs w:val="22"/>
        </w:rPr>
      </w:pPr>
      <w:r>
        <w:rPr>
          <w:b/>
          <w:szCs w:val="22"/>
        </w:rPr>
        <w:t>Consequences</w:t>
      </w:r>
    </w:p>
    <w:p>
      <w:pPr>
        <w:pStyle w:val="Normal"/>
        <w:jc w:val="both"/>
        <w:rPr/>
      </w:pPr>
      <w:r>
        <w:rPr>
          <w:szCs w:val="22"/>
        </w:rPr>
        <w:t>6.2.1</w:t>
        <w:tab/>
        <w:t>If EuroBank exercises its rights under clause 6.1.2, then:</w:t>
      </w:r>
    </w:p>
    <w:p>
      <w:pPr>
        <w:pStyle w:val="Normal"/>
        <w:jc w:val="both"/>
        <w:rPr>
          <w:szCs w:val="22"/>
        </w:rPr>
      </w:pPr>
      <w:r>
        <w:rPr>
          <w:szCs w:val="22"/>
        </w:rPr>
      </w:r>
    </w:p>
    <w:p>
      <w:pPr>
        <w:pStyle w:val="Normal"/>
        <w:ind w:hanging="720" w:start="720" w:end="0"/>
        <w:jc w:val="both"/>
        <w:rPr/>
      </w:pPr>
      <w:r>
        <w:rPr>
          <w:szCs w:val="22"/>
        </w:rPr>
        <w:t>(a)</w:t>
        <w:tab/>
        <w:t>the PST Supplier shall provide, and procure that each relevant Affiliate and Sub-Contractor provides, access to the relevant systems and facilities used for the Services and access to the premises from which the Services are provided as far as this is necessary to provide the relevant Services;</w:t>
      </w:r>
    </w:p>
    <w:p>
      <w:pPr>
        <w:pStyle w:val="Normal"/>
        <w:ind w:hanging="720" w:start="720" w:end="0"/>
        <w:jc w:val="both"/>
        <w:rPr>
          <w:szCs w:val="22"/>
        </w:rPr>
      </w:pPr>
      <w:r>
        <w:rPr>
          <w:szCs w:val="22"/>
        </w:rPr>
      </w:r>
    </w:p>
    <w:p>
      <w:pPr>
        <w:pStyle w:val="Normal"/>
        <w:ind w:hanging="720" w:start="720" w:end="0"/>
        <w:jc w:val="both"/>
        <w:rPr/>
      </w:pPr>
      <w:r>
        <w:rPr>
          <w:szCs w:val="22"/>
        </w:rPr>
        <w:t>(b)</w:t>
        <w:tab/>
        <w:t>the PST Supplier shall use its best efforts to co-operate with EuroBank and the Step In Third Parties, and take all necessary steps to recommence the provision of the Services as soon as possible; and</w:t>
      </w:r>
    </w:p>
    <w:p>
      <w:pPr>
        <w:pStyle w:val="Normal"/>
        <w:ind w:hanging="720" w:start="720" w:end="0"/>
        <w:jc w:val="both"/>
        <w:rPr>
          <w:szCs w:val="22"/>
        </w:rPr>
      </w:pPr>
      <w:r>
        <w:rPr>
          <w:szCs w:val="22"/>
        </w:rPr>
      </w:r>
    </w:p>
    <w:p>
      <w:pPr>
        <w:pStyle w:val="Normal"/>
        <w:ind w:hanging="720" w:start="720" w:end="0"/>
        <w:jc w:val="both"/>
        <w:rPr/>
      </w:pPr>
      <w:r>
        <w:rPr>
          <w:szCs w:val="22"/>
        </w:rPr>
        <w:t>(c)</w:t>
        <w:tab/>
        <w:t>for the period that EuroBank exercises its rights for reasons attributable to the PST Supplier, EuroBank shall be relieved from paying the Charges for the relevant parts of the Services taken over and performed by EuroBank and the Service Levels shall not apply to the relevant Services.</w:t>
      </w:r>
    </w:p>
    <w:p>
      <w:pPr>
        <w:pStyle w:val="Normal"/>
        <w:jc w:val="both"/>
        <w:rPr>
          <w:szCs w:val="22"/>
        </w:rPr>
      </w:pPr>
      <w:r>
        <w:rPr>
          <w:szCs w:val="22"/>
        </w:rPr>
      </w:r>
    </w:p>
    <w:p>
      <w:pPr>
        <w:pStyle w:val="Normal"/>
        <w:jc w:val="both"/>
        <w:rPr/>
      </w:pPr>
      <w:r>
        <w:rPr>
          <w:szCs w:val="22"/>
        </w:rPr>
        <w:t>6.2.2</w:t>
        <w:tab/>
        <w:t>On reasonable notice from EuroBank, the PST Supplier shall recommence performance of the Services.</w:t>
      </w:r>
    </w:p>
    <w:p>
      <w:pPr>
        <w:pStyle w:val="Normal"/>
        <w:jc w:val="both"/>
        <w:rPr>
          <w:szCs w:val="22"/>
        </w:rPr>
      </w:pPr>
      <w:r>
        <w:rPr>
          <w:szCs w:val="22"/>
        </w:rPr>
      </w:r>
      <w:bookmarkStart w:id="57" w:name="_Ref128379275"/>
      <w:bookmarkStart w:id="58" w:name="_Ref128379275"/>
    </w:p>
    <w:p>
      <w:pPr>
        <w:pStyle w:val="Heading1"/>
        <w:keepNext w:val="false"/>
        <w:keepLines w:val="false"/>
        <w:tabs>
          <w:tab w:val="clear" w:pos="720"/>
          <w:tab w:val="left" w:pos="360" w:leader="none"/>
        </w:tabs>
        <w:spacing w:before="240" w:after="240"/>
        <w:ind w:hanging="0" w:start="0"/>
        <w:jc w:val="center"/>
        <w:rPr/>
      </w:pPr>
      <w:bookmarkStart w:id="59" w:name="_Ref128379275"/>
      <w:r>
        <w:rPr>
          <w:rFonts w:cs="Arial" w:ascii="Times New Roman Bold;Times New Roman" w:hAnsi="Times New Roman Bold;Times New Roman"/>
          <w:bCs/>
          <w:kern w:val="2"/>
          <w:szCs w:val="22"/>
        </w:rPr>
        <w:t>7</w:t>
        <w:tab/>
        <w:t>WARRANTIES</w:t>
      </w:r>
      <w:bookmarkEnd w:id="59"/>
    </w:p>
    <w:p>
      <w:pPr>
        <w:pStyle w:val="Normal"/>
        <w:numPr>
          <w:ilvl w:val="1"/>
          <w:numId w:val="16"/>
        </w:numPr>
        <w:tabs>
          <w:tab w:val="clear" w:pos="720"/>
        </w:tabs>
        <w:spacing w:before="120" w:after="120"/>
        <w:ind w:hanging="0" w:start="0" w:end="0"/>
        <w:jc w:val="both"/>
        <w:rPr>
          <w:b/>
          <w:szCs w:val="22"/>
        </w:rPr>
      </w:pPr>
      <w:r>
        <w:rPr>
          <w:b/>
          <w:szCs w:val="22"/>
        </w:rPr>
        <w:t>Mutual warranties</w:t>
      </w:r>
    </w:p>
    <w:p>
      <w:pPr>
        <w:pStyle w:val="Normal"/>
        <w:jc w:val="both"/>
        <w:rPr/>
      </w:pPr>
      <w:r>
        <w:rPr>
          <w:szCs w:val="22"/>
        </w:rPr>
        <w:t>Each party warrants (</w:t>
      </w:r>
      <w:r>
        <w:rPr>
          <w:i/>
          <w:szCs w:val="22"/>
        </w:rPr>
        <w:t>garandeert</w:t>
      </w:r>
      <w:r>
        <w:rPr>
          <w:szCs w:val="22"/>
        </w:rPr>
        <w:t>) to the other that:</w:t>
      </w:r>
    </w:p>
    <w:p>
      <w:pPr>
        <w:pStyle w:val="Normal"/>
        <w:jc w:val="both"/>
        <w:rPr>
          <w:szCs w:val="22"/>
        </w:rPr>
      </w:pPr>
      <w:r>
        <w:rPr>
          <w:szCs w:val="22"/>
        </w:rPr>
      </w:r>
    </w:p>
    <w:p>
      <w:pPr>
        <w:pStyle w:val="Normal"/>
        <w:ind w:hanging="720" w:start="720" w:end="0"/>
        <w:jc w:val="both"/>
        <w:rPr/>
      </w:pPr>
      <w:r>
        <w:rPr>
          <w:szCs w:val="22"/>
        </w:rPr>
        <w:t>(a)</w:t>
        <w:tab/>
        <w:t>it and each of its Affiliates is validly incorporated and duly registered under Applicable Law, and has power to conduct its business as conducted at the Effective Date;</w:t>
      </w:r>
    </w:p>
    <w:p>
      <w:pPr>
        <w:pStyle w:val="Normal"/>
        <w:ind w:hanging="720" w:start="720" w:end="0"/>
        <w:jc w:val="both"/>
        <w:rPr>
          <w:szCs w:val="22"/>
        </w:rPr>
      </w:pPr>
      <w:r>
        <w:rPr>
          <w:szCs w:val="22"/>
        </w:rPr>
      </w:r>
    </w:p>
    <w:p>
      <w:pPr>
        <w:pStyle w:val="Normal"/>
        <w:ind w:hanging="720" w:start="720" w:end="0"/>
        <w:jc w:val="both"/>
        <w:rPr/>
      </w:pPr>
      <w:r>
        <w:rPr>
          <w:szCs w:val="22"/>
        </w:rPr>
        <w:t>(b)</w:t>
        <w:tab/>
        <w:t>this MSA has been executed by its duly authorised representative(s) and constitutes valid and binding obligations of the party and any relevant Affiliate who is party to it;</w:t>
      </w:r>
    </w:p>
    <w:p>
      <w:pPr>
        <w:pStyle w:val="Normal"/>
        <w:ind w:hanging="720" w:start="720" w:end="0"/>
        <w:jc w:val="both"/>
        <w:rPr>
          <w:szCs w:val="22"/>
        </w:rPr>
      </w:pPr>
      <w:r>
        <w:rPr>
          <w:szCs w:val="22"/>
        </w:rPr>
      </w:r>
    </w:p>
    <w:p>
      <w:pPr>
        <w:pStyle w:val="Normal"/>
        <w:ind w:hanging="720" w:start="720" w:end="0"/>
        <w:jc w:val="both"/>
        <w:rPr/>
      </w:pPr>
      <w:r>
        <w:rPr>
          <w:szCs w:val="22"/>
        </w:rPr>
        <w:t>(c)</w:t>
        <w:tab/>
        <w:t>the obligations in this MSA do not violate the terms of any other agreement, undertaking, judgment or court order which binds it;</w:t>
      </w:r>
    </w:p>
    <w:p>
      <w:pPr>
        <w:pStyle w:val="Normal"/>
        <w:ind w:hanging="720" w:start="720" w:end="0"/>
        <w:jc w:val="both"/>
        <w:rPr>
          <w:szCs w:val="22"/>
        </w:rPr>
      </w:pPr>
      <w:r>
        <w:rPr>
          <w:szCs w:val="22"/>
        </w:rPr>
      </w:r>
    </w:p>
    <w:p>
      <w:pPr>
        <w:pStyle w:val="Normal"/>
        <w:ind w:hanging="720" w:start="720" w:end="0"/>
        <w:jc w:val="both"/>
        <w:rPr/>
      </w:pPr>
      <w:r>
        <w:rPr>
          <w:szCs w:val="22"/>
        </w:rPr>
        <w:t>(d)</w:t>
        <w:tab/>
        <w:t>it has the power, capacity and authority, and all necessary licences, permits and consents to enter into, and perform its obligations under, this MSA; and</w:t>
      </w:r>
    </w:p>
    <w:p>
      <w:pPr>
        <w:pStyle w:val="Normal"/>
        <w:ind w:hanging="720" w:start="720" w:end="0"/>
        <w:jc w:val="both"/>
        <w:rPr>
          <w:szCs w:val="22"/>
        </w:rPr>
      </w:pPr>
      <w:r>
        <w:rPr>
          <w:szCs w:val="22"/>
        </w:rPr>
      </w:r>
    </w:p>
    <w:p>
      <w:pPr>
        <w:pStyle w:val="Normal"/>
        <w:ind w:hanging="720" w:start="720" w:end="0"/>
        <w:jc w:val="both"/>
        <w:rPr>
          <w:szCs w:val="22"/>
        </w:rPr>
      </w:pPr>
      <w:r>
        <w:rPr>
          <w:szCs w:val="22"/>
        </w:rPr>
        <w:t>(e)</w:t>
        <w:tab/>
        <w:t>to the best of its knowledge no claim, litigation, proceeding, arbitration, investigation or material controversy is pending, has been threatened or is contemplated which would have a material adverse effect on its ability to enter into or perform its obligations under this MSA.</w:t>
      </w:r>
    </w:p>
    <w:p>
      <w:pPr>
        <w:pStyle w:val="Normal"/>
        <w:jc w:val="both"/>
        <w:rPr>
          <w:szCs w:val="22"/>
        </w:rPr>
      </w:pPr>
      <w:r>
        <w:rPr>
          <w:szCs w:val="22"/>
        </w:rPr>
      </w:r>
    </w:p>
    <w:p>
      <w:pPr>
        <w:pStyle w:val="Normal"/>
        <w:numPr>
          <w:ilvl w:val="1"/>
          <w:numId w:val="16"/>
        </w:numPr>
        <w:tabs>
          <w:tab w:val="clear" w:pos="720"/>
        </w:tabs>
        <w:spacing w:before="120" w:after="120"/>
        <w:ind w:hanging="0" w:start="0" w:end="0"/>
        <w:jc w:val="both"/>
        <w:rPr>
          <w:b/>
          <w:szCs w:val="22"/>
        </w:rPr>
      </w:pPr>
      <w:bookmarkStart w:id="60" w:name="_Ref111378346"/>
      <w:r>
        <w:rPr>
          <w:b/>
          <w:szCs w:val="22"/>
        </w:rPr>
        <w:t>PST Supplier warranties</w:t>
      </w:r>
      <w:bookmarkEnd w:id="60"/>
    </w:p>
    <w:p>
      <w:pPr>
        <w:pStyle w:val="Normal"/>
        <w:jc w:val="both"/>
        <w:rPr/>
      </w:pPr>
      <w:bookmarkStart w:id="61" w:name="_Ref110876629"/>
      <w:r>
        <w:rPr>
          <w:szCs w:val="22"/>
        </w:rPr>
        <w:t>The PST Supplier warrants (</w:t>
      </w:r>
      <w:r>
        <w:rPr>
          <w:i/>
          <w:szCs w:val="22"/>
        </w:rPr>
        <w:t>garandeert)</w:t>
      </w:r>
      <w:r>
        <w:rPr>
          <w:szCs w:val="22"/>
        </w:rPr>
        <w:t xml:space="preserve"> and undertakes that:</w:t>
      </w:r>
      <w:bookmarkEnd w:id="61"/>
    </w:p>
    <w:p>
      <w:pPr>
        <w:pStyle w:val="Normal"/>
        <w:jc w:val="both"/>
        <w:rPr>
          <w:szCs w:val="22"/>
        </w:rPr>
      </w:pPr>
      <w:r>
        <w:rPr>
          <w:szCs w:val="22"/>
        </w:rPr>
      </w:r>
    </w:p>
    <w:p>
      <w:pPr>
        <w:pStyle w:val="Normal"/>
        <w:ind w:hanging="720" w:start="720" w:end="0"/>
        <w:jc w:val="both"/>
        <w:rPr/>
      </w:pPr>
      <w:r>
        <w:rPr>
          <w:szCs w:val="22"/>
        </w:rPr>
        <w:t>(a)</w:t>
        <w:tab/>
        <w:t>it has verified and shall ensure that none of the Policies or the Applicable Laws applicable at the Effective Date prevent or restrict the PST Supplier or any of its Sub-Contractors from performing the Services in accordance with this MSA;</w:t>
      </w:r>
    </w:p>
    <w:p>
      <w:pPr>
        <w:pStyle w:val="Normal"/>
        <w:ind w:hanging="720" w:start="720" w:end="0"/>
        <w:jc w:val="both"/>
        <w:rPr>
          <w:szCs w:val="22"/>
        </w:rPr>
      </w:pPr>
      <w:r>
        <w:rPr>
          <w:szCs w:val="22"/>
        </w:rPr>
      </w:r>
    </w:p>
    <w:p>
      <w:pPr>
        <w:pStyle w:val="Normal"/>
        <w:ind w:hanging="720" w:start="720" w:end="0"/>
        <w:jc w:val="both"/>
        <w:rPr/>
      </w:pPr>
      <w:r>
        <w:rPr>
          <w:szCs w:val="22"/>
        </w:rPr>
        <w:t>(b)</w:t>
        <w:tab/>
        <w:t>it is sufficiently experienced in projects and undertakings of the scale and complexity of the transactions contemplated by this MSA to meet the requirements of this MSA;</w:t>
      </w:r>
    </w:p>
    <w:p>
      <w:pPr>
        <w:pStyle w:val="Normal"/>
        <w:ind w:hanging="720" w:start="720" w:end="0"/>
        <w:jc w:val="both"/>
        <w:rPr>
          <w:szCs w:val="22"/>
        </w:rPr>
      </w:pPr>
      <w:r>
        <w:rPr>
          <w:szCs w:val="22"/>
        </w:rPr>
      </w:r>
    </w:p>
    <w:p>
      <w:pPr>
        <w:pStyle w:val="Normal"/>
        <w:ind w:hanging="720" w:start="720" w:end="0"/>
        <w:jc w:val="both"/>
        <w:rPr/>
      </w:pPr>
      <w:r>
        <w:rPr>
          <w:szCs w:val="22"/>
        </w:rPr>
        <w:t>(c)</w:t>
        <w:tab/>
        <w:t>the Services will be performed by a sufficient number of appropriately experienced, qualified and trained professional service personnel with all due skill, care and diligence;</w:t>
      </w:r>
    </w:p>
    <w:p>
      <w:pPr>
        <w:pStyle w:val="Normal"/>
        <w:ind w:hanging="720" w:start="720" w:end="0"/>
        <w:jc w:val="both"/>
        <w:rPr>
          <w:szCs w:val="22"/>
        </w:rPr>
      </w:pPr>
      <w:r>
        <w:rPr>
          <w:szCs w:val="22"/>
        </w:rPr>
      </w:r>
    </w:p>
    <w:p>
      <w:pPr>
        <w:pStyle w:val="Normal"/>
        <w:ind w:hanging="720" w:start="720" w:end="0"/>
        <w:jc w:val="both"/>
        <w:rPr/>
      </w:pPr>
      <w:r>
        <w:rPr>
          <w:szCs w:val="22"/>
        </w:rPr>
        <w:t>(d)</w:t>
        <w:tab/>
        <w:t>the Services will be performed in accordance with best industry practice (including ITIL Standards to the extent that they are not in conflict with PST Supplier best practice);</w:t>
      </w:r>
    </w:p>
    <w:p>
      <w:pPr>
        <w:pStyle w:val="Normal"/>
        <w:ind w:hanging="720" w:start="720" w:end="0"/>
        <w:jc w:val="both"/>
        <w:rPr>
          <w:szCs w:val="22"/>
        </w:rPr>
      </w:pPr>
      <w:r>
        <w:rPr>
          <w:szCs w:val="22"/>
        </w:rPr>
      </w:r>
    </w:p>
    <w:p>
      <w:pPr>
        <w:pStyle w:val="Normal"/>
        <w:ind w:hanging="720" w:start="720" w:end="0"/>
        <w:jc w:val="both"/>
        <w:rPr/>
      </w:pPr>
      <w:r>
        <w:rPr>
          <w:szCs w:val="22"/>
        </w:rPr>
        <w:t>(e)</w:t>
        <w:tab/>
        <w:t>it will perform the Services in the most cost-efficient manner consistent with the required level of quality and performance;</w:t>
      </w:r>
    </w:p>
    <w:p>
      <w:pPr>
        <w:pStyle w:val="Normal"/>
        <w:ind w:hanging="720" w:start="720" w:end="0"/>
        <w:jc w:val="both"/>
        <w:rPr>
          <w:szCs w:val="22"/>
        </w:rPr>
      </w:pPr>
      <w:r>
        <w:rPr>
          <w:szCs w:val="22"/>
        </w:rPr>
      </w:r>
      <w:bookmarkStart w:id="62" w:name="_Ref133894525"/>
      <w:bookmarkStart w:id="63" w:name="_Ref133894525"/>
    </w:p>
    <w:p>
      <w:pPr>
        <w:pStyle w:val="Normal"/>
        <w:ind w:hanging="720" w:start="720" w:end="0"/>
        <w:jc w:val="both"/>
        <w:rPr/>
      </w:pPr>
      <w:r>
        <w:rPr>
          <w:szCs w:val="22"/>
        </w:rPr>
        <w:t>(f)</w:t>
        <w:tab/>
        <w:t xml:space="preserve">it will ensure that the Pass Through Charges represent the best terms available to it, provided that the sole remedy for any breach of this sub-clause (f) shall be the Mincer Procedure and the Benchmarking Procedure prescribed in Exhibit 34 </w:t>
      </w:r>
      <w:r>
        <w:rPr>
          <w:i/>
          <w:szCs w:val="22"/>
        </w:rPr>
        <w:t>(Price Adjustment and Benchmarking</w:t>
      </w:r>
      <w:r>
        <w:rPr>
          <w:szCs w:val="22"/>
        </w:rPr>
        <w:t>);</w:t>
      </w:r>
      <w:bookmarkEnd w:id="63"/>
    </w:p>
    <w:p>
      <w:pPr>
        <w:pStyle w:val="Normal"/>
        <w:ind w:hanging="720" w:start="720" w:end="0"/>
        <w:jc w:val="both"/>
        <w:rPr>
          <w:szCs w:val="22"/>
        </w:rPr>
      </w:pPr>
      <w:r>
        <w:rPr>
          <w:szCs w:val="22"/>
        </w:rPr>
      </w:r>
    </w:p>
    <w:p>
      <w:pPr>
        <w:pStyle w:val="Normal"/>
        <w:ind w:hanging="720" w:start="720" w:end="0"/>
        <w:jc w:val="both"/>
        <w:rPr/>
      </w:pPr>
      <w:r>
        <w:rPr>
          <w:szCs w:val="22"/>
        </w:rPr>
        <w:t>(g)</w:t>
        <w:tab/>
        <w:t>the Pass Through Charges are without any uplift, margin or premium of any kind;</w:t>
      </w:r>
    </w:p>
    <w:p>
      <w:pPr>
        <w:pStyle w:val="Normal"/>
        <w:ind w:hanging="720" w:start="720" w:end="0"/>
        <w:jc w:val="both"/>
        <w:rPr>
          <w:szCs w:val="22"/>
        </w:rPr>
      </w:pPr>
      <w:r>
        <w:rPr>
          <w:szCs w:val="22"/>
        </w:rPr>
      </w:r>
    </w:p>
    <w:p>
      <w:pPr>
        <w:pStyle w:val="Normal"/>
        <w:ind w:hanging="720" w:start="720" w:end="0"/>
        <w:jc w:val="both"/>
        <w:rPr/>
      </w:pPr>
      <w:r>
        <w:rPr>
          <w:szCs w:val="22"/>
        </w:rPr>
        <w:t>(h)</w:t>
        <w:tab/>
        <w:t>neither the provision of the Services, nor the use of the Services or any Deliverable in accordance with this MSA will infringe the Intellectual Property Rights of any person; and</w:t>
      </w:r>
    </w:p>
    <w:p>
      <w:pPr>
        <w:pStyle w:val="Normal"/>
        <w:ind w:hanging="720" w:start="720" w:end="0"/>
        <w:jc w:val="both"/>
        <w:rPr>
          <w:szCs w:val="22"/>
        </w:rPr>
      </w:pPr>
      <w:r>
        <w:rPr>
          <w:szCs w:val="22"/>
        </w:rPr>
      </w:r>
    </w:p>
    <w:p>
      <w:pPr>
        <w:pStyle w:val="Normal"/>
        <w:ind w:hanging="720" w:start="720" w:end="0"/>
        <w:jc w:val="both"/>
        <w:rPr/>
      </w:pPr>
      <w:r>
        <w:rPr>
          <w:szCs w:val="22"/>
        </w:rPr>
        <w:t>(i)</w:t>
        <w:tab/>
        <w:t>none of the circumstances referred to in clause 16.4 applies in relation to the PST Supplier Group as at the Effective Date.</w:t>
      </w:r>
    </w:p>
    <w:p>
      <w:pPr>
        <w:pStyle w:val="Normal"/>
        <w:jc w:val="both"/>
        <w:rPr>
          <w:szCs w:val="22"/>
        </w:rPr>
      </w:pPr>
      <w:r>
        <w:rPr>
          <w:szCs w:val="22"/>
        </w:rPr>
      </w:r>
      <w:bookmarkStart w:id="64" w:name="_Ref111275960"/>
      <w:bookmarkStart w:id="65" w:name="_Ref111275960"/>
    </w:p>
    <w:p>
      <w:pPr>
        <w:pStyle w:val="Normal"/>
        <w:jc w:val="both"/>
        <w:rPr>
          <w:szCs w:val="22"/>
        </w:rPr>
      </w:pPr>
      <w:bookmarkStart w:id="66" w:name="_Ref111275960"/>
      <w:r>
        <w:rPr>
          <w:szCs w:val="22"/>
        </w:rPr>
        <w:t>7.2.2</w:t>
        <w:tab/>
        <w:t>Subject to the limitations of liability prescribed in clause 13, each party shall indemnify the other on demand against all loss or damage arising from a breach by the other party or its Affiliates of the warranties in clause 7.</w:t>
      </w:r>
      <w:bookmarkEnd w:id="66"/>
      <w:r>
        <w:rPr>
          <w:szCs w:val="22"/>
        </w:rPr>
        <w:t xml:space="preserve">  This indemnity shall not limit such party’s right to claim specific performance or terminate this MSA.</w:t>
      </w:r>
    </w:p>
    <w:p>
      <w:pPr>
        <w:pStyle w:val="Normal"/>
        <w:jc w:val="both"/>
        <w:rPr>
          <w:szCs w:val="22"/>
        </w:rPr>
      </w:pPr>
      <w:r>
        <w:rPr>
          <w:szCs w:val="22"/>
        </w:rPr>
      </w:r>
    </w:p>
    <w:p>
      <w:pPr>
        <w:pStyle w:val="Normal"/>
        <w:numPr>
          <w:ilvl w:val="1"/>
          <w:numId w:val="16"/>
        </w:numPr>
        <w:tabs>
          <w:tab w:val="clear" w:pos="720"/>
        </w:tabs>
        <w:spacing w:before="120" w:after="120"/>
        <w:ind w:hanging="0" w:start="0" w:end="0"/>
        <w:jc w:val="both"/>
        <w:rPr>
          <w:b/>
          <w:szCs w:val="22"/>
        </w:rPr>
      </w:pPr>
      <w:r>
        <w:rPr>
          <w:b/>
          <w:szCs w:val="22"/>
        </w:rPr>
        <w:t>General</w:t>
      </w:r>
    </w:p>
    <w:p>
      <w:pPr>
        <w:pStyle w:val="Normal"/>
        <w:jc w:val="both"/>
        <w:rPr/>
      </w:pPr>
      <w:r>
        <w:rPr>
          <w:szCs w:val="22"/>
        </w:rPr>
        <w:t>7.3.1</w:t>
        <w:tab/>
        <w:t>Each of the warranties in this MSA shall be construed independently of the others, and shall apply during the Term.  No warranty shall be limited by reference to any other warranty.</w:t>
      </w:r>
    </w:p>
    <w:p>
      <w:pPr>
        <w:pStyle w:val="Normal"/>
        <w:jc w:val="both"/>
        <w:rPr>
          <w:szCs w:val="22"/>
        </w:rPr>
      </w:pPr>
      <w:r>
        <w:rPr>
          <w:szCs w:val="22"/>
        </w:rPr>
      </w:r>
    </w:p>
    <w:p>
      <w:pPr>
        <w:pStyle w:val="Normal"/>
        <w:jc w:val="both"/>
        <w:rPr/>
      </w:pPr>
      <w:r>
        <w:rPr>
          <w:szCs w:val="22"/>
        </w:rPr>
        <w:t>7.3.2</w:t>
        <w:tab/>
        <w:t>The parties acknowledge that the other party has entered into this MSA and the Transaction Documents in reliance on each of the warranties made in this MSA.</w:t>
      </w:r>
    </w:p>
    <w:p>
      <w:pPr>
        <w:pStyle w:val="Normal"/>
        <w:jc w:val="both"/>
        <w:rPr>
          <w:szCs w:val="22"/>
        </w:rPr>
      </w:pPr>
      <w:r>
        <w:rPr>
          <w:szCs w:val="22"/>
        </w:rPr>
      </w:r>
    </w:p>
    <w:p>
      <w:pPr>
        <w:pStyle w:val="Normal"/>
        <w:jc w:val="both"/>
        <w:rPr/>
      </w:pPr>
      <w:r>
        <w:rPr>
          <w:szCs w:val="22"/>
        </w:rPr>
        <w:t>7.3.3</w:t>
        <w:tab/>
        <w:t>The warranties set out in this clause shall be deemed to be repeated immediately before the Commencement Date and for each LSA, with reference to the facts and circumstances then existing.</w:t>
      </w:r>
    </w:p>
    <w:p>
      <w:pPr>
        <w:pStyle w:val="Normal"/>
        <w:jc w:val="both"/>
        <w:rPr>
          <w:szCs w:val="22"/>
        </w:rPr>
      </w:pPr>
      <w:r>
        <w:rPr>
          <w:szCs w:val="22"/>
        </w:rPr>
      </w:r>
    </w:p>
    <w:p>
      <w:pPr>
        <w:pStyle w:val="Normal"/>
        <w:jc w:val="both"/>
        <w:rPr/>
      </w:pPr>
      <w:r>
        <w:rPr>
          <w:szCs w:val="22"/>
        </w:rPr>
        <w:t>7.3.4</w:t>
        <w:tab/>
        <w:t>The relevant party shall immediately notify the other party of all details of any actual or threatened event or occurrence which could materially affect the other party’s ability to perform any of its obligations under this MSA.</w:t>
      </w:r>
    </w:p>
    <w:p>
      <w:pPr>
        <w:pStyle w:val="Normal"/>
        <w:jc w:val="both"/>
        <w:rPr>
          <w:szCs w:val="22"/>
        </w:rPr>
      </w:pPr>
      <w:r>
        <w:rPr>
          <w:szCs w:val="22"/>
        </w:rPr>
      </w:r>
    </w:p>
    <w:p>
      <w:pPr>
        <w:pStyle w:val="Normal"/>
        <w:jc w:val="both"/>
        <w:rPr/>
      </w:pPr>
      <w:r>
        <w:rPr>
          <w:szCs w:val="22"/>
        </w:rPr>
        <w:t>7.3.5</w:t>
        <w:tab/>
        <w:t>For the avoidance of doubt, the PST Supplier acknowledges and agrees that any failure by it to have completed any due diligence or satisfied itself about any risk, contingency or circumstance concerning the performance of the Services shall not relieve the PST Supplier from the performance of any of its obligations under this MSA or entitle it to any variation or adjustment of the terms of this MSA, provided that where the PST Supplier can demonstrate within 3 months after the Commencement Date that:</w:t>
      </w:r>
    </w:p>
    <w:p>
      <w:pPr>
        <w:pStyle w:val="Normal"/>
        <w:jc w:val="both"/>
        <w:rPr>
          <w:szCs w:val="22"/>
        </w:rPr>
      </w:pPr>
      <w:r>
        <w:rPr>
          <w:szCs w:val="22"/>
        </w:rPr>
      </w:r>
    </w:p>
    <w:p>
      <w:pPr>
        <w:pStyle w:val="Normal"/>
        <w:ind w:hanging="720" w:start="720" w:end="0"/>
        <w:jc w:val="both"/>
        <w:rPr/>
      </w:pPr>
      <w:r>
        <w:rPr>
          <w:szCs w:val="22"/>
        </w:rPr>
        <w:t>(a)</w:t>
        <w:tab/>
        <w:t>EuroBank has failed to respond, in whole or on part, to a written request by the PST Supplier for information relating to this MSA; or</w:t>
      </w:r>
    </w:p>
    <w:p>
      <w:pPr>
        <w:pStyle w:val="Normal"/>
        <w:ind w:hanging="720" w:start="720" w:end="0"/>
        <w:jc w:val="both"/>
        <w:rPr>
          <w:szCs w:val="22"/>
        </w:rPr>
      </w:pPr>
      <w:r>
        <w:rPr>
          <w:szCs w:val="22"/>
        </w:rPr>
      </w:r>
    </w:p>
    <w:p>
      <w:pPr>
        <w:pStyle w:val="Normal"/>
        <w:ind w:hanging="720" w:start="720" w:end="0"/>
        <w:jc w:val="both"/>
        <w:rPr/>
      </w:pPr>
      <w:r>
        <w:rPr>
          <w:szCs w:val="22"/>
        </w:rPr>
        <w:t>(b)</w:t>
        <w:tab/>
        <w:t>EuroBank has provided incorrect written information relating to this MSA to the PST Supplier,</w:t>
      </w:r>
    </w:p>
    <w:p>
      <w:pPr>
        <w:pStyle w:val="Normal"/>
        <w:jc w:val="both"/>
        <w:rPr>
          <w:szCs w:val="22"/>
        </w:rPr>
      </w:pPr>
      <w:r>
        <w:rPr>
          <w:szCs w:val="22"/>
        </w:rPr>
      </w:r>
    </w:p>
    <w:p>
      <w:pPr>
        <w:pStyle w:val="Normal"/>
        <w:jc w:val="both"/>
        <w:rPr>
          <w:szCs w:val="22"/>
        </w:rPr>
      </w:pPr>
      <w:r>
        <w:rPr>
          <w:szCs w:val="22"/>
        </w:rPr>
        <w:t>and where:</w:t>
      </w:r>
    </w:p>
    <w:p>
      <w:pPr>
        <w:pStyle w:val="Normal"/>
        <w:jc w:val="both"/>
        <w:rPr>
          <w:szCs w:val="22"/>
        </w:rPr>
      </w:pPr>
      <w:r>
        <w:rPr>
          <w:szCs w:val="22"/>
        </w:rPr>
      </w:r>
    </w:p>
    <w:p>
      <w:pPr>
        <w:pStyle w:val="Normal"/>
        <w:ind w:hanging="720" w:start="720" w:end="0"/>
        <w:jc w:val="both"/>
        <w:rPr/>
      </w:pPr>
      <w:r>
        <w:rPr>
          <w:szCs w:val="22"/>
        </w:rPr>
        <w:t>(a)</w:t>
        <w:tab/>
        <w:t>the incorrect information or information not provided has a material impact on the PST Supplier’s provision of the Services and/or the Charges; and</w:t>
      </w:r>
    </w:p>
    <w:p>
      <w:pPr>
        <w:pStyle w:val="Normal"/>
        <w:ind w:hanging="720" w:start="720" w:end="0"/>
        <w:jc w:val="both"/>
        <w:rPr>
          <w:szCs w:val="22"/>
        </w:rPr>
      </w:pPr>
      <w:r>
        <w:rPr>
          <w:szCs w:val="22"/>
        </w:rPr>
      </w:r>
    </w:p>
    <w:p>
      <w:pPr>
        <w:pStyle w:val="Normal"/>
        <w:ind w:hanging="720" w:start="720" w:end="0"/>
        <w:jc w:val="both"/>
        <w:rPr/>
      </w:pPr>
      <w:r>
        <w:rPr>
          <w:szCs w:val="22"/>
        </w:rPr>
        <w:t>(b)</w:t>
        <w:tab/>
        <w:t>where relevant, any material impact on the Charges over a 12 month period exceeds €10,000 in respect of any single issue and in total all issues lead to an impact on the Charges over the Term exceeding € 75,000,</w:t>
      </w:r>
    </w:p>
    <w:p>
      <w:pPr>
        <w:pStyle w:val="Normal"/>
        <w:jc w:val="both"/>
        <w:rPr>
          <w:szCs w:val="22"/>
        </w:rPr>
      </w:pPr>
      <w:r>
        <w:rPr>
          <w:szCs w:val="22"/>
        </w:rPr>
      </w:r>
    </w:p>
    <w:p>
      <w:pPr>
        <w:pStyle w:val="Normal"/>
        <w:jc w:val="both"/>
        <w:rPr>
          <w:szCs w:val="22"/>
        </w:rPr>
      </w:pPr>
      <w:r>
        <w:rPr>
          <w:szCs w:val="22"/>
        </w:rPr>
        <w:t>then the parties shall agree any relevant Changes to this MSA pursuant to the Change Control Procedure.</w:t>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bookmarkStart w:id="67" w:name="_Ref135807126"/>
      <w:r>
        <w:rPr>
          <w:rFonts w:cs="Arial" w:ascii="Times New Roman Bold;Times New Roman" w:hAnsi="Times New Roman Bold;Times New Roman"/>
          <w:bCs/>
          <w:kern w:val="2"/>
          <w:szCs w:val="22"/>
        </w:rPr>
        <w:t>8</w:t>
        <w:tab/>
        <w:t>CHARGES, INVOICING AND VAT</w:t>
      </w:r>
      <w:bookmarkEnd w:id="67"/>
    </w:p>
    <w:p>
      <w:pPr>
        <w:pStyle w:val="Normal"/>
        <w:numPr>
          <w:ilvl w:val="1"/>
          <w:numId w:val="13"/>
        </w:numPr>
        <w:tabs>
          <w:tab w:val="clear" w:pos="720"/>
        </w:tabs>
        <w:spacing w:before="120" w:after="120"/>
        <w:ind w:hanging="0" w:start="0" w:end="0"/>
        <w:jc w:val="both"/>
        <w:rPr>
          <w:b/>
          <w:szCs w:val="22"/>
        </w:rPr>
      </w:pPr>
      <w:r>
        <w:rPr>
          <w:b/>
          <w:szCs w:val="22"/>
        </w:rPr>
        <w:t>Charges</w:t>
      </w:r>
    </w:p>
    <w:p>
      <w:pPr>
        <w:pStyle w:val="Normal"/>
        <w:jc w:val="both"/>
        <w:rPr/>
      </w:pPr>
      <w:r>
        <w:rPr>
          <w:szCs w:val="22"/>
        </w:rPr>
        <w:t>8.1.1</w:t>
        <w:tab/>
        <w:t>The Charges shall be determined in accordance with, Exhibit 4 (</w:t>
      </w:r>
      <w:r>
        <w:rPr>
          <w:i/>
          <w:szCs w:val="22"/>
        </w:rPr>
        <w:t>Pricing and Financial Provisions</w:t>
      </w:r>
      <w:r>
        <w:rPr>
          <w:szCs w:val="22"/>
        </w:rPr>
        <w:t>).</w:t>
      </w:r>
    </w:p>
    <w:p>
      <w:pPr>
        <w:pStyle w:val="Normal"/>
        <w:jc w:val="both"/>
        <w:rPr>
          <w:szCs w:val="22"/>
        </w:rPr>
      </w:pPr>
      <w:r>
        <w:rPr>
          <w:szCs w:val="22"/>
        </w:rPr>
      </w:r>
    </w:p>
    <w:p>
      <w:pPr>
        <w:pStyle w:val="Normal"/>
        <w:jc w:val="both"/>
        <w:rPr/>
      </w:pPr>
      <w:r>
        <w:rPr>
          <w:szCs w:val="22"/>
        </w:rPr>
        <w:t>8.1.2</w:t>
        <w:tab/>
        <w:t>The Charges represent the total charges, fees, costs and expenses to be paid by EuroBank in respect of the provision of the Services and no other amounts other than the Charges shall be payable by EuroBank in connection with this MSA. There shall be no changes to the Charges during the Term except:</w:t>
      </w:r>
    </w:p>
    <w:p>
      <w:pPr>
        <w:pStyle w:val="Normal"/>
        <w:jc w:val="both"/>
        <w:rPr>
          <w:szCs w:val="22"/>
        </w:rPr>
      </w:pPr>
      <w:r>
        <w:rPr>
          <w:szCs w:val="22"/>
        </w:rPr>
      </w:r>
    </w:p>
    <w:p>
      <w:pPr>
        <w:pStyle w:val="Normal"/>
        <w:ind w:hanging="720" w:start="720" w:end="0"/>
        <w:jc w:val="both"/>
        <w:rPr/>
      </w:pPr>
      <w:r>
        <w:rPr>
          <w:szCs w:val="22"/>
        </w:rPr>
        <w:t>(a)</w:t>
        <w:tab/>
        <w:t>in accordance with clause 19.4.3 or Exhibit 34 (</w:t>
      </w:r>
      <w:r>
        <w:rPr>
          <w:i/>
          <w:szCs w:val="22"/>
        </w:rPr>
        <w:t>Price Adjustment and Benchmarking</w:t>
      </w:r>
      <w:r>
        <w:rPr>
          <w:szCs w:val="22"/>
        </w:rPr>
        <w:t>); or</w:t>
      </w:r>
    </w:p>
    <w:p>
      <w:pPr>
        <w:pStyle w:val="Normal"/>
        <w:ind w:hanging="720" w:start="720" w:end="0"/>
        <w:jc w:val="both"/>
        <w:rPr>
          <w:szCs w:val="22"/>
        </w:rPr>
      </w:pPr>
      <w:r>
        <w:rPr>
          <w:szCs w:val="22"/>
        </w:rPr>
      </w:r>
    </w:p>
    <w:p>
      <w:pPr>
        <w:pStyle w:val="Normal"/>
        <w:ind w:hanging="720" w:start="720" w:end="0"/>
        <w:jc w:val="both"/>
        <w:rPr/>
      </w:pPr>
      <w:r>
        <w:rPr>
          <w:szCs w:val="22"/>
        </w:rPr>
        <w:t>(b)</w:t>
        <w:tab/>
        <w:t>as otherwise required by the terms of this MSA.</w:t>
      </w:r>
    </w:p>
    <w:p>
      <w:pPr>
        <w:pStyle w:val="Normal"/>
        <w:jc w:val="both"/>
        <w:rPr>
          <w:szCs w:val="22"/>
        </w:rPr>
      </w:pPr>
      <w:r>
        <w:rPr>
          <w:szCs w:val="22"/>
        </w:rPr>
      </w:r>
    </w:p>
    <w:p>
      <w:pPr>
        <w:pStyle w:val="Normal"/>
        <w:jc w:val="both"/>
        <w:rPr/>
      </w:pPr>
      <w:r>
        <w:rPr>
          <w:szCs w:val="22"/>
        </w:rPr>
        <w:t>8.1.3</w:t>
        <w:tab/>
        <w:t>The PST Supplier shall ensure that the Charges and other terms applicable to the Services remain the best available in the marketplace on a “like for like” basis, provided that the assessment as to whether or not EuroBank is receiving the best available terms in the marketplace and the consequences of any failure by the PST Supplier to do so shall be determined pursuant to the procedures and remedies set out in Exhibit 34 (Price Adjustment and Benchmarking) only.</w:t>
      </w:r>
      <w:r>
        <w:rPr>
          <w:i/>
          <w:szCs w:val="22"/>
        </w:rPr>
      </w:r>
      <w:r>
        <w:rPr>
          <w:szCs w:val="22"/>
        </w:rPr>
      </w:r>
    </w:p>
    <w:p>
      <w:pPr>
        <w:pStyle w:val="Normal"/>
        <w:jc w:val="both"/>
        <w:rPr>
          <w:szCs w:val="22"/>
        </w:rPr>
      </w:pPr>
      <w:r>
        <w:rPr>
          <w:szCs w:val="22"/>
        </w:rPr>
      </w:r>
    </w:p>
    <w:p>
      <w:pPr>
        <w:pStyle w:val="Normal"/>
        <w:numPr>
          <w:ilvl w:val="1"/>
          <w:numId w:val="13"/>
        </w:numPr>
        <w:tabs>
          <w:tab w:val="clear" w:pos="720"/>
        </w:tabs>
        <w:spacing w:before="120" w:after="120"/>
        <w:ind w:hanging="0" w:start="0" w:end="0"/>
        <w:jc w:val="both"/>
        <w:rPr>
          <w:b/>
          <w:szCs w:val="22"/>
        </w:rPr>
      </w:pPr>
      <w:r>
        <w:rPr>
          <w:b/>
          <w:szCs w:val="22"/>
        </w:rPr>
        <w:t>Invoicing procedure</w:t>
      </w:r>
    </w:p>
    <w:p>
      <w:pPr>
        <w:pStyle w:val="Normal"/>
        <w:jc w:val="both"/>
        <w:rPr/>
      </w:pPr>
      <w:r>
        <w:rPr>
          <w:szCs w:val="22"/>
        </w:rPr>
        <w:t>8.2.1</w:t>
        <w:tab/>
        <w:t>The PST Supplier shall invoice the Charges and submit invoices to EuroBank and a copy of each to the 2IM for verification in accordance with agreed invoicing or billing requirements as EuroBank may reasonably specify from time to time.  Unless and until agreed otherwise, the PST Supplier shall invoice the monthly Charges in accordance with Exhibit 4 (Pricing and Financial Provisions), by means of an electronic file, commencing on the first day of the month following the month in which the Effective Date occurs.  Each invoice shall show such details as EuroBank may reasonably specify from time to time and agreed between the parties, including:</w:t>
      </w:r>
      <w:r>
        <w:rPr>
          <w:i/>
          <w:szCs w:val="22"/>
        </w:rPr>
      </w:r>
      <w:r>
        <w:rPr>
          <w:szCs w:val="22"/>
        </w:rPr>
      </w:r>
    </w:p>
    <w:p>
      <w:pPr>
        <w:pStyle w:val="Normal"/>
        <w:jc w:val="both"/>
        <w:rPr>
          <w:szCs w:val="22"/>
        </w:rPr>
      </w:pPr>
      <w:r>
        <w:rPr>
          <w:szCs w:val="22"/>
        </w:rPr>
      </w:r>
    </w:p>
    <w:p>
      <w:pPr>
        <w:pStyle w:val="Normal"/>
        <w:ind w:hanging="720" w:start="720" w:end="0"/>
        <w:jc w:val="both"/>
        <w:rPr/>
      </w:pPr>
      <w:r>
        <w:rPr>
          <w:szCs w:val="22"/>
        </w:rPr>
        <w:t>(a)</w:t>
        <w:tab/>
        <w:t>the calculations used to establish the Charges;</w:t>
      </w:r>
    </w:p>
    <w:p>
      <w:pPr>
        <w:pStyle w:val="Normal"/>
        <w:ind w:hanging="720" w:start="720" w:end="0"/>
        <w:jc w:val="both"/>
        <w:rPr>
          <w:szCs w:val="22"/>
        </w:rPr>
      </w:pPr>
      <w:r>
        <w:rPr>
          <w:szCs w:val="22"/>
        </w:rPr>
      </w:r>
    </w:p>
    <w:p>
      <w:pPr>
        <w:pStyle w:val="Normal"/>
        <w:ind w:hanging="720" w:start="720" w:end="0"/>
        <w:jc w:val="both"/>
        <w:rPr/>
      </w:pPr>
      <w:r>
        <w:rPr>
          <w:szCs w:val="22"/>
        </w:rPr>
        <w:t>(b)</w:t>
        <w:tab/>
        <w:t>the identification of all Pass-Through Charges for the month to which the invoice corresponds; and</w:t>
      </w:r>
    </w:p>
    <w:p>
      <w:pPr>
        <w:pStyle w:val="Normal"/>
        <w:ind w:hanging="720" w:start="720" w:end="0"/>
        <w:jc w:val="both"/>
        <w:rPr>
          <w:szCs w:val="22"/>
        </w:rPr>
      </w:pPr>
      <w:r>
        <w:rPr>
          <w:szCs w:val="22"/>
        </w:rPr>
      </w:r>
    </w:p>
    <w:p>
      <w:pPr>
        <w:pStyle w:val="Normal"/>
        <w:ind w:hanging="720" w:start="720" w:end="0"/>
        <w:jc w:val="both"/>
        <w:rPr/>
      </w:pPr>
      <w:r>
        <w:rPr>
          <w:szCs w:val="22"/>
        </w:rPr>
        <w:t>(c)</w:t>
        <w:tab/>
        <w:t xml:space="preserve">the identification of any and all taxes, levies, duties and other similar amounts which the PST Supplier is collecting from EuroBank. </w:t>
      </w:r>
    </w:p>
    <w:p>
      <w:pPr>
        <w:pStyle w:val="Normal"/>
        <w:jc w:val="both"/>
        <w:rPr>
          <w:szCs w:val="22"/>
        </w:rPr>
      </w:pPr>
      <w:r>
        <w:rPr>
          <w:szCs w:val="22"/>
        </w:rPr>
      </w:r>
    </w:p>
    <w:p>
      <w:pPr>
        <w:pStyle w:val="Normal"/>
        <w:jc w:val="both"/>
        <w:rPr/>
      </w:pPr>
      <w:r>
        <w:rPr>
          <w:szCs w:val="22"/>
        </w:rPr>
        <w:t>8.2.2</w:t>
        <w:tab/>
        <w:t>Unless any LSA expressly states otherwise, the PST Supplier shall invoice all Charges in Euros.</w:t>
      </w:r>
    </w:p>
    <w:p>
      <w:pPr>
        <w:pStyle w:val="Normal"/>
        <w:jc w:val="both"/>
        <w:rPr>
          <w:szCs w:val="22"/>
        </w:rPr>
      </w:pPr>
      <w:r>
        <w:rPr>
          <w:szCs w:val="22"/>
        </w:rPr>
      </w:r>
    </w:p>
    <w:p>
      <w:pPr>
        <w:pStyle w:val="Normal"/>
        <w:jc w:val="both"/>
        <w:rPr/>
      </w:pPr>
      <w:r>
        <w:rPr>
          <w:szCs w:val="22"/>
        </w:rPr>
        <w:t>8.2.3</w:t>
        <w:tab/>
        <w:t>The PST Supplier shall:</w:t>
      </w:r>
    </w:p>
    <w:p>
      <w:pPr>
        <w:pStyle w:val="Normal"/>
        <w:jc w:val="both"/>
        <w:rPr>
          <w:szCs w:val="22"/>
        </w:rPr>
      </w:pPr>
      <w:r>
        <w:rPr>
          <w:szCs w:val="22"/>
        </w:rPr>
      </w:r>
    </w:p>
    <w:p>
      <w:pPr>
        <w:pStyle w:val="Normal"/>
        <w:ind w:hanging="720" w:start="720" w:end="0"/>
        <w:jc w:val="both"/>
        <w:rPr/>
      </w:pPr>
      <w:r>
        <w:rPr>
          <w:szCs w:val="22"/>
        </w:rPr>
        <w:t>(a)</w:t>
        <w:tab/>
        <w:t>use reasonable endeavours to ensure that all Pass-Through Charges incurred in the month corresponding to each invoice are included in that invoice; and</w:t>
      </w:r>
    </w:p>
    <w:p>
      <w:pPr>
        <w:pStyle w:val="Normal"/>
        <w:ind w:hanging="720" w:start="720" w:end="0"/>
        <w:jc w:val="both"/>
        <w:rPr>
          <w:szCs w:val="22"/>
        </w:rPr>
      </w:pPr>
      <w:r>
        <w:rPr>
          <w:szCs w:val="22"/>
        </w:rPr>
      </w:r>
    </w:p>
    <w:p>
      <w:pPr>
        <w:pStyle w:val="Normal"/>
        <w:ind w:hanging="720" w:start="720" w:end="0"/>
        <w:jc w:val="both"/>
        <w:rPr>
          <w:szCs w:val="22"/>
        </w:rPr>
      </w:pPr>
      <w:r>
        <w:rPr>
          <w:szCs w:val="22"/>
        </w:rPr>
        <w:t>(b)</w:t>
        <w:tab/>
        <w:t>fully co-operate in implementing electronic ordering, invoicing, claims, warranty and returns handling, subject to the Change Control Procedure.</w:t>
      </w:r>
    </w:p>
    <w:p>
      <w:pPr>
        <w:pStyle w:val="Normal"/>
        <w:jc w:val="both"/>
        <w:rPr>
          <w:szCs w:val="22"/>
        </w:rPr>
      </w:pPr>
      <w:r>
        <w:rPr>
          <w:szCs w:val="22"/>
        </w:rPr>
      </w:r>
    </w:p>
    <w:p>
      <w:pPr>
        <w:pStyle w:val="Normal"/>
        <w:numPr>
          <w:ilvl w:val="1"/>
          <w:numId w:val="13"/>
        </w:numPr>
        <w:tabs>
          <w:tab w:val="clear" w:pos="720"/>
        </w:tabs>
        <w:spacing w:before="120" w:after="120"/>
        <w:ind w:hanging="0" w:start="0" w:end="0"/>
        <w:jc w:val="both"/>
        <w:rPr>
          <w:b/>
          <w:szCs w:val="22"/>
        </w:rPr>
      </w:pPr>
      <w:r>
        <w:rPr>
          <w:b/>
          <w:szCs w:val="22"/>
        </w:rPr>
        <w:t>Invoice payment</w:t>
      </w:r>
    </w:p>
    <w:p>
      <w:pPr>
        <w:pStyle w:val="Normal"/>
        <w:jc w:val="both"/>
        <w:rPr/>
      </w:pPr>
      <w:r>
        <w:rPr>
          <w:szCs w:val="22"/>
        </w:rPr>
        <w:t>8.3.1</w:t>
        <w:tab/>
        <w:t xml:space="preserve">Subject to clauses 8.3.2, 8.3.3, and 8.3.4, EuroBank shall pay the invoiced Charges within 30 days of receipt of each valid and proper invoice. </w:t>
      </w:r>
    </w:p>
    <w:p>
      <w:pPr>
        <w:pStyle w:val="Normal"/>
        <w:jc w:val="both"/>
        <w:rPr>
          <w:szCs w:val="22"/>
        </w:rPr>
      </w:pPr>
      <w:r>
        <w:rPr>
          <w:szCs w:val="22"/>
        </w:rPr>
      </w:r>
    </w:p>
    <w:p>
      <w:pPr>
        <w:pStyle w:val="Normal"/>
        <w:jc w:val="both"/>
        <w:rPr/>
      </w:pPr>
      <w:r>
        <w:rPr>
          <w:szCs w:val="22"/>
        </w:rPr>
        <w:t>8.3.2</w:t>
        <w:tab/>
        <w:t>EuroBank may withhold payment of all or part of any invoice to the extent that the invoice (or part of the invoice) is subject to a bona fide dispute.</w:t>
      </w:r>
      <w:r>
        <w:rPr>
          <w:i/>
          <w:szCs w:val="22"/>
        </w:rPr>
      </w:r>
      <w:r>
        <w:rPr>
          <w:szCs w:val="22"/>
        </w:rPr>
      </w:r>
    </w:p>
    <w:p>
      <w:pPr>
        <w:pStyle w:val="Normal"/>
        <w:jc w:val="both"/>
        <w:rPr>
          <w:szCs w:val="22"/>
        </w:rPr>
      </w:pPr>
      <w:r>
        <w:rPr>
          <w:szCs w:val="22"/>
        </w:rPr>
      </w:r>
    </w:p>
    <w:p>
      <w:pPr>
        <w:pStyle w:val="Normal"/>
        <w:jc w:val="both"/>
        <w:rPr>
          <w:szCs w:val="22"/>
        </w:rPr>
      </w:pPr>
      <w:r>
        <w:rPr>
          <w:szCs w:val="22"/>
        </w:rPr>
        <w:t>8.3.3</w:t>
        <w:tab/>
        <w:t>The PST Supplier shall not invoice and EuroBank shall not be obliged to pay any Charges which are not properly invoiced within the later of the date being 6 months from: (i) the end of the month to which the Charges relate, or (ii) the date of the purchase order to which the Charges relate. During the Transition and Transformation Phases this period will be 9 months.</w:t>
        <w:br/>
        <w:t>[(TelCo ONLY: ) The PST Supplier shall provide estimated invoices for those services provided by its Sub-Contractors where it is not possible to provide invoices in respect of the actual services delivered by those Sub-Contractors within the normal invoicing cycle. The PST Supplier shall provide the requisite reconciliation for the estimated charges with the actual charges in the next months invoice.]</w:t>
      </w:r>
      <w:r>
        <w:rPr>
          <w:b/>
          <w:color w:val="008000"/>
          <w:szCs w:val="22"/>
          <w:highlight w:val="yellow"/>
        </w:rPr>
      </w:r>
      <w:r>
        <w:rPr>
          <w:b/>
          <w:color w:val="008000"/>
          <w:szCs w:val="22"/>
        </w:rPr>
      </w:r>
      <w:r>
        <w:rPr>
          <w:color w:val="008000"/>
          <w:szCs w:val="22"/>
        </w:rPr>
      </w:r>
    </w:p>
    <w:p>
      <w:pPr>
        <w:pStyle w:val="Normal"/>
        <w:jc w:val="both"/>
        <w:rPr>
          <w:szCs w:val="22"/>
        </w:rPr>
      </w:pPr>
      <w:r>
        <w:rPr>
          <w:szCs w:val="22"/>
        </w:rPr>
      </w:r>
    </w:p>
    <w:p>
      <w:pPr>
        <w:pStyle w:val="Normal"/>
        <w:jc w:val="both"/>
        <w:rPr/>
      </w:pPr>
      <w:r>
        <w:rPr>
          <w:szCs w:val="22"/>
        </w:rPr>
        <w:t>8.3.4</w:t>
        <w:tab/>
        <w:t>EuroBank shall be entitled to deduct any undisputed amounts owing by the PST Supplier to EuroBank from any invoice.</w:t>
      </w:r>
    </w:p>
    <w:p>
      <w:pPr>
        <w:pStyle w:val="Normal"/>
        <w:jc w:val="both"/>
        <w:rPr>
          <w:szCs w:val="22"/>
        </w:rPr>
      </w:pPr>
      <w:r>
        <w:rPr>
          <w:szCs w:val="22"/>
        </w:rPr>
      </w:r>
      <w:bookmarkStart w:id="68" w:name="_Ref139085993"/>
      <w:bookmarkStart w:id="69" w:name="_Ref139085993"/>
    </w:p>
    <w:p>
      <w:pPr>
        <w:pStyle w:val="Heading1"/>
        <w:keepNext w:val="false"/>
        <w:keepLines w:val="false"/>
        <w:tabs>
          <w:tab w:val="clear" w:pos="720"/>
          <w:tab w:val="left" w:pos="360" w:leader="none"/>
        </w:tabs>
        <w:spacing w:before="240" w:after="240"/>
        <w:ind w:hanging="0" w:start="0"/>
        <w:jc w:val="center"/>
        <w:rPr/>
      </w:pPr>
      <w:bookmarkStart w:id="70" w:name="_Ref139085993"/>
      <w:r>
        <w:rPr>
          <w:rFonts w:cs="Arial" w:ascii="Times New Roman Bold;Times New Roman" w:hAnsi="Times New Roman Bold;Times New Roman"/>
          <w:bCs/>
          <w:kern w:val="2"/>
          <w:szCs w:val="22"/>
        </w:rPr>
        <w:t>9</w:t>
        <w:tab/>
        <w:t>COMPLIANCE</w:t>
      </w:r>
      <w:bookmarkEnd w:id="70"/>
    </w:p>
    <w:p>
      <w:pPr>
        <w:pStyle w:val="Normal"/>
        <w:numPr>
          <w:ilvl w:val="1"/>
          <w:numId w:val="11"/>
        </w:numPr>
        <w:tabs>
          <w:tab w:val="clear" w:pos="720"/>
        </w:tabs>
        <w:spacing w:before="120" w:after="120"/>
        <w:ind w:hanging="0" w:start="0" w:end="0"/>
        <w:jc w:val="both"/>
        <w:rPr>
          <w:b/>
          <w:szCs w:val="22"/>
        </w:rPr>
      </w:pPr>
      <w:r>
        <w:rPr>
          <w:b/>
          <w:szCs w:val="22"/>
        </w:rPr>
        <w:t>Compliance with Policies and Applicable Laws</w:t>
      </w:r>
    </w:p>
    <w:p>
      <w:pPr>
        <w:pStyle w:val="Normal"/>
        <w:jc w:val="both"/>
        <w:rPr/>
      </w:pPr>
      <w:r>
        <w:rPr>
          <w:szCs w:val="22"/>
        </w:rPr>
        <w:t>9.1.1</w:t>
        <w:tab/>
        <w:t>The PST Supplier shall, and shall procure that each Sub-Contractor shall:</w:t>
      </w:r>
    </w:p>
    <w:p>
      <w:pPr>
        <w:pStyle w:val="Normal"/>
        <w:jc w:val="both"/>
        <w:rPr>
          <w:szCs w:val="22"/>
        </w:rPr>
      </w:pPr>
      <w:r>
        <w:rPr>
          <w:szCs w:val="22"/>
        </w:rPr>
      </w:r>
    </w:p>
    <w:p>
      <w:pPr>
        <w:pStyle w:val="Normal"/>
        <w:ind w:hanging="720" w:start="720" w:end="0"/>
        <w:jc w:val="both"/>
        <w:rPr/>
      </w:pPr>
      <w:r>
        <w:rPr>
          <w:szCs w:val="22"/>
        </w:rPr>
        <w:t>(a)</w:t>
        <w:tab/>
        <w:t>comply with all Policies and Applicable Laws in the performance of the Services and the PST Supplier’s other obligations under this MSA, including all pre-employment screening requirements set out in Exhibit 5 (Human Resource Provisions), EuroBank Group’s general code of conduct and insider trading rules as included as Policies in Exhibit 17 (EuroBank Policies).</w:t>
      </w:r>
      <w:r>
        <w:rPr>
          <w:i/>
          <w:szCs w:val="22"/>
        </w:rPr>
      </w:r>
      <w:r>
        <w:rPr>
          <w:szCs w:val="22"/>
        </w:rPr>
      </w:r>
      <w:r>
        <w:rPr>
          <w:i/>
          <w:szCs w:val="22"/>
        </w:rPr>
      </w:r>
      <w:r>
        <w:rPr>
          <w:szCs w:val="22"/>
        </w:rPr>
      </w:r>
    </w:p>
    <w:p>
      <w:pPr>
        <w:pStyle w:val="Normal"/>
        <w:ind w:hanging="720" w:start="720" w:end="0"/>
        <w:jc w:val="both"/>
        <w:rPr>
          <w:szCs w:val="22"/>
        </w:rPr>
      </w:pPr>
      <w:r>
        <w:rPr>
          <w:szCs w:val="22"/>
        </w:rPr>
      </w:r>
    </w:p>
    <w:p>
      <w:pPr>
        <w:pStyle w:val="Normal"/>
        <w:ind w:hanging="720" w:start="720" w:end="0"/>
        <w:jc w:val="both"/>
        <w:rPr/>
      </w:pPr>
      <w:r>
        <w:rPr>
          <w:szCs w:val="22"/>
        </w:rPr>
        <w:t>(b)</w:t>
        <w:tab/>
        <w:t xml:space="preserve">provide details of its networks and other facilities from time to time to the extent necessary to comply with the requirements of the Commissie voor het Bank-Financien Assurantiewezen; and </w:t>
      </w:r>
    </w:p>
    <w:p>
      <w:pPr>
        <w:pStyle w:val="Normal"/>
        <w:ind w:hanging="720" w:start="720" w:end="0"/>
        <w:jc w:val="both"/>
        <w:rPr>
          <w:szCs w:val="22"/>
        </w:rPr>
      </w:pPr>
      <w:r>
        <w:rPr>
          <w:szCs w:val="22"/>
        </w:rPr>
      </w:r>
    </w:p>
    <w:p>
      <w:pPr>
        <w:pStyle w:val="Normal"/>
        <w:ind w:hanging="720" w:start="720" w:end="0"/>
        <w:jc w:val="both"/>
        <w:rPr/>
      </w:pPr>
      <w:r>
        <w:rPr>
          <w:szCs w:val="22"/>
        </w:rPr>
        <w:t>(c)</w:t>
        <w:tab/>
        <w:t>provide all agreed support related to the Services that is required for EuroBank and each EuroBank Group member to meet all requirements imposed by Applicable Law, and shall meet EuroBank’s and each EuroBank Group member’s internal and external audit and compliance requirements as specified in Exhibit 17 (EuroBank Policies).</w:t>
      </w:r>
      <w:r>
        <w:rPr>
          <w:i/>
          <w:szCs w:val="22"/>
        </w:rPr>
      </w:r>
      <w:r>
        <w:rPr>
          <w:szCs w:val="22"/>
        </w:rPr>
      </w:r>
    </w:p>
    <w:p>
      <w:pPr>
        <w:pStyle w:val="Normal"/>
        <w:jc w:val="both"/>
        <w:rPr>
          <w:szCs w:val="22"/>
        </w:rPr>
      </w:pPr>
      <w:r>
        <w:rPr>
          <w:szCs w:val="22"/>
        </w:rPr>
      </w:r>
    </w:p>
    <w:p>
      <w:pPr>
        <w:pStyle w:val="Normal"/>
        <w:jc w:val="both"/>
        <w:rPr/>
      </w:pPr>
      <w:r>
        <w:rPr>
          <w:szCs w:val="22"/>
        </w:rPr>
        <w:t>9.1.2</w:t>
        <w:tab/>
        <w:t xml:space="preserve">The PST Supplier has verified that none of the Policies or Applicable Laws on the Effective Date prevent or restrict the PST Supplier or any of its Sub-Contractors from providing the Services in accordance with the provisions of this MSA. </w:t>
      </w:r>
    </w:p>
    <w:p>
      <w:pPr>
        <w:pStyle w:val="Normal"/>
        <w:jc w:val="both"/>
        <w:rPr>
          <w:szCs w:val="22"/>
        </w:rPr>
      </w:pPr>
      <w:r>
        <w:rPr>
          <w:szCs w:val="22"/>
        </w:rPr>
      </w:r>
    </w:p>
    <w:p>
      <w:pPr>
        <w:pStyle w:val="Normal"/>
        <w:jc w:val="both"/>
        <w:rPr/>
      </w:pPr>
      <w:r>
        <w:rPr>
          <w:szCs w:val="22"/>
        </w:rPr>
        <w:t>9.1.3</w:t>
        <w:tab/>
        <w:t xml:space="preserve">The PST Supplier warrants (garandeert) to EuroBank that as at the Effective Date it and/or its Sub-Contractors are persons to whom EuroBank and each EuroBank Group member are entitled to outsource the Services. </w:t>
      </w:r>
      <w:r>
        <w:rPr>
          <w:i/>
          <w:szCs w:val="22"/>
        </w:rPr>
      </w:r>
      <w:r>
        <w:rPr>
          <w:szCs w:val="22"/>
        </w:rPr>
      </w:r>
    </w:p>
    <w:p>
      <w:pPr>
        <w:pStyle w:val="Normal"/>
        <w:jc w:val="both"/>
        <w:rPr>
          <w:szCs w:val="22"/>
        </w:rPr>
      </w:pPr>
      <w:r>
        <w:rPr>
          <w:szCs w:val="22"/>
        </w:rPr>
      </w:r>
    </w:p>
    <w:p>
      <w:pPr>
        <w:pStyle w:val="Normal"/>
        <w:jc w:val="both"/>
        <w:rPr/>
      </w:pPr>
      <w:r>
        <w:rPr>
          <w:szCs w:val="22"/>
        </w:rPr>
        <w:t>9.1.4</w:t>
        <w:tab/>
        <w:t>To the extent that the Policies at the Effective Date reflect market practice for the delivery of the Services then the PST Supplier’s compliance with these Policies is included in the Base Charge. To the extent that any Policy exceeds market practice (and is confirmed as such by the 2IM) then the PST Supplier shall nonetheless comply with such Policy, however EuroBank shall pay the PST Supplier the additional cost of complying with the Policy as such costs may be determined in accordance with the Change Control Procedure.</w:t>
      </w:r>
    </w:p>
    <w:p>
      <w:pPr>
        <w:pStyle w:val="Normal"/>
        <w:jc w:val="both"/>
        <w:rPr>
          <w:szCs w:val="22"/>
        </w:rPr>
      </w:pPr>
      <w:r>
        <w:rPr>
          <w:szCs w:val="22"/>
        </w:rPr>
      </w:r>
    </w:p>
    <w:p>
      <w:pPr>
        <w:pStyle w:val="Normal"/>
        <w:jc w:val="both"/>
        <w:rPr/>
      </w:pPr>
      <w:r>
        <w:rPr>
          <w:szCs w:val="22"/>
        </w:rPr>
        <w:t>9.1.5</w:t>
        <w:tab/>
        <w:t>Where EuroBank is not compliant with a Policy as at the Effective Date and it is reasonably necessary for the PST Supplier to incur expenditure on physical items in order to make the Services compliant with such Policy, then EuroBank shall reimburse the PST Supplier for such expenditure.  Where the effort required to make the Services compliant with a Policy exceeds what could be reasonably anticipated by an experienced outsourcing service provider for bringing into compliance a financial institution having a typical level of compliance prior to outsourcing, then EuroBank shall reimburse the PST Supplier for such additional effort.  The 2IM shall verify the extent of the additional effort and the associated costs requested by the PST Supplier under this clause 9.1.5 and the parties shall accept the 2IM’s assessment of the costs.</w:t>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Regulatory change</w:t>
      </w:r>
    </w:p>
    <w:p>
      <w:pPr>
        <w:pStyle w:val="Normal"/>
        <w:jc w:val="both"/>
        <w:rPr/>
      </w:pPr>
      <w:r>
        <w:rPr>
          <w:szCs w:val="22"/>
        </w:rPr>
        <w:t>9.2.1</w:t>
        <w:tab/>
        <w:t>If following the Effective Date a change occurs with respect to Applicable Law which under the terms of this MSA requires a change to the Services or affects EuroBank’s requirements with respect to such Services, then the related changes to the Services will be dealt with in accordance with the Change Control Procedure. With respect to the impact on the Charges of such changes the following additional arrangements will apply:</w:t>
      </w:r>
    </w:p>
    <w:p>
      <w:pPr>
        <w:pStyle w:val="Normal"/>
        <w:jc w:val="both"/>
        <w:rPr>
          <w:szCs w:val="22"/>
        </w:rPr>
      </w:pPr>
      <w:r>
        <w:rPr>
          <w:szCs w:val="22"/>
        </w:rPr>
      </w:r>
    </w:p>
    <w:p>
      <w:pPr>
        <w:pStyle w:val="Normal"/>
        <w:ind w:hanging="720" w:start="720" w:end="0"/>
        <w:jc w:val="both"/>
        <w:rPr/>
      </w:pPr>
      <w:r>
        <w:rPr>
          <w:szCs w:val="22"/>
        </w:rPr>
        <w:t>(a)</w:t>
        <w:tab/>
        <w:t>if the change is not material and in particular does not cause the PST Supplier to incur material additional costs or to allocate additional resources to accommodate such change, then no additional Charges will be due; and</w:t>
      </w:r>
    </w:p>
    <w:p>
      <w:pPr>
        <w:pStyle w:val="Normal"/>
        <w:ind w:hanging="720" w:start="720" w:end="0"/>
        <w:jc w:val="both"/>
        <w:rPr>
          <w:szCs w:val="22"/>
        </w:rPr>
      </w:pPr>
      <w:r>
        <w:rPr>
          <w:szCs w:val="22"/>
        </w:rPr>
      </w:r>
    </w:p>
    <w:p>
      <w:pPr>
        <w:pStyle w:val="Normal"/>
        <w:ind w:hanging="720" w:start="720" w:end="0"/>
        <w:jc w:val="both"/>
        <w:rPr/>
      </w:pPr>
      <w:r>
        <w:rPr>
          <w:szCs w:val="22"/>
        </w:rPr>
        <w:t>(b)</w:t>
        <w:tab/>
        <w:t xml:space="preserve">the PST Supplier shall not invoice EuroBank for the first €50,000 of the Charges agreed under the Change Control Procedure for implementing Changes due to Applicable Law during the Term.   </w:t>
      </w:r>
    </w:p>
    <w:p>
      <w:pPr>
        <w:pStyle w:val="Normal"/>
        <w:jc w:val="both"/>
        <w:rPr>
          <w:szCs w:val="22"/>
        </w:rPr>
      </w:pPr>
      <w:r>
        <w:rPr>
          <w:szCs w:val="22"/>
        </w:rPr>
      </w:r>
    </w:p>
    <w:p>
      <w:pPr>
        <w:pStyle w:val="Normal"/>
        <w:jc w:val="both"/>
        <w:rPr/>
      </w:pPr>
      <w:r>
        <w:rPr>
          <w:szCs w:val="22"/>
        </w:rPr>
        <w:t>9.2.2</w:t>
        <w:tab/>
        <w:t xml:space="preserve">EuroBank shall be responsible for interpreting any laws or regulations affecting its use of and its requirements for the Services, except for those that generally apply to the internal business operations of the PST Supplier as a provider of the Services. </w:t>
      </w:r>
    </w:p>
    <w:p>
      <w:pPr>
        <w:pStyle w:val="Normal"/>
        <w:jc w:val="both"/>
        <w:rPr>
          <w:szCs w:val="22"/>
        </w:rPr>
      </w:pPr>
      <w:r>
        <w:rPr>
          <w:szCs w:val="22"/>
        </w:rPr>
      </w:r>
    </w:p>
    <w:p>
      <w:pPr>
        <w:pStyle w:val="Normal"/>
        <w:jc w:val="both"/>
        <w:rPr/>
      </w:pPr>
      <w:r>
        <w:rPr>
          <w:szCs w:val="22"/>
        </w:rPr>
        <w:t>9.2.3</w:t>
        <w:tab/>
        <w:t>The PST Supplier shall be responsible for monitoring and complying to (at its own cost) all change to Applicable Law in as far as these specifically relate to the industry of the PST Supplier. Any changes to the method of providing the Services (not being a Significant Change) which are necessary to be made to comply with such changes shall be for the account of the PST Supplier. EuroBank shall give its reasonable co-operation and consent to the implementation of such changes.</w:t>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Dealings with Regulators</w:t>
      </w:r>
    </w:p>
    <w:p>
      <w:pPr>
        <w:pStyle w:val="Normal"/>
        <w:jc w:val="both"/>
        <w:rPr>
          <w:szCs w:val="22"/>
        </w:rPr>
      </w:pPr>
      <w:r>
        <w:rPr>
          <w:szCs w:val="22"/>
        </w:rPr>
        <w:t>9.3.1</w:t>
        <w:tab/>
        <w:t>The PST Supplier shall, and shall procure that each of its Sub-Contractors shall, where this is necessary for EuroBank or any EuroBank Group Member to comply with Applicable Law:</w:t>
      </w:r>
    </w:p>
    <w:p>
      <w:pPr>
        <w:pStyle w:val="Normal"/>
        <w:jc w:val="both"/>
        <w:rPr>
          <w:szCs w:val="22"/>
        </w:rPr>
      </w:pPr>
      <w:r>
        <w:rPr>
          <w:szCs w:val="22"/>
        </w:rPr>
      </w:r>
    </w:p>
    <w:p>
      <w:pPr>
        <w:pStyle w:val="Normal"/>
        <w:ind w:hanging="720" w:start="720" w:end="0"/>
        <w:jc w:val="both"/>
        <w:rPr/>
      </w:pPr>
      <w:r>
        <w:rPr>
          <w:szCs w:val="22"/>
        </w:rPr>
        <w:t>(a)</w:t>
        <w:tab/>
        <w:t>comply with all obligations to consult with Regulators’ representatives during the Term;</w:t>
      </w:r>
    </w:p>
    <w:p>
      <w:pPr>
        <w:pStyle w:val="Normal"/>
        <w:ind w:hanging="720" w:start="720" w:end="0"/>
        <w:jc w:val="both"/>
        <w:rPr>
          <w:szCs w:val="22"/>
        </w:rPr>
      </w:pPr>
      <w:r>
        <w:rPr>
          <w:szCs w:val="22"/>
        </w:rPr>
      </w:r>
    </w:p>
    <w:p>
      <w:pPr>
        <w:pStyle w:val="Normal"/>
        <w:ind w:hanging="720" w:start="720" w:end="0"/>
        <w:jc w:val="both"/>
        <w:rPr/>
      </w:pPr>
      <w:r>
        <w:rPr>
          <w:szCs w:val="22"/>
        </w:rPr>
        <w:t>(b)</w:t>
        <w:tab/>
        <w:t xml:space="preserve">at all times follow any binding instructions that a Regulator with respect to the Services may give; and </w:t>
      </w:r>
    </w:p>
    <w:p>
      <w:pPr>
        <w:pStyle w:val="Normal"/>
        <w:ind w:hanging="720" w:start="720" w:end="0"/>
        <w:jc w:val="both"/>
        <w:rPr>
          <w:szCs w:val="22"/>
        </w:rPr>
      </w:pPr>
      <w:r>
        <w:rPr>
          <w:szCs w:val="22"/>
        </w:rPr>
      </w:r>
    </w:p>
    <w:p>
      <w:pPr>
        <w:pStyle w:val="Normal"/>
        <w:ind w:hanging="720" w:start="720" w:end="0"/>
        <w:jc w:val="both"/>
        <w:rPr>
          <w:szCs w:val="22"/>
        </w:rPr>
      </w:pPr>
      <w:r>
        <w:rPr>
          <w:szCs w:val="22"/>
        </w:rPr>
        <w:t>(c)</w:t>
        <w:tab/>
        <w:t>both during the Term and thereafter, supply EuroBank, any EuroBank Group member and any Regulator with any necessary information reasonably requested by EuroBank, the EuroBank Group member or the Regulator in connection with the Services.</w:t>
      </w:r>
    </w:p>
    <w:p>
      <w:pPr>
        <w:pStyle w:val="Normal"/>
        <w:jc w:val="both"/>
        <w:rPr>
          <w:szCs w:val="22"/>
        </w:rPr>
      </w:pPr>
      <w:r>
        <w:rPr>
          <w:szCs w:val="22"/>
        </w:rPr>
      </w:r>
    </w:p>
    <w:p>
      <w:pPr>
        <w:pStyle w:val="Normal"/>
        <w:jc w:val="both"/>
        <w:rPr/>
      </w:pPr>
      <w:r>
        <w:rPr>
          <w:szCs w:val="22"/>
        </w:rPr>
        <w:t>9.3.2</w:t>
        <w:tab/>
        <w:t>The PST Supplier shall, to the extent legally permitted, notify EuroBank prior to complying with any request from a Regulator and shall supply EuroBank with copies of all information supplied to the Regulator by the PST Supplier or any Sub-Contractor in connection with the request.</w:t>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Conflict of interest</w:t>
      </w:r>
    </w:p>
    <w:p>
      <w:pPr>
        <w:pStyle w:val="Normal"/>
        <w:jc w:val="both"/>
        <w:rPr/>
      </w:pPr>
      <w:r>
        <w:rPr>
          <w:szCs w:val="22"/>
        </w:rPr>
        <w:t>9.4.1</w:t>
        <w:tab/>
        <w:t>The PST Supplier represents, warrants and undertakes to EuroBank that neither the PST Supplier nor any of its Affiliates, nor any employee of any of the foregoing:</w:t>
      </w:r>
    </w:p>
    <w:p>
      <w:pPr>
        <w:pStyle w:val="Normal"/>
        <w:jc w:val="both"/>
        <w:rPr>
          <w:szCs w:val="22"/>
        </w:rPr>
      </w:pPr>
      <w:r>
        <w:rPr>
          <w:szCs w:val="22"/>
        </w:rPr>
      </w:r>
    </w:p>
    <w:p>
      <w:pPr>
        <w:pStyle w:val="Normal"/>
        <w:ind w:hanging="720" w:start="720" w:end="0"/>
        <w:jc w:val="both"/>
        <w:rPr/>
      </w:pPr>
      <w:r>
        <w:rPr>
          <w:szCs w:val="22"/>
        </w:rPr>
        <w:t>(a)</w:t>
        <w:tab/>
        <w:t xml:space="preserve">has or shall acquire any direct contractual, financial or business interest or advantage that would represent a material conflict with the PST Supplier’s performance of any of its obligations under this MSA or otherwise create an appearance of impropriety with respect to this MSA; or </w:t>
      </w:r>
    </w:p>
    <w:p>
      <w:pPr>
        <w:pStyle w:val="Normal"/>
        <w:ind w:hanging="720" w:start="720" w:end="0"/>
        <w:jc w:val="both"/>
        <w:rPr>
          <w:szCs w:val="22"/>
        </w:rPr>
      </w:pPr>
      <w:r>
        <w:rPr>
          <w:szCs w:val="22"/>
        </w:rPr>
      </w:r>
    </w:p>
    <w:p>
      <w:pPr>
        <w:pStyle w:val="Normal"/>
        <w:ind w:hanging="720" w:start="720" w:end="0"/>
        <w:jc w:val="both"/>
        <w:rPr/>
      </w:pPr>
      <w:r>
        <w:rPr>
          <w:szCs w:val="22"/>
        </w:rPr>
        <w:t>(b)</w:t>
        <w:tab/>
        <w:t>shall use the authority provided or to be provided under this MSA to improperly obtain any financial gain, advantage or benefit for the PST Supplier, any of its Affiliates or any of their employees.</w:t>
      </w:r>
    </w:p>
    <w:p>
      <w:pPr>
        <w:pStyle w:val="Normal"/>
        <w:jc w:val="both"/>
        <w:rPr>
          <w:szCs w:val="22"/>
        </w:rPr>
      </w:pPr>
      <w:r>
        <w:rPr>
          <w:szCs w:val="22"/>
        </w:rPr>
      </w:r>
    </w:p>
    <w:p>
      <w:pPr>
        <w:pStyle w:val="Normal"/>
        <w:jc w:val="both"/>
        <w:rPr>
          <w:szCs w:val="22"/>
        </w:rPr>
      </w:pPr>
      <w:r>
        <w:rPr>
          <w:szCs w:val="22"/>
        </w:rPr>
        <w:t>9.4.2</w:t>
        <w:tab/>
        <w:t>The PST Supplier shall promptly notify EuroBank in writing of any actual or potential breach of clause 9.4.1 and shall, without limiting EuroBank’s other rights, co-operate with EuroBank in addressing and solving any issues that arise as a result.</w:t>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 xml:space="preserve">Changes to Policies </w:t>
      </w:r>
    </w:p>
    <w:p>
      <w:pPr>
        <w:pStyle w:val="Normal"/>
        <w:jc w:val="both"/>
        <w:rPr/>
      </w:pPr>
      <w:r>
        <w:rPr>
          <w:szCs w:val="22"/>
        </w:rPr>
        <w:t xml:space="preserve">EuroBank may change any Policy or impose additional Policies from time to time without the consent of the PST Supplier, subject to notification and addressing any impact through the Change Control Procedure.  Any additional or changed Policies shall be added to Exhibit 17 (EuroBank Policies).  </w:t>
      </w:r>
      <w:r>
        <w:rPr>
          <w:i/>
          <w:szCs w:val="22"/>
        </w:rPr>
      </w:r>
      <w:r>
        <w:rPr>
          <w:szCs w:val="22"/>
        </w:rPr>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Damages, fines and penalties</w:t>
      </w:r>
    </w:p>
    <w:p>
      <w:pPr>
        <w:pStyle w:val="Normal"/>
        <w:jc w:val="both"/>
        <w:rPr>
          <w:szCs w:val="22"/>
        </w:rPr>
      </w:pPr>
      <w:r>
        <w:rPr>
          <w:szCs w:val="22"/>
        </w:rPr>
        <w:t>In the event that a material non-compliance with any Policy or Applicable Law by the PST Supplier or any Sub-Contractor cannot be remedied within 10 Business Days from notification in writing by EuroBank of such non-compliance and such breach has a material negative impact on the receipt of the Services or the business of EuroBank or any of its Affiliates, then the PST Supplier shall be in material breach of this MSA.</w:t>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Licences, approvals and notifications</w:t>
      </w:r>
    </w:p>
    <w:p>
      <w:pPr>
        <w:pStyle w:val="Normal"/>
        <w:jc w:val="both"/>
        <w:rPr>
          <w:szCs w:val="22"/>
        </w:rPr>
      </w:pPr>
      <w:r>
        <w:rPr>
          <w:szCs w:val="22"/>
        </w:rPr>
        <w:t>The PST Supplier shall, at its own expense, obtain, and keep current in a timely manner, all necessary licences, approvals, permits, certifications and authorisations (including governmental licences and permits and Regulator(s)’ notifications and approvals) in each relevant jurisdiction, which are required to provide the Services and comply with all other obligations under this MSA. The PST Supplier shall obtain such licences, approvals, permits, certifications and authorisations prior to the Effective Date. The PST Supplier shall submit written evidence to EuroBank thereof prior to the Effective Date. Should any additional licences, approvals, permits, certifications and authorisations be required after the Effective Date, then the PST Supplier shall obtain these in a timely manner at its own expense, and provide EuroBank with copies of these as soon as reasonably practicable.</w:t>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Record keeping</w:t>
      </w:r>
    </w:p>
    <w:p>
      <w:pPr>
        <w:pStyle w:val="Normal"/>
        <w:jc w:val="both"/>
        <w:rPr/>
      </w:pPr>
      <w:r>
        <w:rPr>
          <w:szCs w:val="22"/>
        </w:rPr>
        <w:t>9.8.1</w:t>
        <w:tab/>
        <w:t xml:space="preserve">The PST Supplier shall operate a mutually agreed system of record keeping in relation to, and maintain complete and accurate records of, and adequate supporting documents for: </w:t>
      </w:r>
    </w:p>
    <w:p>
      <w:pPr>
        <w:pStyle w:val="Normal"/>
        <w:jc w:val="both"/>
        <w:rPr>
          <w:szCs w:val="22"/>
        </w:rPr>
      </w:pPr>
      <w:r>
        <w:rPr>
          <w:szCs w:val="22"/>
        </w:rPr>
      </w:r>
    </w:p>
    <w:p>
      <w:pPr>
        <w:pStyle w:val="Normal"/>
        <w:ind w:hanging="720" w:start="720" w:end="0"/>
        <w:jc w:val="both"/>
        <w:rPr/>
      </w:pPr>
      <w:r>
        <w:rPr>
          <w:szCs w:val="22"/>
        </w:rPr>
        <w:t>(a)</w:t>
        <w:tab/>
        <w:t xml:space="preserve">the resources used by the PST Supplier in performing its obligations under this MSA which are relevant for determining the Base Charges and any other Charges to be billed; and </w:t>
      </w:r>
    </w:p>
    <w:p>
      <w:pPr>
        <w:pStyle w:val="Normal"/>
        <w:ind w:hanging="720" w:start="720" w:end="0"/>
        <w:jc w:val="both"/>
        <w:rPr>
          <w:szCs w:val="22"/>
        </w:rPr>
      </w:pPr>
      <w:r>
        <w:rPr>
          <w:szCs w:val="22"/>
        </w:rPr>
      </w:r>
    </w:p>
    <w:p>
      <w:pPr>
        <w:pStyle w:val="Normal"/>
        <w:ind w:hanging="720" w:start="720" w:end="0"/>
        <w:jc w:val="both"/>
        <w:rPr/>
      </w:pPr>
      <w:r>
        <w:rPr>
          <w:szCs w:val="22"/>
        </w:rPr>
        <w:t>(b)</w:t>
        <w:tab/>
        <w:t>the Charges invoiced to, and the payments made by, EuroBank under this MSA; and</w:t>
      </w:r>
    </w:p>
    <w:p>
      <w:pPr>
        <w:pStyle w:val="Normal"/>
        <w:ind w:hanging="720" w:start="720" w:end="0"/>
        <w:jc w:val="both"/>
        <w:rPr>
          <w:szCs w:val="22"/>
        </w:rPr>
      </w:pPr>
      <w:r>
        <w:rPr>
          <w:szCs w:val="22"/>
        </w:rPr>
      </w:r>
    </w:p>
    <w:p>
      <w:pPr>
        <w:pStyle w:val="Normal"/>
        <w:ind w:hanging="720" w:start="720" w:end="0"/>
        <w:jc w:val="both"/>
        <w:rPr/>
      </w:pPr>
      <w:r>
        <w:rPr>
          <w:szCs w:val="22"/>
        </w:rPr>
        <w:t>(c)</w:t>
        <w:tab/>
        <w:t>any credit notes issued by the PST Supplier to EuroBank.</w:t>
      </w:r>
    </w:p>
    <w:p>
      <w:pPr>
        <w:pStyle w:val="Normal"/>
        <w:jc w:val="both"/>
        <w:rPr>
          <w:szCs w:val="22"/>
        </w:rPr>
      </w:pPr>
      <w:r>
        <w:rPr>
          <w:szCs w:val="22"/>
        </w:rPr>
      </w:r>
    </w:p>
    <w:p>
      <w:pPr>
        <w:pStyle w:val="Normal"/>
        <w:jc w:val="both"/>
        <w:rPr/>
      </w:pPr>
      <w:r>
        <w:rPr>
          <w:szCs w:val="22"/>
        </w:rPr>
        <w:t>9.8.2</w:t>
        <w:tab/>
        <w:t>The PST Supplier shall maintain complete and accurate records relating to the provision of the Services and the performance of its other obligations under this MSA.</w:t>
      </w:r>
    </w:p>
    <w:p>
      <w:pPr>
        <w:pStyle w:val="Normal"/>
        <w:jc w:val="both"/>
        <w:rPr>
          <w:szCs w:val="22"/>
        </w:rPr>
      </w:pPr>
      <w:r>
        <w:rPr>
          <w:szCs w:val="22"/>
        </w:rPr>
      </w:r>
    </w:p>
    <w:p>
      <w:pPr>
        <w:pStyle w:val="Normal"/>
        <w:jc w:val="both"/>
        <w:rPr/>
      </w:pPr>
      <w:r>
        <w:rPr>
          <w:szCs w:val="22"/>
        </w:rPr>
        <w:t>9.8.3</w:t>
        <w:tab/>
        <w:t>The PST Supplier shall:</w:t>
      </w:r>
    </w:p>
    <w:p>
      <w:pPr>
        <w:pStyle w:val="Normal"/>
        <w:jc w:val="both"/>
        <w:rPr>
          <w:szCs w:val="22"/>
        </w:rPr>
      </w:pPr>
      <w:r>
        <w:rPr>
          <w:szCs w:val="22"/>
        </w:rPr>
      </w:r>
    </w:p>
    <w:p>
      <w:pPr>
        <w:pStyle w:val="Normal"/>
        <w:ind w:hanging="720" w:start="720" w:end="0"/>
        <w:jc w:val="both"/>
        <w:rPr/>
      </w:pPr>
      <w:r>
        <w:rPr>
          <w:szCs w:val="22"/>
        </w:rPr>
        <w:t>(a)</w:t>
        <w:tab/>
        <w:t>maintain the records referred to in this clause in accordance with good accounting practice and to a level of detail sufficient to justify the calculation of the Charges under Exhibit 4 (</w:t>
      </w:r>
      <w:r>
        <w:rPr>
          <w:i/>
          <w:szCs w:val="22"/>
        </w:rPr>
        <w:t>Pricing and Financial Provisions</w:t>
      </w:r>
      <w:r>
        <w:rPr>
          <w:szCs w:val="22"/>
        </w:rPr>
        <w:t>); and</w:t>
      </w:r>
    </w:p>
    <w:p>
      <w:pPr>
        <w:pStyle w:val="Normal"/>
        <w:ind w:hanging="720" w:start="720" w:end="0"/>
        <w:jc w:val="both"/>
        <w:rPr>
          <w:szCs w:val="22"/>
        </w:rPr>
      </w:pPr>
      <w:r>
        <w:rPr>
          <w:szCs w:val="22"/>
        </w:rPr>
      </w:r>
    </w:p>
    <w:p>
      <w:pPr>
        <w:pStyle w:val="Normal"/>
        <w:ind w:hanging="720" w:start="720" w:end="0"/>
        <w:jc w:val="both"/>
        <w:rPr>
          <w:szCs w:val="22"/>
        </w:rPr>
      </w:pPr>
      <w:r>
        <w:rPr>
          <w:szCs w:val="22"/>
        </w:rPr>
        <w:t>(b)</w:t>
        <w:tab/>
        <w:t>retain the records and supporting documents for the longer of a period of 5 years or as long as required by Applicable Law.</w:t>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Annual Audit Report</w:t>
      </w:r>
    </w:p>
    <w:p>
      <w:pPr>
        <w:pStyle w:val="Normal"/>
        <w:jc w:val="both"/>
        <w:rPr>
          <w:szCs w:val="22"/>
        </w:rPr>
      </w:pPr>
      <w:r>
        <w:rPr>
          <w:szCs w:val="22"/>
        </w:rPr>
        <w:t>The PST Supplier shall, within 30 days of the expiry of each Year, provide EuroBank with an audit report prepared by a reputable auditing firm in accordance with relevant industry and professional standards and with EuroBank’s reasonable requirements notified to the PST Supplier from time to time (each, an Annual Audit Report) as described in Exhibit 13 (Reports).  EuroBank shall specify the scope of the Annual Audit Report. EuroBank may adjust the yearly cycle for the Annual Audit Reports or require interim reports on reasonable written notice to the PST Supplier.</w:t>
      </w:r>
      <w:r>
        <w:rPr>
          <w:b/>
          <w:i/>
          <w:szCs w:val="22"/>
        </w:rPr>
      </w:r>
      <w:r>
        <w:rPr>
          <w:szCs w:val="22"/>
        </w:rPr>
      </w:r>
      <w:r>
        <w:rPr>
          <w:i/>
          <w:szCs w:val="22"/>
        </w:rPr>
      </w:r>
      <w:r>
        <w:rPr>
          <w:szCs w:val="22"/>
        </w:rPr>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Planned audits</w:t>
      </w:r>
    </w:p>
    <w:p>
      <w:pPr>
        <w:pStyle w:val="Normal"/>
        <w:jc w:val="both"/>
        <w:rPr>
          <w:szCs w:val="22"/>
        </w:rPr>
      </w:pPr>
      <w:r>
        <w:rPr>
          <w:szCs w:val="22"/>
        </w:rPr>
        <w:t>The parties shall perform the planned audits in accordance with Attachment 17-C (Compliance) (the Audit Plan). The Audit Plan will be updated annually by EuroBank, whereupon EuroBank and the PST Supplier shall agree the cost associated with any revised Audit Plan, in accordance with the Change Control Procedure, but subject to clause 9.11.7.</w:t>
      </w:r>
      <w:r>
        <w:rPr>
          <w:i/>
          <w:szCs w:val="22"/>
        </w:rPr>
      </w:r>
      <w:r>
        <w:rPr>
          <w:szCs w:val="22"/>
        </w:rPr>
      </w:r>
      <w:r>
        <w:rPr>
          <w:b/>
          <w:i/>
          <w:szCs w:val="22"/>
        </w:rPr>
      </w:r>
      <w:r>
        <w:rPr>
          <w:szCs w:val="22"/>
        </w:rPr>
      </w:r>
    </w:p>
    <w:p>
      <w:pPr>
        <w:pStyle w:val="Normal"/>
        <w:jc w:val="both"/>
        <w:rPr>
          <w:szCs w:val="22"/>
        </w:rPr>
      </w:pPr>
      <w:r>
        <w:rPr>
          <w:szCs w:val="22"/>
        </w:rPr>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bookmarkStart w:id="71" w:name="_Ref139084270"/>
      <w:r>
        <w:rPr>
          <w:b/>
          <w:szCs w:val="22"/>
        </w:rPr>
        <w:t>Audit access</w:t>
      </w:r>
      <w:bookmarkEnd w:id="71"/>
    </w:p>
    <w:p>
      <w:pPr>
        <w:pStyle w:val="Normal"/>
        <w:jc w:val="both"/>
        <w:rPr>
          <w:szCs w:val="22"/>
        </w:rPr>
      </w:pPr>
      <w:bookmarkStart w:id="72" w:name="_Ref139084135"/>
      <w:r>
        <w:rPr>
          <w:szCs w:val="22"/>
        </w:rPr>
        <w:t>9.11.1</w:t>
        <w:tab/>
        <w:t xml:space="preserve">Unless EuroBank reasonably considers that prior notice would be detrimental to the proposed audit, EuroBank shall, on reasonable notice, notify the PST Supplier of EuroBank’s representatives (being employees of EuroBank’s Corporate Audit Services department), EuroBank auditors (which shall not be direct competitors with the PST Supplier) and Regulators (collectively, EuroBank’s Auditors) who require access rights to the Sites from which the PST Supplier and Sub-Contractors provide, manage and administer the Services (PST Supplier Sites). </w:t>
      </w:r>
      <w:r>
        <w:rPr>
          <w:b/>
          <w:i/>
          <w:szCs w:val="22"/>
        </w:rPr>
      </w:r>
      <w:r>
        <w:rPr>
          <w:szCs w:val="22"/>
        </w:rPr>
      </w:r>
      <w:r>
        <w:rPr>
          <w:b/>
          <w:i/>
          <w:szCs w:val="22"/>
        </w:rPr>
      </w:r>
      <w:r>
        <w:rPr>
          <w:szCs w:val="22"/>
        </w:rPr>
      </w:r>
      <w:bookmarkEnd w:id="72"/>
      <w:r>
        <w:rPr>
          <w:szCs w:val="22"/>
        </w:rPr>
      </w:r>
    </w:p>
    <w:p>
      <w:pPr>
        <w:pStyle w:val="Normal"/>
        <w:jc w:val="both"/>
        <w:rPr/>
      </w:pPr>
      <w:r>
        <w:rPr>
          <w:szCs w:val="22"/>
        </w:rPr>
        <w:t xml:space="preserve">The information and PST Supplier staff requested by EuroBank will be made available by PST Supplier  in a segregated area. </w:t>
      </w:r>
    </w:p>
    <w:p>
      <w:pPr>
        <w:pStyle w:val="Normal"/>
        <w:jc w:val="both"/>
        <w:rPr>
          <w:szCs w:val="22"/>
        </w:rPr>
      </w:pPr>
      <w:r>
        <w:rPr>
          <w:szCs w:val="22"/>
        </w:rPr>
        <w:t>Access to systems will be provided by PST Supplier through a qualified PST Supplier operator in a segregated area.</w:t>
      </w:r>
    </w:p>
    <w:p>
      <w:pPr>
        <w:pStyle w:val="Normal"/>
        <w:jc w:val="both"/>
        <w:rPr>
          <w:szCs w:val="22"/>
        </w:rPr>
      </w:pPr>
      <w:r>
        <w:rPr>
          <w:szCs w:val="22"/>
        </w:rPr>
      </w:r>
    </w:p>
    <w:p>
      <w:pPr>
        <w:pStyle w:val="Normal"/>
        <w:jc w:val="both"/>
        <w:rPr/>
      </w:pPr>
      <w:r>
        <w:rPr>
          <w:szCs w:val="22"/>
        </w:rPr>
        <w:t>9.11.2</w:t>
        <w:tab/>
        <w:t>The PST Supplier acknowledges that EuroBank shall be entitled to exercise its rights under clause 9.11.1 in the event that the Regulator determines that EuroBank should conduct an audit without giving notice to the PST Supplier.</w:t>
      </w:r>
    </w:p>
    <w:p>
      <w:pPr>
        <w:pStyle w:val="Normal"/>
        <w:jc w:val="both"/>
        <w:rPr>
          <w:szCs w:val="22"/>
        </w:rPr>
      </w:pPr>
      <w:r>
        <w:rPr>
          <w:szCs w:val="22"/>
        </w:rPr>
      </w:r>
    </w:p>
    <w:p>
      <w:pPr>
        <w:pStyle w:val="Normal"/>
        <w:jc w:val="both"/>
        <w:rPr/>
      </w:pPr>
      <w:r>
        <w:rPr>
          <w:szCs w:val="22"/>
        </w:rPr>
        <w:t>9.11.3</w:t>
        <w:tab/>
        <w:t>The PST Supplier shall allow, and procure that its Affiliates and the Sub-Contactors allow, EuroBank’s Auditors access to the PST Supplier Sites, to review the records and supporting documents referred to in clause 9.8 and, to the extent reasonably necessary having regard to the purposes of the audit specified by EuroBank prior to the start of an audit, to have access to the relevant PST Supplier Personnel and systems at the PST Supplier Sites and the relevant PST Supplier Personnel and systems (including operational records and manuals) at the PST Supplier Sites at all reasonable times during (and, in an emergency, outside) normal working hours for the following purposes:</w:t>
      </w:r>
    </w:p>
    <w:p>
      <w:pPr>
        <w:pStyle w:val="Normal"/>
        <w:jc w:val="both"/>
        <w:rPr>
          <w:szCs w:val="22"/>
        </w:rPr>
      </w:pPr>
      <w:r>
        <w:rPr>
          <w:szCs w:val="22"/>
        </w:rPr>
      </w:r>
    </w:p>
    <w:p>
      <w:pPr>
        <w:pStyle w:val="Normal"/>
        <w:ind w:hanging="720" w:start="720" w:end="0"/>
        <w:jc w:val="both"/>
        <w:rPr/>
      </w:pPr>
      <w:r>
        <w:rPr>
          <w:szCs w:val="22"/>
        </w:rPr>
        <w:t>(a)</w:t>
        <w:tab/>
        <w:t>to monitor and verify the provision of the Services and the PST Supplier’s performance of its other obligations under this MSA;</w:t>
      </w:r>
    </w:p>
    <w:p>
      <w:pPr>
        <w:pStyle w:val="Normal"/>
        <w:ind w:hanging="720" w:start="720" w:end="0"/>
        <w:jc w:val="both"/>
        <w:rPr>
          <w:szCs w:val="22"/>
        </w:rPr>
      </w:pPr>
      <w:r>
        <w:rPr>
          <w:szCs w:val="22"/>
        </w:rPr>
      </w:r>
    </w:p>
    <w:p>
      <w:pPr>
        <w:pStyle w:val="Normal"/>
        <w:ind w:hanging="720" w:start="720" w:end="0"/>
        <w:jc w:val="both"/>
        <w:rPr/>
      </w:pPr>
      <w:r>
        <w:rPr>
          <w:szCs w:val="22"/>
        </w:rPr>
        <w:t>(b)</w:t>
        <w:tab/>
        <w:t>to carry out reviews and audits as may be necessary from time to time to maintain EuroBank Group’s insurance cover;</w:t>
      </w:r>
    </w:p>
    <w:p>
      <w:pPr>
        <w:pStyle w:val="Normal"/>
        <w:ind w:hanging="720" w:start="720" w:end="0"/>
        <w:jc w:val="both"/>
        <w:rPr>
          <w:szCs w:val="22"/>
        </w:rPr>
      </w:pPr>
      <w:r>
        <w:rPr>
          <w:szCs w:val="22"/>
        </w:rPr>
      </w:r>
    </w:p>
    <w:p>
      <w:pPr>
        <w:pStyle w:val="Normal"/>
        <w:ind w:hanging="720" w:start="720" w:end="0"/>
        <w:jc w:val="both"/>
        <w:rPr/>
      </w:pPr>
      <w:r>
        <w:rPr>
          <w:szCs w:val="22"/>
        </w:rPr>
        <w:t>(c)</w:t>
        <w:tab/>
        <w:t>to review the integrity of EuroBank’s Confidential Information;</w:t>
      </w:r>
    </w:p>
    <w:p>
      <w:pPr>
        <w:pStyle w:val="Normal"/>
        <w:ind w:hanging="720" w:start="720" w:end="0"/>
        <w:jc w:val="both"/>
        <w:rPr>
          <w:szCs w:val="22"/>
        </w:rPr>
      </w:pPr>
      <w:r>
        <w:rPr>
          <w:szCs w:val="22"/>
        </w:rPr>
      </w:r>
    </w:p>
    <w:p>
      <w:pPr>
        <w:pStyle w:val="Normal"/>
        <w:ind w:hanging="720" w:start="720" w:end="0"/>
        <w:jc w:val="both"/>
        <w:rPr/>
      </w:pPr>
      <w:r>
        <w:rPr>
          <w:szCs w:val="22"/>
        </w:rPr>
        <w:t>(d)</w:t>
        <w:tab/>
        <w:t>to make inspections and audits for the purpose of conducting the internal and statutory audits of the EuroBank Group and EuroBank Group members and to prepare reports required by a Regulator;</w:t>
      </w:r>
    </w:p>
    <w:p>
      <w:pPr>
        <w:pStyle w:val="Normal"/>
        <w:ind w:hanging="720" w:start="720" w:end="0"/>
        <w:jc w:val="both"/>
        <w:rPr>
          <w:szCs w:val="22"/>
        </w:rPr>
      </w:pPr>
      <w:r>
        <w:rPr>
          <w:szCs w:val="22"/>
        </w:rPr>
      </w:r>
    </w:p>
    <w:p>
      <w:pPr>
        <w:pStyle w:val="Normal"/>
        <w:ind w:hanging="720" w:start="720" w:end="0"/>
        <w:jc w:val="both"/>
        <w:rPr/>
      </w:pPr>
      <w:r>
        <w:rPr>
          <w:szCs w:val="22"/>
        </w:rPr>
        <w:t>(e)</w:t>
        <w:tab/>
        <w:t>to meet the requirements of the Control Rules;</w:t>
      </w:r>
    </w:p>
    <w:p>
      <w:pPr>
        <w:pStyle w:val="Normal"/>
        <w:ind w:hanging="720" w:start="720" w:end="0"/>
        <w:jc w:val="both"/>
        <w:rPr>
          <w:szCs w:val="22"/>
        </w:rPr>
      </w:pPr>
      <w:r>
        <w:rPr>
          <w:szCs w:val="22"/>
        </w:rPr>
      </w:r>
    </w:p>
    <w:p>
      <w:pPr>
        <w:pStyle w:val="Normal"/>
        <w:ind w:hanging="720" w:start="720" w:end="0"/>
        <w:jc w:val="both"/>
        <w:rPr>
          <w:szCs w:val="22"/>
        </w:rPr>
      </w:pPr>
      <w:r>
        <w:rPr>
          <w:szCs w:val="22"/>
        </w:rPr>
        <w:t>(f)</w:t>
        <w:tab/>
        <w:t>to conduct any risk assessment required by EuroBank in relation to the impact of the Services on the EuroBank Group’s business; and</w:t>
      </w:r>
    </w:p>
    <w:p>
      <w:pPr>
        <w:pStyle w:val="Normal"/>
        <w:ind w:hanging="720" w:start="720" w:end="0"/>
        <w:jc w:val="both"/>
        <w:rPr>
          <w:szCs w:val="22"/>
        </w:rPr>
      </w:pPr>
      <w:r>
        <w:rPr>
          <w:szCs w:val="22"/>
        </w:rPr>
      </w:r>
    </w:p>
    <w:p>
      <w:pPr>
        <w:pStyle w:val="Normal"/>
        <w:ind w:hanging="720" w:start="720" w:end="0"/>
        <w:jc w:val="both"/>
        <w:rPr/>
      </w:pPr>
      <w:r>
        <w:rPr>
          <w:szCs w:val="22"/>
        </w:rPr>
        <w:t>(g)</w:t>
        <w:tab/>
        <w:t>to perform investigations on criminal incidents or criminal frauds.</w:t>
      </w:r>
    </w:p>
    <w:p>
      <w:pPr>
        <w:pStyle w:val="Normal"/>
        <w:jc w:val="both"/>
        <w:rPr>
          <w:szCs w:val="22"/>
        </w:rPr>
      </w:pPr>
      <w:r>
        <w:rPr>
          <w:szCs w:val="22"/>
        </w:rPr>
      </w:r>
    </w:p>
    <w:p>
      <w:pPr>
        <w:pStyle w:val="Normal"/>
        <w:jc w:val="both"/>
        <w:rPr/>
      </w:pPr>
      <w:r>
        <w:rPr>
          <w:szCs w:val="22"/>
        </w:rPr>
        <w:t>9.11.4</w:t>
        <w:tab/>
        <w:t>The PST Supplier shall as soon as reasonably possible perform or make available, and procure that its Affiliates and the Sub-Contractors perform or make available, the services, access and facilities described in this clause to a Regulator if a Regulator requests it to do so.</w:t>
      </w:r>
    </w:p>
    <w:p>
      <w:pPr>
        <w:pStyle w:val="Normal"/>
        <w:jc w:val="both"/>
        <w:rPr>
          <w:szCs w:val="22"/>
        </w:rPr>
      </w:pPr>
      <w:r>
        <w:rPr>
          <w:szCs w:val="22"/>
        </w:rPr>
      </w:r>
    </w:p>
    <w:p>
      <w:pPr>
        <w:pStyle w:val="Normal"/>
        <w:jc w:val="both"/>
        <w:rPr/>
      </w:pPr>
      <w:r>
        <w:rPr>
          <w:szCs w:val="22"/>
        </w:rPr>
        <w:t>9.11.5</w:t>
        <w:tab/>
        <w:t>In exercising its rights under this clause 9, EuroBank and EuroBank’s Auditors shall not cause any damage or injury to the PST Supplier Personnel, nor disrupt the services managed or administered from the PST Supplier Sites except as insofar as due to the nature of the audit such disruption cannot reasonably be avoided. EuroBank’s Auditors will respect the confidentiality of the confidential information of the PST Supplier and its customers and partners and will on request sign a reasonably required confidentiality statement in line with the confidentiality requirements contained in this MSA.</w:t>
      </w:r>
    </w:p>
    <w:p>
      <w:pPr>
        <w:pStyle w:val="Normal"/>
        <w:jc w:val="both"/>
        <w:rPr>
          <w:szCs w:val="22"/>
        </w:rPr>
      </w:pPr>
      <w:r>
        <w:rPr>
          <w:szCs w:val="22"/>
        </w:rPr>
      </w:r>
    </w:p>
    <w:p>
      <w:pPr>
        <w:pStyle w:val="Normal"/>
        <w:jc w:val="both"/>
        <w:rPr/>
      </w:pPr>
      <w:r>
        <w:rPr>
          <w:szCs w:val="22"/>
        </w:rPr>
        <w:t>9.11.6</w:t>
        <w:tab/>
        <w:t>The parties shall bear their own respective costs and expenses incurred in complying with this clause 9, unless an audit reveals a material breach by the PST Supplier of its obligations under this MSA, in which case the PST Supplier shall reimburse EuroBank its reasonable costs and expenses incurred in the course of the audit.</w:t>
      </w:r>
    </w:p>
    <w:p>
      <w:pPr>
        <w:pStyle w:val="Normal"/>
        <w:jc w:val="both"/>
        <w:rPr>
          <w:szCs w:val="22"/>
        </w:rPr>
      </w:pPr>
      <w:r>
        <w:rPr>
          <w:szCs w:val="22"/>
        </w:rPr>
      </w:r>
    </w:p>
    <w:p>
      <w:pPr>
        <w:pStyle w:val="Normal"/>
        <w:jc w:val="both"/>
        <w:rPr/>
      </w:pPr>
      <w:r>
        <w:rPr>
          <w:szCs w:val="22"/>
        </w:rPr>
        <w:t>9.11.7</w:t>
        <w:tab/>
        <w:t xml:space="preserve">PST Supplier shall provide within the Base Charge up to 60 man days support to audits under this clause 9 in Year 1 and up to 40 man days support per annum thereafter. In the event that there is a material change in the way the Services are delivered then the PST Supplier shall provide 60 man days support to audits during the twelve months following such change and thereafter the support shall revert to 40 man days per annum.  The PST Supplier shall also provide 40 man days per annum support for audits within the scope of this clause 9 during the 2 year period following the termination or expiry of this MSA (with any additional support during this 2 year period or thereafter being provided on a time and materials basis). Any requests for additional support shall be treated in accordance with the Change Control Procedure. </w:t>
      </w:r>
    </w:p>
    <w:p>
      <w:pPr>
        <w:pStyle w:val="Normal"/>
        <w:jc w:val="both"/>
        <w:rPr>
          <w:szCs w:val="22"/>
        </w:rPr>
      </w:pPr>
      <w:r>
        <w:rPr>
          <w:szCs w:val="22"/>
        </w:rPr>
      </w:r>
    </w:p>
    <w:p>
      <w:pPr>
        <w:pStyle w:val="Normal"/>
        <w:numPr>
          <w:ilvl w:val="1"/>
          <w:numId w:val="11"/>
        </w:numPr>
        <w:tabs>
          <w:tab w:val="clear" w:pos="720"/>
        </w:tabs>
        <w:spacing w:before="120" w:after="120"/>
        <w:ind w:hanging="0" w:start="0" w:end="0"/>
        <w:jc w:val="both"/>
        <w:rPr>
          <w:b/>
          <w:szCs w:val="22"/>
        </w:rPr>
      </w:pPr>
      <w:r>
        <w:rPr>
          <w:b/>
          <w:szCs w:val="22"/>
        </w:rPr>
        <w:t>Control Rules</w:t>
      </w:r>
    </w:p>
    <w:p>
      <w:pPr>
        <w:pStyle w:val="Normal"/>
        <w:jc w:val="both"/>
        <w:rPr/>
      </w:pPr>
      <w:r>
        <w:rPr>
          <w:szCs w:val="22"/>
        </w:rPr>
        <w:t>9.12.1</w:t>
        <w:tab/>
        <w:t xml:space="preserve">The PST Supplier shall provide any assistance reasonably requested by EuroBank to enable EuroBank and relevant EuroBank Group members to comply, such assistance as is necessary with regard to the Services, with the applicable requirements of the Sarbanes-Oxley Act of 2002 of the United States of America (SOX), the rules of the Public Company Accounting Oversight Board (PCAOB), the rules of the United States Securities and Exchange Commission (SEC) and similar Applicable Laws from time to time relating to disclosure controls and procedures and internal controls over financial reporting (the foregoing together, the Control Rules).  Such assistance shall include: </w:t>
      </w:r>
      <w:r>
        <w:rPr>
          <w:b/>
          <w:i/>
          <w:szCs w:val="22"/>
        </w:rPr>
      </w:r>
      <w:r>
        <w:rPr>
          <w:szCs w:val="22"/>
        </w:rPr>
      </w:r>
      <w:r>
        <w:rPr>
          <w:b/>
          <w:i/>
          <w:szCs w:val="22"/>
        </w:rPr>
      </w:r>
      <w:r>
        <w:rPr>
          <w:szCs w:val="22"/>
        </w:rPr>
      </w:r>
      <w:r>
        <w:rPr>
          <w:b/>
          <w:i/>
          <w:szCs w:val="22"/>
        </w:rPr>
      </w:r>
      <w:r>
        <w:rPr>
          <w:szCs w:val="22"/>
        </w:rPr>
      </w:r>
      <w:r>
        <w:rPr>
          <w:b/>
          <w:i/>
          <w:szCs w:val="22"/>
        </w:rPr>
      </w:r>
      <w:r>
        <w:rPr>
          <w:szCs w:val="22"/>
        </w:rPr>
      </w:r>
    </w:p>
    <w:p>
      <w:pPr>
        <w:pStyle w:val="Normal"/>
        <w:jc w:val="both"/>
        <w:rPr>
          <w:szCs w:val="22"/>
        </w:rPr>
      </w:pPr>
      <w:r>
        <w:rPr>
          <w:szCs w:val="22"/>
        </w:rPr>
      </w:r>
    </w:p>
    <w:p>
      <w:pPr>
        <w:pStyle w:val="Normal"/>
        <w:ind w:hanging="720" w:start="720" w:end="0"/>
        <w:jc w:val="both"/>
        <w:rPr/>
      </w:pPr>
      <w:r>
        <w:rPr>
          <w:szCs w:val="22"/>
        </w:rPr>
        <w:t>(a)</w:t>
        <w:tab/>
        <w:t>co-operating with EuroBank to implement the Policies to reflect the controls and procedures required for EuroBank to comply with the Control Rules from time to time (the Supplier Controls);</w:t>
      </w:r>
      <w:r>
        <w:rPr>
          <w:b/>
          <w:i/>
          <w:szCs w:val="22"/>
        </w:rPr>
      </w:r>
      <w:r>
        <w:rPr>
          <w:szCs w:val="22"/>
        </w:rPr>
      </w:r>
    </w:p>
    <w:p>
      <w:pPr>
        <w:pStyle w:val="Normal"/>
        <w:ind w:hanging="720" w:start="720" w:end="0"/>
        <w:jc w:val="both"/>
        <w:rPr>
          <w:szCs w:val="22"/>
        </w:rPr>
      </w:pPr>
      <w:r>
        <w:rPr>
          <w:szCs w:val="22"/>
        </w:rPr>
      </w:r>
    </w:p>
    <w:p>
      <w:pPr>
        <w:pStyle w:val="Normal"/>
        <w:ind w:hanging="720" w:start="720" w:end="0"/>
        <w:jc w:val="both"/>
        <w:rPr/>
      </w:pPr>
      <w:r>
        <w:rPr>
          <w:szCs w:val="22"/>
        </w:rPr>
        <w:t>(b)</w:t>
        <w:tab/>
        <w:t xml:space="preserve">documenting the Supplier Controls, such documentation to include a description of the Supplier Controls and an archive of any tests executed to assess the operational effectiveness of the Supplier Controls; </w:t>
      </w:r>
    </w:p>
    <w:p>
      <w:pPr>
        <w:pStyle w:val="Normal"/>
        <w:ind w:hanging="720" w:start="720" w:end="0"/>
        <w:jc w:val="both"/>
        <w:rPr>
          <w:szCs w:val="22"/>
        </w:rPr>
      </w:pPr>
      <w:r>
        <w:rPr>
          <w:szCs w:val="22"/>
        </w:rPr>
      </w:r>
    </w:p>
    <w:p>
      <w:pPr>
        <w:pStyle w:val="Normal"/>
        <w:ind w:hanging="720" w:start="720" w:end="0"/>
        <w:jc w:val="both"/>
        <w:rPr/>
      </w:pPr>
      <w:r>
        <w:rPr>
          <w:szCs w:val="22"/>
        </w:rPr>
        <w:t>(c)</w:t>
        <w:tab/>
        <w:t xml:space="preserve">making quarterly notifications to EuroBank of any material changes to any of the Supplier Controls; </w:t>
      </w:r>
    </w:p>
    <w:p>
      <w:pPr>
        <w:pStyle w:val="Normal"/>
        <w:ind w:hanging="720" w:start="720" w:end="0"/>
        <w:jc w:val="both"/>
        <w:rPr>
          <w:szCs w:val="22"/>
        </w:rPr>
      </w:pPr>
      <w:r>
        <w:rPr>
          <w:szCs w:val="22"/>
        </w:rPr>
      </w:r>
    </w:p>
    <w:p>
      <w:pPr>
        <w:pStyle w:val="Normal"/>
        <w:ind w:hanging="720" w:start="720" w:end="0"/>
        <w:jc w:val="both"/>
        <w:rPr/>
      </w:pPr>
      <w:r>
        <w:rPr>
          <w:szCs w:val="22"/>
        </w:rPr>
        <w:t>(d)</w:t>
        <w:tab/>
        <w:t xml:space="preserve">immediately reporting and remedying any significant deficiency in the design or operation of the Supplier Controls as defined in the Control Rules or any other deficiency that may reasonably be expected by the PST Supplier to affect EuroBank’s compliance with the Control Rules; </w:t>
      </w:r>
    </w:p>
    <w:p>
      <w:pPr>
        <w:pStyle w:val="Normal"/>
        <w:ind w:hanging="720" w:start="720" w:end="0"/>
        <w:jc w:val="both"/>
        <w:rPr>
          <w:szCs w:val="22"/>
        </w:rPr>
      </w:pPr>
      <w:r>
        <w:rPr>
          <w:szCs w:val="22"/>
        </w:rPr>
      </w:r>
    </w:p>
    <w:p>
      <w:pPr>
        <w:pStyle w:val="Normal"/>
        <w:ind w:hanging="720" w:start="720" w:end="0"/>
        <w:jc w:val="both"/>
        <w:rPr>
          <w:szCs w:val="22"/>
        </w:rPr>
      </w:pPr>
      <w:r>
        <w:rPr>
          <w:szCs w:val="22"/>
        </w:rPr>
        <w:t>(e)</w:t>
        <w:tab/>
        <w:t>delivering to EuroBank, in accordance with the timelines set out below, a SAS 70 Type 2 Report prepared by the PST Supplier’s external independent auditors (or such other report or audit activity as may be agreed by the parties and in particular in respect of the first year) in connection with the PST Supplier’s compliance with the Control Rules with respect to the Services:</w:t>
      </w:r>
    </w:p>
    <w:p>
      <w:pPr>
        <w:pStyle w:val="Normal"/>
        <w:ind w:hanging="720" w:start="720" w:end="0"/>
        <w:jc w:val="both"/>
        <w:rPr>
          <w:szCs w:val="22"/>
        </w:rPr>
      </w:pPr>
      <w:r>
        <w:rPr>
          <w:szCs w:val="22"/>
        </w:rPr>
      </w:r>
    </w:p>
    <w:p>
      <w:pPr>
        <w:pStyle w:val="Normal"/>
        <w:ind w:start="1440" w:end="0"/>
        <w:jc w:val="both"/>
        <w:rPr>
          <w:u w:val="single"/>
        </w:rPr>
      </w:pPr>
      <w:r>
        <w:rPr>
          <w:u w:val="single"/>
        </w:rPr>
        <w:t>Scope</w:t>
      </w:r>
    </w:p>
    <w:p>
      <w:pPr>
        <w:pStyle w:val="Normal"/>
        <w:ind w:start="1440" w:end="0"/>
        <w:jc w:val="both"/>
        <w:rPr>
          <w:u w:val="single"/>
        </w:rPr>
      </w:pPr>
      <w:r>
        <w:rPr>
          <w:u w:val="single"/>
        </w:rPr>
      </w:r>
    </w:p>
    <w:p>
      <w:pPr>
        <w:pStyle w:val="Normal"/>
        <w:ind w:start="1440" w:end="0"/>
        <w:jc w:val="both"/>
        <w:rPr/>
      </w:pPr>
      <w:r>
        <w:rPr/>
        <w:t>The PST shall comply with the SOX Key controls as listed in the Document “EuroBank WPS SOX Requirements" attached to Exhibit 17 (Policies). All controls objectives apply to a PST Member insofar they relate to the Services provided to EuroBank by that individual PST member..</w:t>
      </w:r>
      <w:r>
        <w:rPr>
          <w:i/>
        </w:rPr>
      </w:r>
      <w:r>
        <w:rPr/>
      </w:r>
      <w:r>
        <w:rPr>
          <w:i/>
        </w:rPr>
      </w:r>
      <w:r>
        <w:rPr/>
      </w:r>
      <w:r>
        <w:rPr>
          <w:szCs w:val="22"/>
        </w:rPr>
      </w:r>
      <w:r>
        <w:rPr/>
      </w:r>
    </w:p>
    <w:p>
      <w:pPr>
        <w:pStyle w:val="Normal"/>
        <w:ind w:start="1440" w:end="0"/>
        <w:jc w:val="both"/>
        <w:rPr/>
      </w:pPr>
      <w:r>
        <w:rPr/>
      </w:r>
    </w:p>
    <w:p>
      <w:pPr>
        <w:pStyle w:val="Normal"/>
        <w:ind w:start="1440" w:end="0"/>
        <w:jc w:val="both"/>
        <w:rPr/>
      </w:pPr>
      <w:r>
        <w:rPr/>
        <w:t xml:space="preserve">Parties to the Agreement are aware of the fact that that the wording of the description in column 2 of the Key controls may require modification. Any modification requires prior written approval of the EuroBank external auditor. </w:t>
      </w:r>
    </w:p>
    <w:p>
      <w:pPr>
        <w:pStyle w:val="Normal"/>
        <w:ind w:start="1440" w:end="0"/>
        <w:jc w:val="both"/>
        <w:rPr/>
      </w:pPr>
      <w:r>
        <w:rPr/>
      </w:r>
    </w:p>
    <w:p>
      <w:pPr>
        <w:pStyle w:val="Normal"/>
        <w:ind w:start="1440" w:end="0"/>
        <w:jc w:val="both"/>
        <w:rPr>
          <w:u w:val="single"/>
        </w:rPr>
      </w:pPr>
      <w:r>
        <w:rPr>
          <w:u w:val="single"/>
        </w:rPr>
        <w:t>Change in Scope</w:t>
      </w:r>
    </w:p>
    <w:p>
      <w:pPr>
        <w:pStyle w:val="Normal"/>
        <w:ind w:start="1440" w:end="0"/>
        <w:jc w:val="both"/>
        <w:rPr>
          <w:u w:val="single"/>
        </w:rPr>
      </w:pPr>
      <w:r>
        <w:rPr>
          <w:u w:val="single"/>
        </w:rPr>
      </w:r>
    </w:p>
    <w:p>
      <w:pPr>
        <w:pStyle w:val="Normal"/>
        <w:ind w:start="1440" w:end="0"/>
        <w:jc w:val="both"/>
        <w:rPr/>
      </w:pPr>
      <w:r>
        <w:rPr/>
        <w:t>The PST shall include new controls as and when they are needed; be it due to a scope/service change, be it because of a changed SOX requirement. The PST Supplier shall adhere to these changed requirements. The p</w:t>
      </w:r>
      <w:r>
        <w:rPr>
          <w:rStyle w:val="Strong"/>
          <w:b w:val="false"/>
          <w:color w:val="000000"/>
        </w:rPr>
        <w:t>arties shall address the impact of a change in scope in accordance with the Change Control Procedure in Exhibit 22 (</w:t>
      </w:r>
      <w:r>
        <w:rPr>
          <w:rStyle w:val="Strong"/>
          <w:b w:val="false"/>
          <w:i/>
          <w:color w:val="000000"/>
        </w:rPr>
        <w:t>Change Control Procedures</w:t>
      </w:r>
      <w:r>
        <w:rPr>
          <w:rStyle w:val="Strong"/>
          <w:b w:val="false"/>
          <w:color w:val="000000"/>
        </w:rPr>
        <w:t>).</w:t>
      </w:r>
    </w:p>
    <w:p>
      <w:pPr>
        <w:pStyle w:val="Normal"/>
        <w:ind w:start="1440" w:end="0"/>
        <w:jc w:val="both"/>
        <w:rPr/>
      </w:pPr>
      <w:r>
        <w:rPr/>
      </w:r>
    </w:p>
    <w:p>
      <w:pPr>
        <w:pStyle w:val="Normal"/>
        <w:ind w:start="1440" w:end="0"/>
        <w:jc w:val="both"/>
        <w:rPr>
          <w:u w:val="single"/>
        </w:rPr>
      </w:pPr>
      <w:r>
        <w:rPr>
          <w:u w:val="single"/>
        </w:rPr>
        <w:t>Timetable</w:t>
      </w:r>
    </w:p>
    <w:p>
      <w:pPr>
        <w:pStyle w:val="Normal"/>
        <w:ind w:start="1440" w:end="0"/>
        <w:jc w:val="both"/>
        <w:rPr>
          <w:u w:val="single"/>
        </w:rPr>
      </w:pPr>
      <w:r>
        <w:rPr>
          <w:u w:val="single"/>
        </w:rPr>
      </w:r>
    </w:p>
    <w:p>
      <w:pPr>
        <w:pStyle w:val="Normal"/>
        <w:ind w:start="1440" w:end="0"/>
        <w:jc w:val="both"/>
        <w:rPr/>
      </w:pPr>
      <w:r>
        <w:rPr/>
        <w:t>For the third quarter sign off, the PST Supplier shall deliver the SAS 70 type II statement by September 30th each year. In 2007 a SAS70 type 2 with a limited period of operational effectiveness will be delivered (Transition Year)</w:t>
      </w:r>
      <w:r>
        <w:rPr>
          <w:szCs w:val="22"/>
        </w:rPr>
        <w:t>. The scope of the SAS 70 type II statement in 2007 will be limited to (only) the control objectives which are implemented at Commencement Date. I</w:t>
      </w:r>
      <w:r>
        <w:rPr/>
        <w:t>n 2008 a full statement will be delivered.</w:t>
      </w:r>
    </w:p>
    <w:p>
      <w:pPr>
        <w:pStyle w:val="Normal"/>
        <w:ind w:start="1440" w:end="0"/>
        <w:jc w:val="both"/>
        <w:rPr/>
      </w:pPr>
      <w:r>
        <w:rPr/>
      </w:r>
    </w:p>
    <w:p>
      <w:pPr>
        <w:pStyle w:val="Normal"/>
        <w:ind w:start="1440" w:end="0"/>
        <w:jc w:val="both"/>
        <w:rPr/>
      </w:pPr>
      <w:r>
        <w:rPr/>
        <w:t xml:space="preserve">PST Supplier </w:t>
      </w:r>
      <w:r>
        <w:rPr>
          <w:highlight w:val="yellow"/>
        </w:rPr>
        <w:t>[in 2IM MSA: ‘2IM’]</w:t>
      </w:r>
      <w:r>
        <w:rPr/>
        <w:t xml:space="preserve"> shall provide a management statement by 31st of December of each year starting in 2007.</w:t>
      </w:r>
    </w:p>
    <w:p>
      <w:pPr>
        <w:pStyle w:val="Normal"/>
        <w:ind w:start="1440" w:end="0"/>
        <w:jc w:val="both"/>
        <w:rPr/>
      </w:pPr>
      <w:r>
        <w:rPr/>
      </w:r>
    </w:p>
    <w:p>
      <w:pPr>
        <w:pStyle w:val="Normal"/>
        <w:ind w:start="1440" w:end="0"/>
        <w:jc w:val="both"/>
        <w:rPr/>
      </w:pPr>
      <w:r>
        <w:rPr/>
        <w:t xml:space="preserve">This statement from the PST Supplier  </w:t>
      </w:r>
      <w:r>
        <w:rPr>
          <w:highlight w:val="yellow"/>
        </w:rPr>
        <w:t>[in 2IM MSA: ‘2IM’]</w:t>
      </w:r>
      <w:r>
        <w:rPr/>
        <w:t xml:space="preserve"> shall contain a declaration stating that there have been no significant changes in the design and operating effectiveness of the controls that are covered in the auditor’s report in the period subsequent to the period covered by the service auditor’s report. Such changes include:</w:t>
      </w:r>
    </w:p>
    <w:p>
      <w:pPr>
        <w:pStyle w:val="Normal"/>
        <w:ind w:start="1440" w:end="0"/>
        <w:jc w:val="both"/>
        <w:rPr/>
      </w:pPr>
      <w:r>
        <w:rPr/>
      </w:r>
    </w:p>
    <w:p>
      <w:pPr>
        <w:pStyle w:val="Normal"/>
        <w:ind w:hanging="720" w:start="2160" w:end="0"/>
        <w:jc w:val="both"/>
        <w:rPr/>
      </w:pPr>
      <w:r>
        <w:rPr/>
        <w:t>•</w:t>
      </w:r>
      <w:r>
        <w:rPr/>
        <w:tab/>
        <w:t>Organisational, process or system changes communicated to the service organisation’s management;</w:t>
      </w:r>
    </w:p>
    <w:p>
      <w:pPr>
        <w:pStyle w:val="Normal"/>
        <w:ind w:hanging="720" w:start="2160" w:end="0"/>
        <w:jc w:val="both"/>
        <w:rPr/>
      </w:pPr>
      <w:r>
        <w:rPr/>
        <w:t>•</w:t>
      </w:r>
      <w:r>
        <w:rPr/>
        <w:tab/>
        <w:t>Changes in key personnel (capacity and skills) at the service organisation;</w:t>
      </w:r>
    </w:p>
    <w:p>
      <w:pPr>
        <w:pStyle w:val="Normal"/>
        <w:ind w:hanging="720" w:start="2160" w:end="0"/>
        <w:jc w:val="both"/>
        <w:rPr/>
      </w:pPr>
      <w:r>
        <w:rPr/>
        <w:t>•</w:t>
      </w:r>
      <w:r>
        <w:rPr/>
        <w:tab/>
        <w:t>Procedural changes to resolve previously identified deficiencies;</w:t>
      </w:r>
    </w:p>
    <w:p>
      <w:pPr>
        <w:pStyle w:val="Normal"/>
        <w:ind w:hanging="720" w:start="2160" w:end="0"/>
        <w:jc w:val="both"/>
        <w:rPr/>
      </w:pPr>
      <w:r>
        <w:rPr/>
        <w:t>•</w:t>
      </w:r>
      <w:r>
        <w:rPr/>
        <w:tab/>
        <w:t>Errors identified in the service organisation’s processing.</w:t>
      </w:r>
    </w:p>
    <w:p>
      <w:pPr>
        <w:pStyle w:val="Normal"/>
        <w:ind w:start="1440" w:end="0"/>
        <w:jc w:val="both"/>
        <w:rPr/>
      </w:pPr>
      <w:r>
        <w:rPr/>
      </w:r>
    </w:p>
    <w:p>
      <w:pPr>
        <w:pStyle w:val="Normal"/>
        <w:ind w:start="1440" w:end="0"/>
        <w:jc w:val="both"/>
        <w:rPr/>
      </w:pPr>
      <w:r>
        <w:rPr/>
        <w:t xml:space="preserve">PST Supplier [in 2IM MSA: ‘2IM’] shall inform EuroBank of any control deficiencies found in the period that PST Supplier is executing the Services ‘as-is’, i.e. prior to Transformation, within 30 days of discovery. </w:t>
      </w:r>
      <w:r>
        <w:rPr>
          <w:highlight w:val="yellow"/>
        </w:rPr>
      </w:r>
      <w:r>
        <w:rPr/>
      </w:r>
    </w:p>
    <w:p>
      <w:pPr>
        <w:pStyle w:val="Normal"/>
        <w:ind w:start="1440" w:end="0"/>
        <w:jc w:val="both"/>
        <w:rPr/>
      </w:pPr>
      <w:r>
        <w:rPr/>
      </w:r>
    </w:p>
    <w:p>
      <w:pPr>
        <w:pStyle w:val="Normal"/>
        <w:ind w:start="1440" w:end="0"/>
        <w:jc w:val="both"/>
        <w:rPr/>
      </w:pPr>
      <w:r>
        <w:rPr/>
        <w:t>Any deficiencies found will be remediated and tested by the PST Supplier [in 2IM MSA: ‘2IM’] and assessed and accepted by EuroBank within the same calendar year that such deficiencies qualified by EuroBank as material weaknesses, significant deficiencies or notable deficiencies are found. Other deficiencies should me remediated within a to be agreed timeframe. Remediation of deficiencies originating from the PST Supplier [in 2IM MSA: ‘2IM’] will be handled through the Change Control process;</w:t>
      </w:r>
      <w:r>
        <w:rPr>
          <w:highlight w:val="yellow"/>
        </w:rPr>
      </w:r>
      <w:r>
        <w:rPr/>
      </w:r>
      <w:r>
        <w:rPr>
          <w:highlight w:val="yellow"/>
        </w:rPr>
      </w:r>
      <w:r>
        <w:rPr/>
      </w:r>
    </w:p>
    <w:p>
      <w:pPr>
        <w:pStyle w:val="Normal"/>
        <w:ind w:hanging="720" w:start="720" w:end="0"/>
        <w:jc w:val="both"/>
        <w:rPr>
          <w:szCs w:val="22"/>
        </w:rPr>
      </w:pPr>
      <w:r>
        <w:rPr>
          <w:szCs w:val="22"/>
        </w:rPr>
      </w:r>
    </w:p>
    <w:p>
      <w:pPr>
        <w:pStyle w:val="Normal"/>
        <w:ind w:hanging="720" w:start="720" w:end="0"/>
        <w:jc w:val="both"/>
        <w:rPr/>
      </w:pPr>
      <w:r>
        <w:rPr>
          <w:szCs w:val="22"/>
        </w:rPr>
        <w:t>(f)</w:t>
        <w:tab/>
        <w:t>co-operating with its own external auditors and with EuroBank and EuroBank’s external auditors in connection with the delivery of the SAS 70 Type 2 Report referred to in sub-clause 9.12.1(e) and in respect of the implementation of the following:</w:t>
      </w:r>
    </w:p>
    <w:p>
      <w:pPr>
        <w:pStyle w:val="Normal"/>
        <w:ind w:hanging="720" w:start="720" w:end="0"/>
        <w:jc w:val="both"/>
        <w:rPr>
          <w:szCs w:val="22"/>
        </w:rPr>
      </w:pPr>
      <w:r>
        <w:rPr>
          <w:szCs w:val="22"/>
        </w:rPr>
      </w:r>
    </w:p>
    <w:p>
      <w:pPr>
        <w:pStyle w:val="Normal"/>
        <w:ind w:hanging="720" w:start="1440" w:end="0"/>
        <w:jc w:val="both"/>
        <w:rPr/>
      </w:pPr>
      <w:r>
        <w:rPr>
          <w:szCs w:val="22"/>
        </w:rPr>
        <w:t>(i)</w:t>
        <w:tab/>
        <w:t>any tests reasonably required to confirm that the Supplier Controls are operating effectively and to identify any deficiencies in the Supplier Controls, and</w:t>
      </w:r>
    </w:p>
    <w:p>
      <w:pPr>
        <w:pStyle w:val="Normal"/>
        <w:ind w:hanging="720" w:start="1440" w:end="0"/>
        <w:jc w:val="both"/>
        <w:rPr>
          <w:szCs w:val="22"/>
        </w:rPr>
      </w:pPr>
      <w:r>
        <w:rPr>
          <w:szCs w:val="22"/>
        </w:rPr>
      </w:r>
    </w:p>
    <w:p>
      <w:pPr>
        <w:pStyle w:val="Normal"/>
        <w:ind w:hanging="720" w:start="1440" w:end="0"/>
        <w:jc w:val="both"/>
        <w:rPr/>
      </w:pPr>
      <w:r>
        <w:rPr>
          <w:szCs w:val="22"/>
        </w:rPr>
        <w:t>(ii)</w:t>
        <w:tab/>
        <w:t>any corrective measures required to correct any deficiencies in Supplier Controls;</w:t>
      </w:r>
    </w:p>
    <w:p>
      <w:pPr>
        <w:pStyle w:val="Normal"/>
        <w:ind w:hanging="720" w:start="720" w:end="0"/>
        <w:jc w:val="both"/>
        <w:rPr>
          <w:szCs w:val="22"/>
        </w:rPr>
      </w:pPr>
      <w:r>
        <w:rPr>
          <w:szCs w:val="22"/>
        </w:rPr>
      </w:r>
    </w:p>
    <w:p>
      <w:pPr>
        <w:pStyle w:val="Normal"/>
        <w:ind w:hanging="720" w:start="720" w:end="0"/>
        <w:jc w:val="both"/>
        <w:rPr/>
      </w:pPr>
      <w:r>
        <w:rPr>
          <w:szCs w:val="22"/>
        </w:rPr>
        <w:t>(g)</w:t>
        <w:tab/>
        <w:t>promptly disclosing to EuroBank in writing any circumstances that existed during the period covered by any SAS 70 Type 2 report which should have been disclosed in such report but was not disclosed as well as any such circumstances occurring after each SAS 70 Type 2 report that could have a significant effect on EuroBank;</w:t>
      </w:r>
    </w:p>
    <w:p>
      <w:pPr>
        <w:pStyle w:val="Normal"/>
        <w:ind w:hanging="720" w:start="720" w:end="0"/>
        <w:jc w:val="both"/>
        <w:rPr>
          <w:szCs w:val="22"/>
        </w:rPr>
      </w:pPr>
      <w:r>
        <w:rPr>
          <w:szCs w:val="22"/>
        </w:rPr>
      </w:r>
    </w:p>
    <w:p>
      <w:pPr>
        <w:pStyle w:val="Normal"/>
        <w:ind w:hanging="720" w:start="720" w:end="0"/>
        <w:jc w:val="both"/>
        <w:rPr/>
      </w:pPr>
      <w:r>
        <w:rPr>
          <w:szCs w:val="22"/>
        </w:rPr>
        <w:t>(h)</w:t>
        <w:tab/>
        <w:t>promptly delivering to EuroBank a copy of any internal audit conducted by or on behalf of the PST Supplier in relation to compliance of the Services with the Control Rules (in addition to any Annual Audit Report); and</w:t>
      </w:r>
    </w:p>
    <w:p>
      <w:pPr>
        <w:pStyle w:val="Normal"/>
        <w:ind w:hanging="720" w:start="720" w:end="0"/>
        <w:jc w:val="both"/>
        <w:rPr>
          <w:szCs w:val="22"/>
        </w:rPr>
      </w:pPr>
      <w:r>
        <w:rPr>
          <w:szCs w:val="22"/>
        </w:rPr>
      </w:r>
    </w:p>
    <w:p>
      <w:pPr>
        <w:pStyle w:val="Normal"/>
        <w:ind w:hanging="720" w:start="720" w:end="0"/>
        <w:jc w:val="both"/>
        <w:rPr/>
      </w:pPr>
      <w:r>
        <w:rPr>
          <w:szCs w:val="22"/>
        </w:rPr>
        <w:t>(i)</w:t>
        <w:tab/>
        <w:t>co-operating with EuroBank and EuroBank’s Auditors and providing such information, access to records, documentation, data, premises and personnel as may be necessary for EuroBank’s Auditors to provide any reports required by the Control Rules (including cooperating in connection with any audit to be performed by EuroBank’s Auditors) in accordance with clauses 9.10 or 9.11.</w:t>
      </w:r>
    </w:p>
    <w:p>
      <w:pPr>
        <w:pStyle w:val="Normal"/>
        <w:jc w:val="both"/>
        <w:rPr>
          <w:szCs w:val="22"/>
        </w:rPr>
      </w:pPr>
      <w:r>
        <w:rPr>
          <w:szCs w:val="22"/>
        </w:rPr>
      </w:r>
    </w:p>
    <w:p>
      <w:pPr>
        <w:pStyle w:val="Normal"/>
        <w:jc w:val="both"/>
        <w:rPr/>
      </w:pPr>
      <w:r>
        <w:rPr>
          <w:szCs w:val="22"/>
        </w:rPr>
        <w:t>9.12.2</w:t>
        <w:tab/>
        <w:t>The PST Supplier shall procure that its Sub-Contractors shall comply with the provisions set forth in this clause 9.12.</w:t>
      </w:r>
    </w:p>
    <w:p>
      <w:pPr>
        <w:pStyle w:val="Normal"/>
        <w:jc w:val="both"/>
        <w:rPr>
          <w:szCs w:val="22"/>
        </w:rPr>
      </w:pPr>
      <w:r>
        <w:rPr>
          <w:szCs w:val="22"/>
        </w:rPr>
      </w:r>
    </w:p>
    <w:p>
      <w:pPr>
        <w:pStyle w:val="Normal"/>
        <w:jc w:val="both"/>
        <w:rPr/>
      </w:pPr>
      <w:r>
        <w:rPr>
          <w:szCs w:val="22"/>
        </w:rPr>
        <w:t>9.12.3</w:t>
        <w:tab/>
        <w:t>In no event shall the PST Supplier be obliged to certify EuroBank’s financial statements in connection with this MSA.</w:t>
      </w:r>
    </w:p>
    <w:p>
      <w:pPr>
        <w:pStyle w:val="Normal"/>
        <w:jc w:val="both"/>
        <w:rPr>
          <w:szCs w:val="22"/>
        </w:rPr>
      </w:pPr>
      <w:r>
        <w:rPr>
          <w:szCs w:val="22"/>
        </w:rPr>
      </w:r>
    </w:p>
    <w:p>
      <w:pPr>
        <w:pStyle w:val="Normal"/>
        <w:jc w:val="both"/>
        <w:rPr/>
      </w:pPr>
      <w:r>
        <w:rPr>
          <w:szCs w:val="22"/>
        </w:rPr>
        <w:t>9.12.4</w:t>
        <w:tab/>
        <w:t xml:space="preserve">The assistance to be provided by the PST Supplier under this clause 9.12 is included within the Base Charge unless such assistance goes beyond what is required to enable EuroBank and the relevant EuroBank Group members to comply with the Control Rules as they stand on the Effective Date. In such a case the costs of providing the additional assistance will be agreed pursuant to the Change Control Procedure. </w:t>
      </w:r>
    </w:p>
    <w:p>
      <w:pPr>
        <w:pStyle w:val="Normal"/>
        <w:jc w:val="both"/>
        <w:rPr>
          <w:szCs w:val="22"/>
        </w:rPr>
      </w:pPr>
      <w:r>
        <w:rPr>
          <w:szCs w:val="22"/>
        </w:rPr>
      </w:r>
      <w:bookmarkStart w:id="73" w:name="_Ref115147582"/>
      <w:bookmarkStart w:id="74" w:name="_Ref115147582"/>
    </w:p>
    <w:p>
      <w:pPr>
        <w:pStyle w:val="Heading1"/>
        <w:keepNext w:val="false"/>
        <w:keepLines w:val="false"/>
        <w:tabs>
          <w:tab w:val="clear" w:pos="720"/>
          <w:tab w:val="left" w:pos="360" w:leader="none"/>
        </w:tabs>
        <w:spacing w:before="240" w:after="240"/>
        <w:ind w:hanging="0" w:start="0"/>
        <w:jc w:val="center"/>
        <w:rPr/>
      </w:pPr>
      <w:bookmarkStart w:id="75" w:name="_Ref115147582"/>
      <w:r>
        <w:rPr>
          <w:rFonts w:cs="Arial" w:ascii="Times New Roman Bold;Times New Roman" w:hAnsi="Times New Roman Bold;Times New Roman"/>
          <w:bCs/>
          <w:kern w:val="2"/>
          <w:szCs w:val="22"/>
        </w:rPr>
        <w:t>10</w:t>
        <w:tab/>
        <w:t>INTELLECTUAL PROPERTY RIGHTS</w:t>
      </w:r>
      <w:bookmarkEnd w:id="75"/>
    </w:p>
    <w:p>
      <w:pPr>
        <w:pStyle w:val="Normal"/>
        <w:numPr>
          <w:ilvl w:val="1"/>
          <w:numId w:val="14"/>
        </w:numPr>
        <w:tabs>
          <w:tab w:val="clear" w:pos="720"/>
        </w:tabs>
        <w:spacing w:before="120" w:after="120"/>
        <w:ind w:hanging="0" w:start="0" w:end="0"/>
        <w:jc w:val="both"/>
        <w:rPr>
          <w:b/>
          <w:szCs w:val="22"/>
        </w:rPr>
      </w:pPr>
      <w:r>
        <w:rPr>
          <w:b/>
          <w:szCs w:val="22"/>
        </w:rPr>
        <w:t>General</w:t>
      </w:r>
    </w:p>
    <w:p>
      <w:pPr>
        <w:pStyle w:val="Normal"/>
        <w:jc w:val="both"/>
        <w:rPr>
          <w:szCs w:val="22"/>
        </w:rPr>
      </w:pPr>
      <w:r>
        <w:rPr>
          <w:szCs w:val="22"/>
        </w:rPr>
        <w:t>Except as expressly provided, nothing in this MSA or any LSA shall transfer, assign, license or otherwise grant any party any right or interest in any other party’s Intellectual Property Rights.</w:t>
      </w:r>
    </w:p>
    <w:p>
      <w:pPr>
        <w:pStyle w:val="Normal"/>
        <w:jc w:val="both"/>
        <w:rPr>
          <w:szCs w:val="22"/>
        </w:rPr>
      </w:pPr>
      <w:r>
        <w:rPr>
          <w:szCs w:val="22"/>
        </w:rPr>
      </w:r>
    </w:p>
    <w:p>
      <w:pPr>
        <w:pStyle w:val="Normal"/>
        <w:numPr>
          <w:ilvl w:val="1"/>
          <w:numId w:val="14"/>
        </w:numPr>
        <w:tabs>
          <w:tab w:val="clear" w:pos="720"/>
        </w:tabs>
        <w:spacing w:before="120" w:after="120"/>
        <w:ind w:hanging="0" w:start="0" w:end="0"/>
        <w:jc w:val="both"/>
        <w:rPr>
          <w:b/>
          <w:szCs w:val="22"/>
        </w:rPr>
      </w:pPr>
      <w:r>
        <w:rPr>
          <w:b/>
          <w:szCs w:val="22"/>
        </w:rPr>
        <w:t>EuroBank Materials and EuroBank Data</w:t>
      </w:r>
    </w:p>
    <w:p>
      <w:pPr>
        <w:pStyle w:val="Normal"/>
        <w:jc w:val="both"/>
        <w:rPr/>
      </w:pPr>
      <w:r>
        <w:rPr>
          <w:szCs w:val="22"/>
        </w:rPr>
        <w:t>10.2.1</w:t>
        <w:tab/>
        <w:t>EuroBank shall retain all Intellectual Property Rights in EuroBank Materials and EuroBank Data, including any modifications made to them by or on behalf of either party under this MSA.</w:t>
      </w:r>
    </w:p>
    <w:p>
      <w:pPr>
        <w:pStyle w:val="Normal"/>
        <w:jc w:val="both"/>
        <w:rPr>
          <w:szCs w:val="22"/>
        </w:rPr>
      </w:pPr>
      <w:r>
        <w:rPr>
          <w:szCs w:val="22"/>
        </w:rPr>
      </w:r>
      <w:bookmarkStart w:id="76" w:name="_Ref126732435"/>
      <w:bookmarkStart w:id="77" w:name="_Ref126732435"/>
    </w:p>
    <w:p>
      <w:pPr>
        <w:pStyle w:val="Normal"/>
        <w:jc w:val="both"/>
        <w:rPr/>
      </w:pPr>
      <w:r>
        <w:rPr>
          <w:szCs w:val="22"/>
        </w:rPr>
        <w:t>10.2.2</w:t>
        <w:tab/>
        <w:t>EuroBank grants the PST Supplier a limited, non-transferable, non-exclusive licence during the Term to use the EuroBank Materials and the EuroBank Data solely for the purpose of providing the Services.  The PST Supplier shall be entitled to sub-license the EuroBank Materials and the EuroBank Data to its Sub-Contractors solely for the purpose and to the extent necessary for each Sub-Contractor to fulfil its role in providing the Services.  The PST Supplier shall impose confidentiality restrictions and restrictions on the use of the EuroBank Materials and EuroBank Data which are no less stringent than those set out in this MSA.</w:t>
      </w:r>
      <w:bookmarkStart w:id="78" w:name="_Ref110833945"/>
      <w:r>
        <w:rPr>
          <w:szCs w:val="22"/>
        </w:rPr>
      </w:r>
      <w:bookmarkEnd w:id="78"/>
      <w:r>
        <w:rPr>
          <w:szCs w:val="22"/>
        </w:rPr>
      </w:r>
      <w:bookmarkEnd w:id="77"/>
      <w:r>
        <w:rPr>
          <w:szCs w:val="22"/>
        </w:rPr>
      </w:r>
    </w:p>
    <w:p>
      <w:pPr>
        <w:pStyle w:val="Normal"/>
        <w:jc w:val="both"/>
        <w:rPr>
          <w:szCs w:val="22"/>
        </w:rPr>
      </w:pPr>
      <w:r>
        <w:rPr>
          <w:szCs w:val="22"/>
        </w:rPr>
      </w:r>
    </w:p>
    <w:p>
      <w:pPr>
        <w:pStyle w:val="Normal"/>
        <w:jc w:val="both"/>
        <w:rPr/>
      </w:pPr>
      <w:r>
        <w:rPr>
          <w:szCs w:val="22"/>
        </w:rPr>
        <w:t>10.2.3</w:t>
        <w:tab/>
        <w:t>The PST Supplier may not use EuroBank Materials for any other purpose or grant any sub-licence with respect to the EuroBank Materials except as provided in clause 10.2.2.</w:t>
      </w:r>
    </w:p>
    <w:p>
      <w:pPr>
        <w:pStyle w:val="Normal"/>
        <w:jc w:val="both"/>
        <w:rPr>
          <w:szCs w:val="22"/>
        </w:rPr>
      </w:pPr>
      <w:r>
        <w:rPr>
          <w:szCs w:val="22"/>
        </w:rPr>
      </w:r>
    </w:p>
    <w:p>
      <w:pPr>
        <w:pStyle w:val="Normal"/>
        <w:jc w:val="both"/>
        <w:rPr/>
      </w:pPr>
      <w:r>
        <w:rPr>
          <w:szCs w:val="22"/>
        </w:rPr>
        <w:t>10.2.4</w:t>
        <w:tab/>
        <w:t>The PST Supplier shall not, and shall procure that its Affiliates and the Sub-Contractors do not:</w:t>
      </w:r>
    </w:p>
    <w:p>
      <w:pPr>
        <w:pStyle w:val="Normal"/>
        <w:jc w:val="both"/>
        <w:rPr>
          <w:szCs w:val="22"/>
        </w:rPr>
      </w:pPr>
      <w:r>
        <w:rPr>
          <w:szCs w:val="22"/>
        </w:rPr>
      </w:r>
    </w:p>
    <w:p>
      <w:pPr>
        <w:pStyle w:val="Normal"/>
        <w:ind w:hanging="720" w:start="720" w:end="0"/>
        <w:jc w:val="both"/>
        <w:rPr/>
      </w:pPr>
      <w:r>
        <w:rPr>
          <w:szCs w:val="22"/>
        </w:rPr>
        <w:t>(a)</w:t>
        <w:tab/>
        <w:t>make back-up copies of EuroBank Materials or EuroBank Data, or use or access the source code versions of EuroBank Materials, except as necessary for the performance of the Services or as permitted by Applicable Law;</w:t>
      </w:r>
    </w:p>
    <w:p>
      <w:pPr>
        <w:pStyle w:val="Normal"/>
        <w:ind w:hanging="720" w:start="720" w:end="0"/>
        <w:jc w:val="both"/>
        <w:rPr>
          <w:szCs w:val="22"/>
        </w:rPr>
      </w:pPr>
      <w:r>
        <w:rPr>
          <w:szCs w:val="22"/>
        </w:rPr>
      </w:r>
    </w:p>
    <w:p>
      <w:pPr>
        <w:pStyle w:val="Normal"/>
        <w:ind w:hanging="720" w:start="720" w:end="0"/>
        <w:jc w:val="both"/>
        <w:rPr/>
      </w:pPr>
      <w:r>
        <w:rPr>
          <w:szCs w:val="22"/>
        </w:rPr>
        <w:t>(b)</w:t>
        <w:tab/>
        <w:t>assign, transfer, sell, rent or otherwise deal in or encumber EuroBank Materials or EuroBank Data, or use EuroBank Materials or EuroBank Data for the benefit of, or on behalf of, a third party, or make EuroBank Materials or EuroBank Data available to a third party;</w:t>
      </w:r>
    </w:p>
    <w:p>
      <w:pPr>
        <w:pStyle w:val="Normal"/>
        <w:ind w:hanging="720" w:start="720" w:end="0"/>
        <w:jc w:val="both"/>
        <w:rPr>
          <w:szCs w:val="22"/>
        </w:rPr>
      </w:pPr>
      <w:r>
        <w:rPr>
          <w:szCs w:val="22"/>
        </w:rPr>
      </w:r>
    </w:p>
    <w:p>
      <w:pPr>
        <w:pStyle w:val="Normal"/>
        <w:ind w:hanging="720" w:start="720" w:end="0"/>
        <w:jc w:val="both"/>
        <w:rPr>
          <w:szCs w:val="22"/>
        </w:rPr>
      </w:pPr>
      <w:r>
        <w:rPr>
          <w:szCs w:val="22"/>
        </w:rPr>
        <w:t>(c)</w:t>
        <w:tab/>
        <w:t>make modifications to EuroBank Materials or EuroBank Data without EuroBank’s prior written consent; or</w:t>
      </w:r>
    </w:p>
    <w:p>
      <w:pPr>
        <w:pStyle w:val="Normal"/>
        <w:ind w:hanging="720" w:start="720" w:end="0"/>
        <w:jc w:val="both"/>
        <w:rPr>
          <w:szCs w:val="22"/>
        </w:rPr>
      </w:pPr>
      <w:r>
        <w:rPr>
          <w:szCs w:val="22"/>
        </w:rPr>
      </w:r>
    </w:p>
    <w:p>
      <w:pPr>
        <w:pStyle w:val="Normal"/>
        <w:ind w:hanging="720" w:start="720" w:end="0"/>
        <w:jc w:val="both"/>
        <w:rPr>
          <w:szCs w:val="22"/>
        </w:rPr>
      </w:pPr>
      <w:r>
        <w:rPr>
          <w:szCs w:val="22"/>
        </w:rPr>
        <w:t>(d)</w:t>
        <w:tab/>
        <w:t>remove or alter any copyright or other proprietary notice on any of EuroBank Materials or EuroBank Data made available to the PST Supplier by EuroBank.</w:t>
      </w:r>
    </w:p>
    <w:p>
      <w:pPr>
        <w:pStyle w:val="Normal"/>
        <w:jc w:val="both"/>
        <w:rPr>
          <w:szCs w:val="22"/>
        </w:rPr>
      </w:pPr>
      <w:r>
        <w:rPr>
          <w:szCs w:val="22"/>
        </w:rPr>
      </w:r>
    </w:p>
    <w:p>
      <w:pPr>
        <w:pStyle w:val="Normal"/>
        <w:numPr>
          <w:ilvl w:val="1"/>
          <w:numId w:val="14"/>
        </w:numPr>
        <w:tabs>
          <w:tab w:val="clear" w:pos="720"/>
        </w:tabs>
        <w:spacing w:before="120" w:after="120"/>
        <w:ind w:hanging="0" w:start="0" w:end="0"/>
        <w:jc w:val="both"/>
        <w:rPr>
          <w:b/>
          <w:szCs w:val="22"/>
        </w:rPr>
      </w:pPr>
      <w:r>
        <w:rPr>
          <w:b/>
          <w:szCs w:val="22"/>
        </w:rPr>
        <w:t>PST Supplier Materials</w:t>
      </w:r>
    </w:p>
    <w:p>
      <w:pPr>
        <w:pStyle w:val="Normal"/>
        <w:jc w:val="both"/>
        <w:rPr/>
      </w:pPr>
      <w:r>
        <w:rPr>
          <w:szCs w:val="22"/>
        </w:rPr>
        <w:t>10.3.1</w:t>
        <w:tab/>
        <w:t>The PST Supplier shall retain all Intellectual Property Rights in the PST Supplier Materials, including any modifications or enhancements made to them and derivative works thereof made by or on behalf of a party under this MSA.  Where any PST Supplier Materials are incorporated into any Deliverable, the provisions of clause 10.4 shall apply.</w:t>
      </w:r>
    </w:p>
    <w:p>
      <w:pPr>
        <w:pStyle w:val="Normal"/>
        <w:jc w:val="both"/>
        <w:rPr>
          <w:szCs w:val="22"/>
        </w:rPr>
      </w:pPr>
      <w:r>
        <w:rPr>
          <w:szCs w:val="22"/>
        </w:rPr>
      </w:r>
    </w:p>
    <w:p>
      <w:pPr>
        <w:pStyle w:val="Normal"/>
        <w:jc w:val="both"/>
        <w:rPr/>
      </w:pPr>
      <w:r>
        <w:rPr>
          <w:szCs w:val="22"/>
        </w:rPr>
        <w:t>10.3.2</w:t>
        <w:tab/>
        <w:t xml:space="preserve">The PST Supplier grants EuroBank a royalty-free, non-exclusive, perpetual, irrevocable, non-transferable licence: </w:t>
      </w:r>
    </w:p>
    <w:p>
      <w:pPr>
        <w:pStyle w:val="Normal"/>
        <w:jc w:val="both"/>
        <w:rPr>
          <w:szCs w:val="22"/>
        </w:rPr>
      </w:pPr>
      <w:r>
        <w:rPr>
          <w:szCs w:val="22"/>
        </w:rPr>
      </w:r>
      <w:bookmarkStart w:id="79" w:name="_Ref110833308"/>
      <w:bookmarkStart w:id="80" w:name="_Ref110833308"/>
    </w:p>
    <w:p>
      <w:pPr>
        <w:pStyle w:val="Normal"/>
        <w:ind w:hanging="720" w:start="720" w:end="0"/>
        <w:jc w:val="both"/>
        <w:rPr/>
      </w:pPr>
      <w:bookmarkStart w:id="81" w:name="_Ref110833308"/>
      <w:r>
        <w:rPr>
          <w:szCs w:val="22"/>
        </w:rPr>
        <w:t>(a)</w:t>
        <w:tab/>
        <w:t>to use and copy the PST Supplier Materials during the Term for the purpose of receiving the Services or exercising its rights under this MSA;</w:t>
      </w:r>
      <w:bookmarkEnd w:id="81"/>
      <w:r>
        <w:rPr>
          <w:szCs w:val="22"/>
        </w:rPr>
        <w:t xml:space="preserve"> and</w:t>
      </w:r>
    </w:p>
    <w:p>
      <w:pPr>
        <w:pStyle w:val="Normal"/>
        <w:ind w:hanging="720" w:start="720" w:end="0"/>
        <w:jc w:val="both"/>
        <w:rPr>
          <w:szCs w:val="22"/>
        </w:rPr>
      </w:pPr>
      <w:r>
        <w:rPr>
          <w:szCs w:val="22"/>
        </w:rPr>
      </w:r>
      <w:bookmarkStart w:id="82" w:name="_Ref110833328"/>
      <w:bookmarkStart w:id="83" w:name="_Ref110833328"/>
    </w:p>
    <w:p>
      <w:pPr>
        <w:pStyle w:val="Normal"/>
        <w:ind w:hanging="720" w:start="720" w:end="0"/>
        <w:jc w:val="both"/>
        <w:rPr/>
      </w:pPr>
      <w:bookmarkStart w:id="84" w:name="_Ref110833328"/>
      <w:r>
        <w:rPr>
          <w:szCs w:val="22"/>
        </w:rPr>
        <w:t>(b)</w:t>
        <w:tab/>
        <w:t>to use and copy, throughout the Exit Period the PST Supplier Materials for the purpose of arranging for the receipt of services replacing the Services and or exercising any rights surviving under this MSA.</w:t>
      </w:r>
      <w:bookmarkEnd w:id="84"/>
    </w:p>
    <w:p>
      <w:pPr>
        <w:pStyle w:val="Normal"/>
        <w:jc w:val="both"/>
        <w:rPr>
          <w:szCs w:val="22"/>
        </w:rPr>
      </w:pPr>
      <w:r>
        <w:rPr>
          <w:szCs w:val="22"/>
        </w:rPr>
      </w:r>
    </w:p>
    <w:p>
      <w:pPr>
        <w:pStyle w:val="Normal"/>
        <w:jc w:val="both"/>
        <w:rPr/>
      </w:pPr>
      <w:r>
        <w:rPr>
          <w:szCs w:val="22"/>
        </w:rPr>
        <w:t>10.3.3</w:t>
        <w:tab/>
        <w:t xml:space="preserve">The parties will mutually agree on any applicable terms for the PST Supplier’s support of PST Supplier Materials after termination or expiry of this MSA for PST Supplier Materials which are licensed beyond the Term pursuant to clause 10.4, provided that these terms will be consistent with EuroBank’s “most favoured customer” status detailed in clause 5. </w:t>
      </w:r>
    </w:p>
    <w:p>
      <w:pPr>
        <w:pStyle w:val="Normal"/>
        <w:jc w:val="both"/>
        <w:rPr>
          <w:szCs w:val="22"/>
        </w:rPr>
      </w:pPr>
      <w:r>
        <w:rPr>
          <w:szCs w:val="22"/>
        </w:rPr>
      </w:r>
      <w:bookmarkStart w:id="85" w:name="_Ref119321280"/>
      <w:bookmarkStart w:id="86" w:name="_Ref119321280"/>
    </w:p>
    <w:p>
      <w:pPr>
        <w:pStyle w:val="Normal"/>
        <w:numPr>
          <w:ilvl w:val="1"/>
          <w:numId w:val="14"/>
        </w:numPr>
        <w:tabs>
          <w:tab w:val="clear" w:pos="720"/>
        </w:tabs>
        <w:spacing w:before="120" w:after="120"/>
        <w:ind w:hanging="0" w:start="0" w:end="0"/>
        <w:jc w:val="both"/>
        <w:rPr>
          <w:b/>
          <w:szCs w:val="22"/>
        </w:rPr>
      </w:pPr>
      <w:bookmarkStart w:id="87" w:name="_Ref119321280"/>
      <w:r>
        <w:rPr>
          <w:b/>
          <w:szCs w:val="22"/>
        </w:rPr>
        <w:t>Deliverables</w:t>
      </w:r>
      <w:bookmarkEnd w:id="87"/>
      <w:r>
        <w:rPr>
          <w:b/>
          <w:szCs w:val="22"/>
        </w:rPr>
        <w:t xml:space="preserve"> </w:t>
      </w:r>
    </w:p>
    <w:p>
      <w:pPr>
        <w:pStyle w:val="Normal"/>
        <w:jc w:val="both"/>
        <w:rPr/>
      </w:pPr>
      <w:bookmarkStart w:id="88" w:name="_Ref110835511"/>
      <w:r>
        <w:rPr>
          <w:szCs w:val="22"/>
        </w:rPr>
        <w:t>10.4.1</w:t>
        <w:tab/>
        <w:t>Subject to the Acceptance of the relevant Deliverable (or any part thereof):</w:t>
      </w:r>
      <w:bookmarkEnd w:id="88"/>
    </w:p>
    <w:p>
      <w:pPr>
        <w:pStyle w:val="Normal"/>
        <w:jc w:val="both"/>
        <w:rPr>
          <w:szCs w:val="22"/>
        </w:rPr>
      </w:pPr>
      <w:r>
        <w:rPr>
          <w:szCs w:val="22"/>
        </w:rPr>
      </w:r>
    </w:p>
    <w:p>
      <w:pPr>
        <w:pStyle w:val="Normal"/>
        <w:ind w:hanging="720" w:start="720" w:end="0"/>
        <w:jc w:val="both"/>
        <w:rPr/>
      </w:pPr>
      <w:r>
        <w:rPr>
          <w:szCs w:val="22"/>
        </w:rPr>
        <w:t>(a)</w:t>
        <w:tab/>
        <w:t>EuroBank shall own all Intellectual Property Rights in each Deliverable, excluding any PST Supplier Materials or Third Party Materials forming part of the Deliverable;</w:t>
      </w:r>
    </w:p>
    <w:p>
      <w:pPr>
        <w:pStyle w:val="Normal"/>
        <w:ind w:hanging="720" w:start="720" w:end="0"/>
        <w:jc w:val="both"/>
        <w:rPr>
          <w:szCs w:val="22"/>
        </w:rPr>
      </w:pPr>
      <w:r>
        <w:rPr>
          <w:szCs w:val="22"/>
        </w:rPr>
      </w:r>
    </w:p>
    <w:p>
      <w:pPr>
        <w:pStyle w:val="Normal"/>
        <w:ind w:hanging="720" w:start="720" w:end="0"/>
        <w:jc w:val="both"/>
        <w:rPr/>
      </w:pPr>
      <w:r>
        <w:rPr>
          <w:szCs w:val="22"/>
        </w:rPr>
        <w:t>(b)</w:t>
        <w:tab/>
        <w:t>the PST Supplier shall irrevocably assign the Intellectual Property Rights referred to in clause 10.4.1(a) in the Deliverables on creation to EuroBank with full title guarantee, at no cost to EuroBank and without imposing any further conditions; and</w:t>
      </w:r>
    </w:p>
    <w:p>
      <w:pPr>
        <w:pStyle w:val="Normal"/>
        <w:ind w:hanging="720" w:start="720" w:end="0"/>
        <w:jc w:val="both"/>
        <w:rPr>
          <w:szCs w:val="22"/>
        </w:rPr>
      </w:pPr>
      <w:r>
        <w:rPr>
          <w:szCs w:val="22"/>
        </w:rPr>
      </w:r>
    </w:p>
    <w:p>
      <w:pPr>
        <w:pStyle w:val="Normal"/>
        <w:ind w:hanging="720" w:start="720" w:end="0"/>
        <w:jc w:val="both"/>
        <w:rPr/>
      </w:pPr>
      <w:r>
        <w:rPr>
          <w:szCs w:val="22"/>
        </w:rPr>
        <w:t>(c)</w:t>
        <w:tab/>
        <w:t>the PST Supplier shall provide assistance and execute all documents necessary to perfect EuroBank’s title to the Deliverables under this clause.</w:t>
      </w:r>
    </w:p>
    <w:p>
      <w:pPr>
        <w:pStyle w:val="Normal"/>
        <w:jc w:val="both"/>
        <w:rPr>
          <w:szCs w:val="22"/>
        </w:rPr>
      </w:pPr>
      <w:r>
        <w:rPr>
          <w:szCs w:val="22"/>
        </w:rPr>
      </w:r>
      <w:bookmarkStart w:id="89" w:name="_Ref110828553"/>
      <w:bookmarkStart w:id="90" w:name="_Ref110828553"/>
      <w:bookmarkEnd w:id="90"/>
    </w:p>
    <w:p>
      <w:pPr>
        <w:pStyle w:val="Normal"/>
        <w:jc w:val="both"/>
        <w:rPr/>
      </w:pPr>
      <w:r>
        <w:rPr>
          <w:szCs w:val="22"/>
        </w:rPr>
        <w:t>10.4.2</w:t>
        <w:tab/>
        <w:t>Where the PST Supplier proposes to incorporate any PST Supplier Materials or Third Party Materials into a Deliverable which is software or an enhancement of software, the PST Supplier shall notify EuroBank of this fact in writing prior to incorporating the materials into the Deliverable and the parties shall then agree whether or not the Deliverable shall be prepared on this basis.  Where any PST Supplier Materials or Third Party Materials are incorporated into any Deliverable, then (unless the parties expressly agrees otherwise in writing) the PST Supplier grants (or shall procure the grant) to EuroBank of a royalty-free, non-exclusive, perpetual, irrevocable licence:</w:t>
      </w:r>
    </w:p>
    <w:p>
      <w:pPr>
        <w:pStyle w:val="Normal"/>
        <w:jc w:val="both"/>
        <w:rPr>
          <w:szCs w:val="22"/>
        </w:rPr>
      </w:pPr>
      <w:r>
        <w:rPr>
          <w:szCs w:val="22"/>
        </w:rPr>
      </w:r>
    </w:p>
    <w:p>
      <w:pPr>
        <w:pStyle w:val="Normal"/>
        <w:ind w:hanging="720" w:start="720" w:end="0"/>
        <w:jc w:val="both"/>
        <w:rPr/>
      </w:pPr>
      <w:bookmarkStart w:id="91" w:name="_Ref110835141"/>
      <w:r>
        <w:rPr>
          <w:szCs w:val="22"/>
        </w:rPr>
        <w:t>(a)</w:t>
        <w:tab/>
        <w:t>to use, operate, copy, modify, adapt and decompile the relevant PST Supplier Materials and Third Party Materials, insofar as is required for EuroBank’s internal business purposes and the purposes of this MSA; and</w:t>
      </w:r>
      <w:bookmarkEnd w:id="91"/>
      <w:r>
        <w:rPr>
          <w:szCs w:val="22"/>
        </w:rPr>
      </w:r>
    </w:p>
    <w:p>
      <w:pPr>
        <w:pStyle w:val="Normal"/>
        <w:ind w:hanging="720" w:start="720" w:end="0"/>
        <w:jc w:val="both"/>
        <w:rPr>
          <w:szCs w:val="22"/>
        </w:rPr>
      </w:pPr>
      <w:r>
        <w:rPr>
          <w:szCs w:val="22"/>
        </w:rPr>
      </w:r>
    </w:p>
    <w:p>
      <w:pPr>
        <w:pStyle w:val="Normal"/>
        <w:ind w:hanging="720" w:start="720" w:end="0"/>
        <w:jc w:val="both"/>
        <w:rPr/>
      </w:pPr>
      <w:r>
        <w:rPr>
          <w:szCs w:val="22"/>
        </w:rPr>
        <w:t>(b)</w:t>
        <w:tab/>
        <w:t>to permit members of the EuroBank Group and the Incoming PST Supplier to do the things referred to in (a) above.</w:t>
      </w:r>
    </w:p>
    <w:p>
      <w:pPr>
        <w:pStyle w:val="Normal"/>
        <w:jc w:val="both"/>
        <w:rPr>
          <w:szCs w:val="22"/>
        </w:rPr>
      </w:pPr>
      <w:r>
        <w:rPr>
          <w:szCs w:val="22"/>
        </w:rPr>
      </w:r>
    </w:p>
    <w:p>
      <w:pPr>
        <w:pStyle w:val="Normal"/>
        <w:jc w:val="both"/>
        <w:rPr>
          <w:szCs w:val="22"/>
        </w:rPr>
      </w:pPr>
      <w:r>
        <w:rPr>
          <w:szCs w:val="22"/>
        </w:rPr>
        <w:t xml:space="preserve">in each case, both during and after the Term. </w:t>
      </w:r>
    </w:p>
    <w:p>
      <w:pPr>
        <w:pStyle w:val="Normal"/>
        <w:jc w:val="both"/>
        <w:rPr>
          <w:szCs w:val="22"/>
        </w:rPr>
      </w:pPr>
      <w:r>
        <w:rPr>
          <w:szCs w:val="22"/>
        </w:rPr>
      </w:r>
    </w:p>
    <w:p>
      <w:pPr>
        <w:pStyle w:val="Normal"/>
        <w:jc w:val="both"/>
        <w:rPr/>
      </w:pPr>
      <w:r>
        <w:rPr>
          <w:szCs w:val="22"/>
        </w:rPr>
        <w:t>10.4.3</w:t>
        <w:tab/>
        <w:t>The PST Supplier shall, as soon as reasonably practicable following a request by EuroBank, deliver a copy of the Deliverables referred to in clauses 10.4.1 and 10.4.2. including any source code, provided that where the PST Supplier has obtained EuroBank’s prior written consent to incorporating PST Supplier Materials or Third Party Materials for which the PST Supplier has notified EuroBank that the source code will not be available to EuroBank, the PST Supplier having made best endeavours to do so, then (subject to any obligation pursuant to clause 10.6 to place such source codes in escrow) the PST Supplier will not be obliged to make such source code available.</w:t>
      </w:r>
    </w:p>
    <w:p>
      <w:pPr>
        <w:pStyle w:val="Normal"/>
        <w:jc w:val="both"/>
        <w:rPr>
          <w:szCs w:val="22"/>
        </w:rPr>
      </w:pPr>
      <w:r>
        <w:rPr>
          <w:szCs w:val="22"/>
        </w:rPr>
      </w:r>
    </w:p>
    <w:p>
      <w:pPr>
        <w:pStyle w:val="Normal"/>
        <w:jc w:val="both"/>
        <w:rPr/>
      </w:pPr>
      <w:r>
        <w:rPr>
          <w:szCs w:val="22"/>
        </w:rPr>
        <w:t>10.4.4</w:t>
        <w:tab/>
        <w:t>The PST Supplier shall only use Deliverables for the purpose and to the extent necessary to provide the Services in accordance with this MSA.  This obligation does not extend to PST Supplier Materials or Third Party Materials incorporated into the Deliverables.</w:t>
      </w:r>
    </w:p>
    <w:p>
      <w:pPr>
        <w:pStyle w:val="Normal"/>
        <w:jc w:val="both"/>
        <w:rPr>
          <w:szCs w:val="22"/>
        </w:rPr>
      </w:pPr>
      <w:r>
        <w:rPr>
          <w:szCs w:val="22"/>
        </w:rPr>
      </w:r>
      <w:bookmarkStart w:id="92" w:name="_Ref110828553"/>
      <w:bookmarkStart w:id="93" w:name="_Ref110828553"/>
      <w:bookmarkEnd w:id="93"/>
    </w:p>
    <w:p>
      <w:pPr>
        <w:pStyle w:val="Normal"/>
        <w:numPr>
          <w:ilvl w:val="1"/>
          <w:numId w:val="14"/>
        </w:numPr>
        <w:tabs>
          <w:tab w:val="clear" w:pos="720"/>
        </w:tabs>
        <w:spacing w:before="120" w:after="120"/>
        <w:ind w:hanging="0" w:start="0" w:end="0"/>
        <w:jc w:val="both"/>
        <w:rPr>
          <w:b/>
          <w:szCs w:val="22"/>
        </w:rPr>
      </w:pPr>
      <w:r>
        <w:rPr>
          <w:b/>
          <w:szCs w:val="22"/>
        </w:rPr>
        <w:t>Third Party Materials</w:t>
      </w:r>
    </w:p>
    <w:p>
      <w:pPr>
        <w:pStyle w:val="Normal"/>
        <w:jc w:val="both"/>
        <w:rPr/>
      </w:pPr>
      <w:r>
        <w:rPr>
          <w:szCs w:val="22"/>
        </w:rPr>
        <w:t>10.5.1</w:t>
        <w:tab/>
        <w:t>With respect to the Third Party Materials used in providing the Services, the PST Supplier will do the following:</w:t>
      </w:r>
    </w:p>
    <w:p>
      <w:pPr>
        <w:pStyle w:val="Normal"/>
        <w:jc w:val="both"/>
        <w:rPr>
          <w:szCs w:val="22"/>
        </w:rPr>
      </w:pPr>
      <w:r>
        <w:rPr>
          <w:szCs w:val="22"/>
        </w:rPr>
      </w:r>
    </w:p>
    <w:p>
      <w:pPr>
        <w:pStyle w:val="Normal"/>
        <w:ind w:hanging="720" w:start="720" w:end="0"/>
        <w:jc w:val="both"/>
        <w:rPr/>
      </w:pPr>
      <w:r>
        <w:rPr>
          <w:szCs w:val="22"/>
        </w:rPr>
        <w:t>(a)</w:t>
        <w:tab/>
        <w:t>procure the grant to EuroBank of any and all licences necessary to provide the Services to EuroBank and for EuroBank and the EuroBank Group members to receive the Services in accordance with this MSA;</w:t>
      </w:r>
    </w:p>
    <w:p>
      <w:pPr>
        <w:pStyle w:val="Normal"/>
        <w:ind w:hanging="720" w:start="720" w:end="0"/>
        <w:jc w:val="both"/>
        <w:rPr>
          <w:szCs w:val="22"/>
        </w:rPr>
      </w:pPr>
      <w:r>
        <w:rPr>
          <w:szCs w:val="22"/>
        </w:rPr>
      </w:r>
    </w:p>
    <w:p>
      <w:pPr>
        <w:pStyle w:val="Normal"/>
        <w:ind w:hanging="720" w:start="720" w:end="0"/>
        <w:jc w:val="both"/>
        <w:rPr/>
      </w:pPr>
      <w:r>
        <w:rPr>
          <w:szCs w:val="22"/>
        </w:rPr>
        <w:t>(b)</w:t>
        <w:tab/>
        <w:t xml:space="preserve">where requested by EuroBank and where reasonably practicable to do so, procure, at EuroBank’s cost if applicable, the grant to EuroBank and its designees for the purpose of providing services replacing the Services to EuroBank and each EuroBank Group member, with effect upon the expiration or any whole or partial termination of this MSA, a licence to use the Third Party Materials on the same terms and conditions as agreed between PST Supplier and the relevant licensor; </w:t>
      </w:r>
    </w:p>
    <w:p>
      <w:pPr>
        <w:pStyle w:val="Normal"/>
        <w:ind w:hanging="720" w:start="720" w:end="0"/>
        <w:jc w:val="both"/>
        <w:rPr>
          <w:szCs w:val="22"/>
        </w:rPr>
      </w:pPr>
      <w:r>
        <w:rPr>
          <w:szCs w:val="22"/>
        </w:rPr>
      </w:r>
    </w:p>
    <w:p>
      <w:pPr>
        <w:pStyle w:val="Normal"/>
        <w:ind w:hanging="720" w:start="720" w:end="0"/>
        <w:jc w:val="both"/>
        <w:rPr/>
      </w:pPr>
      <w:r>
        <w:rPr>
          <w:szCs w:val="22"/>
        </w:rPr>
        <w:t>(c)</w:t>
        <w:tab/>
        <w:t>where requested by EuroBank, verify that EuroBank and its designees for the purpose of providing services replacing the Services to EuroBank have the right to purchase ongoing maintenance and support for such  Third Party Materials on commercially reasonable terms; and</w:t>
      </w:r>
    </w:p>
    <w:p>
      <w:pPr>
        <w:pStyle w:val="Normal"/>
        <w:ind w:hanging="720" w:start="720" w:end="0"/>
        <w:jc w:val="both"/>
        <w:rPr>
          <w:szCs w:val="22"/>
        </w:rPr>
      </w:pPr>
      <w:r>
        <w:rPr>
          <w:szCs w:val="22"/>
        </w:rPr>
      </w:r>
    </w:p>
    <w:p>
      <w:pPr>
        <w:pStyle w:val="Normal"/>
        <w:ind w:hanging="720" w:start="720" w:end="0"/>
        <w:jc w:val="both"/>
        <w:rPr/>
      </w:pPr>
      <w:r>
        <w:rPr>
          <w:szCs w:val="22"/>
        </w:rPr>
        <w:t>(d)</w:t>
        <w:tab/>
        <w:t>where requested by EuroBank, use best endeavours to ensure that the relevant licensors of such Third Party Materials place the source codes relating to the Third Party Materials in escrow on terms substantially the same as those of the agreed form set out in Exhibit 35 (Source Code Escrow Agreement Template).</w:t>
      </w:r>
      <w:r>
        <w:rPr>
          <w:i/>
          <w:szCs w:val="22"/>
        </w:rPr>
      </w:r>
      <w:r>
        <w:rPr>
          <w:szCs w:val="22"/>
        </w:rPr>
      </w:r>
    </w:p>
    <w:p>
      <w:pPr>
        <w:pStyle w:val="Normal"/>
        <w:jc w:val="both"/>
        <w:rPr>
          <w:szCs w:val="22"/>
        </w:rPr>
      </w:pPr>
      <w:r>
        <w:rPr>
          <w:szCs w:val="22"/>
        </w:rPr>
      </w:r>
    </w:p>
    <w:p>
      <w:pPr>
        <w:pStyle w:val="Normal"/>
        <w:jc w:val="both"/>
        <w:rPr>
          <w:szCs w:val="22"/>
        </w:rPr>
      </w:pPr>
      <w:r>
        <w:rPr>
          <w:szCs w:val="22"/>
        </w:rPr>
        <w:t>10.5.2</w:t>
        <w:tab/>
        <w:t>The PST Supplier will provide EuroBank all data related to EuroBank’s use of Third Party Materials for which EuroBank owns the licences, which is required by EuroBank to ensure its compliance with the terms of the licences.</w:t>
      </w:r>
    </w:p>
    <w:p>
      <w:pPr>
        <w:pStyle w:val="Normal"/>
        <w:jc w:val="both"/>
        <w:rPr>
          <w:szCs w:val="22"/>
        </w:rPr>
      </w:pPr>
      <w:r>
        <w:rPr>
          <w:szCs w:val="22"/>
        </w:rPr>
      </w:r>
    </w:p>
    <w:p>
      <w:pPr>
        <w:pStyle w:val="Normal"/>
        <w:numPr>
          <w:ilvl w:val="1"/>
          <w:numId w:val="14"/>
        </w:numPr>
        <w:tabs>
          <w:tab w:val="clear" w:pos="720"/>
        </w:tabs>
        <w:spacing w:before="120" w:after="120"/>
        <w:ind w:hanging="0" w:start="0" w:end="0"/>
        <w:jc w:val="both"/>
        <w:rPr>
          <w:b/>
          <w:szCs w:val="22"/>
        </w:rPr>
      </w:pPr>
      <w:r>
        <w:rPr>
          <w:b/>
          <w:szCs w:val="22"/>
        </w:rPr>
        <w:t>Source code escrow</w:t>
      </w:r>
    </w:p>
    <w:p>
      <w:pPr>
        <w:pStyle w:val="Normal"/>
        <w:jc w:val="both"/>
        <w:rPr>
          <w:szCs w:val="22"/>
        </w:rPr>
      </w:pPr>
      <w:r>
        <w:rPr>
          <w:szCs w:val="22"/>
        </w:rPr>
        <w:t>The PST Supplier shall, within 30 days of an EuroBank request to that effect, execute and deliver a Source Code Escrow Agreement in the agreed form set out in Exhibit 35 (Source Code Escrow Agreement Template).  Each party shall comply with its obligations under the Source Code Escrow Agreement. The PST Supplier shall, at EuroBank’s request and EuroBank’s expense from time to time, procure that computer source codes for PST Supplier Materials and Third Party Materials are placed in escrow and updated in accordance with the terms of the Source Code Escrow Agreement.</w:t>
      </w:r>
      <w:r>
        <w:rPr>
          <w:i/>
          <w:szCs w:val="22"/>
        </w:rPr>
      </w:r>
      <w:r>
        <w:rPr>
          <w:szCs w:val="22"/>
        </w:rPr>
      </w:r>
    </w:p>
    <w:p>
      <w:pPr>
        <w:pStyle w:val="Normal"/>
        <w:jc w:val="both"/>
        <w:rPr>
          <w:szCs w:val="22"/>
        </w:rPr>
      </w:pPr>
      <w:r>
        <w:rPr>
          <w:szCs w:val="22"/>
        </w:rPr>
      </w:r>
    </w:p>
    <w:p>
      <w:pPr>
        <w:pStyle w:val="Normal"/>
        <w:numPr>
          <w:ilvl w:val="1"/>
          <w:numId w:val="14"/>
        </w:numPr>
        <w:tabs>
          <w:tab w:val="clear" w:pos="720"/>
        </w:tabs>
        <w:spacing w:before="120" w:after="120"/>
        <w:ind w:hanging="0" w:start="0" w:end="0"/>
        <w:jc w:val="both"/>
        <w:rPr>
          <w:b/>
          <w:szCs w:val="22"/>
        </w:rPr>
      </w:pPr>
      <w:bookmarkStart w:id="94" w:name="_Ref135805512"/>
      <w:r>
        <w:rPr>
          <w:b/>
          <w:szCs w:val="22"/>
        </w:rPr>
        <w:t xml:space="preserve">EuroBank’s IPR infringement indemnity </w:t>
      </w:r>
      <w:bookmarkEnd w:id="94"/>
      <w:r>
        <w:rPr>
          <w:b/>
          <w:szCs w:val="22"/>
        </w:rPr>
      </w:r>
    </w:p>
    <w:p>
      <w:pPr>
        <w:pStyle w:val="Normal"/>
        <w:jc w:val="both"/>
        <w:rPr>
          <w:szCs w:val="22"/>
        </w:rPr>
      </w:pPr>
      <w:bookmarkStart w:id="95" w:name="_Ref135804408"/>
      <w:r>
        <w:rPr>
          <w:szCs w:val="22"/>
        </w:rPr>
        <w:t>10.7.1</w:t>
        <w:tab/>
        <w:t xml:space="preserve">The PST Supplier shall indemnify EuroBank and each EuroBank Group member on demand against all loss or damage suffered or incurred by any of them as a result of any actual or alleged infringement of any Intellectual Property Right in connection with the receipt of the Services or the use of any Deliverable in accordance with this MSA (PST Supplier Claim). </w:t>
      </w:r>
      <w:r>
        <w:rPr>
          <w:b/>
          <w:i/>
          <w:szCs w:val="22"/>
        </w:rPr>
      </w:r>
      <w:r>
        <w:rPr>
          <w:szCs w:val="22"/>
        </w:rPr>
      </w:r>
      <w:r>
        <w:rPr>
          <w:szCs w:val="22"/>
          <w:highlight w:val="cyan"/>
        </w:rPr>
      </w:r>
      <w:bookmarkEnd w:id="95"/>
    </w:p>
    <w:p>
      <w:pPr>
        <w:pStyle w:val="Normal"/>
        <w:jc w:val="both"/>
        <w:rPr>
          <w:szCs w:val="22"/>
        </w:rPr>
      </w:pPr>
      <w:r>
        <w:rPr>
          <w:szCs w:val="22"/>
        </w:rPr>
      </w:r>
    </w:p>
    <w:p>
      <w:pPr>
        <w:pStyle w:val="Normal"/>
        <w:jc w:val="both"/>
        <w:rPr/>
      </w:pPr>
      <w:r>
        <w:rPr>
          <w:szCs w:val="22"/>
        </w:rPr>
        <w:t>10.7.2</w:t>
        <w:tab/>
        <w:t>EuroBank shall:</w:t>
      </w:r>
    </w:p>
    <w:p>
      <w:pPr>
        <w:pStyle w:val="Normal"/>
        <w:jc w:val="both"/>
        <w:rPr>
          <w:szCs w:val="22"/>
        </w:rPr>
      </w:pPr>
      <w:r>
        <w:rPr>
          <w:szCs w:val="22"/>
        </w:rPr>
      </w:r>
    </w:p>
    <w:p>
      <w:pPr>
        <w:pStyle w:val="Normal"/>
        <w:ind w:hanging="720" w:start="720" w:end="0"/>
        <w:jc w:val="both"/>
        <w:rPr/>
      </w:pPr>
      <w:r>
        <w:rPr>
          <w:szCs w:val="22"/>
        </w:rPr>
        <w:t>(a)</w:t>
        <w:tab/>
        <w:t>notify the PST Supplier promptly after becoming aware of a PST Supplier Claim;</w:t>
      </w:r>
    </w:p>
    <w:p>
      <w:pPr>
        <w:pStyle w:val="Normal"/>
        <w:ind w:hanging="720" w:start="720" w:end="0"/>
        <w:jc w:val="both"/>
        <w:rPr>
          <w:szCs w:val="22"/>
        </w:rPr>
      </w:pPr>
      <w:r>
        <w:rPr>
          <w:szCs w:val="22"/>
        </w:rPr>
      </w:r>
    </w:p>
    <w:p>
      <w:pPr>
        <w:pStyle w:val="Normal"/>
        <w:ind w:hanging="720" w:start="720" w:end="0"/>
        <w:jc w:val="both"/>
        <w:rPr/>
      </w:pPr>
      <w:r>
        <w:rPr>
          <w:szCs w:val="22"/>
        </w:rPr>
        <w:t>(b)</w:t>
        <w:tab/>
        <w:t>permit the PST Supplier to conduct any litigation and negotiations to settle a PST Supplier Claim, giving the PST Supplier reasonable assistance at the PST Supplier’s expense; and</w:t>
      </w:r>
    </w:p>
    <w:p>
      <w:pPr>
        <w:pStyle w:val="Normal"/>
        <w:ind w:hanging="720" w:start="720" w:end="0"/>
        <w:jc w:val="both"/>
        <w:rPr>
          <w:szCs w:val="22"/>
        </w:rPr>
      </w:pPr>
      <w:r>
        <w:rPr>
          <w:szCs w:val="22"/>
        </w:rPr>
      </w:r>
    </w:p>
    <w:p>
      <w:pPr>
        <w:pStyle w:val="Normal"/>
        <w:ind w:hanging="720" w:start="720" w:end="0"/>
        <w:jc w:val="both"/>
        <w:rPr/>
      </w:pPr>
      <w:r>
        <w:rPr>
          <w:szCs w:val="22"/>
        </w:rPr>
        <w:t>(c)</w:t>
        <w:tab/>
        <w:t>not make any admission in respect of a PST Supplier Claim without the consent of the PST Supplier, save as may be required by Applicable Law.</w:t>
      </w:r>
    </w:p>
    <w:p>
      <w:pPr>
        <w:pStyle w:val="Normal"/>
        <w:jc w:val="both"/>
        <w:rPr>
          <w:szCs w:val="22"/>
        </w:rPr>
      </w:pPr>
      <w:r>
        <w:rPr>
          <w:szCs w:val="22"/>
        </w:rPr>
      </w:r>
      <w:bookmarkStart w:id="96" w:name="_Ref110876758"/>
      <w:bookmarkStart w:id="97" w:name="_Ref110876758"/>
    </w:p>
    <w:p>
      <w:pPr>
        <w:pStyle w:val="Normal"/>
        <w:jc w:val="both"/>
        <w:rPr/>
      </w:pPr>
      <w:r>
        <w:rPr>
          <w:szCs w:val="22"/>
        </w:rPr>
        <w:t>10.7.3</w:t>
        <w:tab/>
        <w:t xml:space="preserve">If, under the PST Supplier Claim, any part of the Services or Deliverables is alleged to, or is held to, constitute an infringement of the Intellectual Property Rights of any person </w:t>
      </w:r>
      <w:r>
        <w:rPr>
          <w:b/>
          <w:i/>
          <w:szCs w:val="22"/>
        </w:rPr>
        <w:t>(Infringing Part</w:t>
      </w:r>
      <w:r>
        <w:rPr>
          <w:szCs w:val="22"/>
        </w:rPr>
        <w:t>), then the PST Supplier will provide one of the following solutions:</w:t>
      </w:r>
      <w:bookmarkEnd w:id="97"/>
    </w:p>
    <w:p>
      <w:pPr>
        <w:pStyle w:val="Normal"/>
        <w:jc w:val="both"/>
        <w:rPr>
          <w:szCs w:val="22"/>
        </w:rPr>
      </w:pPr>
      <w:r>
        <w:rPr>
          <w:szCs w:val="22"/>
        </w:rPr>
      </w:r>
    </w:p>
    <w:p>
      <w:pPr>
        <w:pStyle w:val="Normal"/>
        <w:ind w:hanging="720" w:start="720" w:end="0"/>
        <w:jc w:val="both"/>
        <w:rPr/>
      </w:pPr>
      <w:r>
        <w:rPr>
          <w:szCs w:val="22"/>
        </w:rPr>
        <w:t>(a)</w:t>
        <w:tab/>
        <w:t>procure for the EuroBank Group and each EuroBank Group member the right to continue using the Infringing Part; or</w:t>
      </w:r>
    </w:p>
    <w:p>
      <w:pPr>
        <w:pStyle w:val="Normal"/>
        <w:ind w:hanging="720" w:start="720" w:end="0"/>
        <w:jc w:val="both"/>
        <w:rPr>
          <w:szCs w:val="22"/>
        </w:rPr>
      </w:pPr>
      <w:r>
        <w:rPr>
          <w:szCs w:val="22"/>
        </w:rPr>
      </w:r>
    </w:p>
    <w:p>
      <w:pPr>
        <w:pStyle w:val="Normal"/>
        <w:ind w:hanging="720" w:start="720" w:end="0"/>
        <w:jc w:val="both"/>
        <w:rPr/>
      </w:pPr>
      <w:r>
        <w:rPr>
          <w:szCs w:val="22"/>
        </w:rPr>
        <w:t>(b)</w:t>
        <w:tab/>
        <w:t>modify the Infringing Part so that it is non-infringing, without materially detracting from the overall functionality, performance or compatibility of the Services or Deliverables with the EuroBank Group’s business; or</w:t>
      </w:r>
    </w:p>
    <w:p>
      <w:pPr>
        <w:pStyle w:val="Normal"/>
        <w:ind w:hanging="720" w:start="720" w:end="0"/>
        <w:jc w:val="both"/>
        <w:rPr>
          <w:szCs w:val="22"/>
        </w:rPr>
      </w:pPr>
      <w:r>
        <w:rPr>
          <w:szCs w:val="22"/>
        </w:rPr>
      </w:r>
    </w:p>
    <w:p>
      <w:pPr>
        <w:pStyle w:val="Normal"/>
        <w:ind w:hanging="720" w:start="720" w:end="0"/>
        <w:jc w:val="both"/>
        <w:rPr/>
      </w:pPr>
      <w:r>
        <w:rPr>
          <w:szCs w:val="22"/>
        </w:rPr>
        <w:t>(c)</w:t>
        <w:tab/>
        <w:t>replace the Infringing Part with other non-infringing items or services that have an equivalent functionality, performance and compatibility.</w:t>
      </w:r>
    </w:p>
    <w:p>
      <w:pPr>
        <w:pStyle w:val="Normal"/>
        <w:jc w:val="both"/>
        <w:rPr>
          <w:szCs w:val="22"/>
        </w:rPr>
      </w:pPr>
      <w:r>
        <w:rPr>
          <w:szCs w:val="22"/>
        </w:rPr>
      </w:r>
    </w:p>
    <w:p>
      <w:pPr>
        <w:pStyle w:val="Normal"/>
        <w:jc w:val="both"/>
        <w:rPr/>
      </w:pPr>
      <w:r>
        <w:rPr>
          <w:szCs w:val="22"/>
        </w:rPr>
        <w:t>10.7.4</w:t>
        <w:tab/>
        <w:t>The PST Supplier shall carry out its obligations under clause 10.7.3 as soon as reasonably practicable and at no cost to EuroBank with a view to minimising any disruption to the operations of the Services.</w:t>
      </w:r>
    </w:p>
    <w:p>
      <w:pPr>
        <w:pStyle w:val="Normal"/>
        <w:jc w:val="both"/>
        <w:rPr>
          <w:szCs w:val="22"/>
        </w:rPr>
      </w:pPr>
      <w:r>
        <w:rPr>
          <w:szCs w:val="22"/>
        </w:rPr>
      </w:r>
    </w:p>
    <w:p>
      <w:pPr>
        <w:pStyle w:val="Normal"/>
        <w:jc w:val="both"/>
        <w:rPr/>
      </w:pPr>
      <w:r>
        <w:rPr>
          <w:szCs w:val="22"/>
        </w:rPr>
        <w:t>10.7.5</w:t>
        <w:tab/>
        <w:t>If the PST Supplier is unable to carry out its obligations under clause 10.7.3 despite having used its best endeavours to do so, then without limiting EuroBank’s other rights under this MSA:</w:t>
      </w:r>
    </w:p>
    <w:p>
      <w:pPr>
        <w:pStyle w:val="Normal"/>
        <w:jc w:val="both"/>
        <w:rPr>
          <w:szCs w:val="22"/>
        </w:rPr>
      </w:pPr>
      <w:r>
        <w:rPr>
          <w:szCs w:val="22"/>
        </w:rPr>
      </w:r>
    </w:p>
    <w:p>
      <w:pPr>
        <w:pStyle w:val="Normal"/>
        <w:ind w:hanging="720" w:start="720" w:end="0"/>
        <w:jc w:val="both"/>
        <w:rPr/>
      </w:pPr>
      <w:bookmarkStart w:id="98" w:name="_Ref110773227"/>
      <w:r>
        <w:rPr>
          <w:szCs w:val="22"/>
        </w:rPr>
        <w:t>(a)</w:t>
        <w:tab/>
        <w:t>the Infringing Part shall be removed from the scope of this MSA and EuroBank shall cease using it;</w:t>
      </w:r>
      <w:bookmarkEnd w:id="98"/>
    </w:p>
    <w:p>
      <w:pPr>
        <w:pStyle w:val="Normal"/>
        <w:ind w:hanging="720" w:start="720" w:end="0"/>
        <w:jc w:val="both"/>
        <w:rPr>
          <w:szCs w:val="22"/>
        </w:rPr>
      </w:pPr>
      <w:r>
        <w:rPr>
          <w:szCs w:val="22"/>
        </w:rPr>
      </w:r>
    </w:p>
    <w:p>
      <w:pPr>
        <w:pStyle w:val="Normal"/>
        <w:ind w:hanging="720" w:start="720" w:end="0"/>
        <w:jc w:val="both"/>
        <w:rPr/>
      </w:pPr>
      <w:r>
        <w:rPr>
          <w:szCs w:val="22"/>
        </w:rPr>
        <w:t>(b)</w:t>
        <w:tab/>
        <w:t>the Charges shall be reduced fairly and equitably to reflect the removal under (a) above, and the reduction in the Charges shall be assessed and implemented under the Change Control Procedure; and</w:t>
      </w:r>
    </w:p>
    <w:p>
      <w:pPr>
        <w:pStyle w:val="Normal"/>
        <w:ind w:hanging="720" w:start="720" w:end="0"/>
        <w:jc w:val="both"/>
        <w:rPr>
          <w:szCs w:val="22"/>
        </w:rPr>
      </w:pPr>
      <w:r>
        <w:rPr>
          <w:szCs w:val="22"/>
        </w:rPr>
      </w:r>
    </w:p>
    <w:p>
      <w:pPr>
        <w:pStyle w:val="Normal"/>
        <w:ind w:hanging="720" w:start="720" w:end="0"/>
        <w:jc w:val="both"/>
        <w:rPr>
          <w:szCs w:val="22"/>
        </w:rPr>
      </w:pPr>
      <w:r>
        <w:rPr>
          <w:szCs w:val="22"/>
        </w:rPr>
        <w:t>(c)</w:t>
        <w:tab/>
        <w:t>the PST Supplier shall indemnify EuroBank and each EuroBank Group member on demand against all loss or damage suffered or incurred by any of them in migrating from, or ceasing to use, the Infringing Part.</w:t>
      </w:r>
    </w:p>
    <w:p>
      <w:pPr>
        <w:pStyle w:val="Normal"/>
        <w:jc w:val="both"/>
        <w:rPr>
          <w:szCs w:val="22"/>
        </w:rPr>
      </w:pPr>
      <w:r>
        <w:rPr>
          <w:szCs w:val="22"/>
        </w:rPr>
      </w:r>
    </w:p>
    <w:p>
      <w:pPr>
        <w:pStyle w:val="Normal"/>
        <w:numPr>
          <w:ilvl w:val="1"/>
          <w:numId w:val="14"/>
        </w:numPr>
        <w:tabs>
          <w:tab w:val="clear" w:pos="720"/>
        </w:tabs>
        <w:spacing w:before="120" w:after="120"/>
        <w:ind w:hanging="0" w:start="0" w:end="0"/>
        <w:jc w:val="both"/>
        <w:rPr>
          <w:b/>
          <w:szCs w:val="22"/>
        </w:rPr>
      </w:pPr>
      <w:bookmarkStart w:id="99" w:name="_Ref135805539"/>
      <w:r>
        <w:rPr>
          <w:b/>
          <w:szCs w:val="22"/>
        </w:rPr>
        <w:t>PST Supplier’s IPR infringement indemnity</w:t>
      </w:r>
      <w:bookmarkEnd w:id="99"/>
    </w:p>
    <w:p>
      <w:pPr>
        <w:pStyle w:val="Normal"/>
        <w:jc w:val="both"/>
        <w:rPr/>
      </w:pPr>
      <w:r>
        <w:rPr>
          <w:szCs w:val="22"/>
        </w:rPr>
        <w:t>10.8.1</w:t>
        <w:tab/>
        <w:t>EuroBank shall indemnify the PST Supplier and its Affiliates on demand against all loss or damage suffered or incurred by any of them as a result of any actual or alleged infringement of any Intellectual Property Right in connection with use of EuroBank Materials or EuroBank Data in accordance with the terms of this MSA (EuroBank Claim).  The indemnity does not apply to modifications to EuroBank Materials or EuroBank Data made by or on behalf of the PST Supplier without EuroBank’s prior written consent, or to any use of EuroBank Materials or EuroBank Data other than in accordance with this MSA.</w:t>
      </w:r>
      <w:r>
        <w:rPr>
          <w:b/>
          <w:i/>
          <w:szCs w:val="22"/>
        </w:rPr>
      </w:r>
      <w:r>
        <w:rPr>
          <w:szCs w:val="22"/>
        </w:rPr>
      </w:r>
    </w:p>
    <w:p>
      <w:pPr>
        <w:pStyle w:val="Normal"/>
        <w:jc w:val="both"/>
        <w:rPr>
          <w:szCs w:val="22"/>
        </w:rPr>
      </w:pPr>
      <w:r>
        <w:rPr>
          <w:szCs w:val="22"/>
        </w:rPr>
      </w:r>
    </w:p>
    <w:p>
      <w:pPr>
        <w:pStyle w:val="Normal"/>
        <w:jc w:val="both"/>
        <w:rPr/>
      </w:pPr>
      <w:r>
        <w:rPr>
          <w:szCs w:val="22"/>
        </w:rPr>
        <w:t>10.8.2</w:t>
        <w:tab/>
        <w:t>The PST Supplier shall:</w:t>
      </w:r>
    </w:p>
    <w:p>
      <w:pPr>
        <w:pStyle w:val="Normal"/>
        <w:jc w:val="both"/>
        <w:rPr>
          <w:szCs w:val="22"/>
        </w:rPr>
      </w:pPr>
      <w:r>
        <w:rPr>
          <w:szCs w:val="22"/>
        </w:rPr>
      </w:r>
    </w:p>
    <w:p>
      <w:pPr>
        <w:pStyle w:val="Normal"/>
        <w:ind w:hanging="720" w:start="720" w:end="0"/>
        <w:jc w:val="both"/>
        <w:rPr/>
      </w:pPr>
      <w:r>
        <w:rPr>
          <w:szCs w:val="22"/>
        </w:rPr>
        <w:t>(a)</w:t>
        <w:tab/>
        <w:t>notify EuroBank promptly after becoming aware of a EuroBank Claim;</w:t>
      </w:r>
    </w:p>
    <w:p>
      <w:pPr>
        <w:pStyle w:val="Normal"/>
        <w:ind w:hanging="720" w:start="720" w:end="0"/>
        <w:jc w:val="both"/>
        <w:rPr>
          <w:szCs w:val="22"/>
        </w:rPr>
      </w:pPr>
      <w:r>
        <w:rPr>
          <w:szCs w:val="22"/>
        </w:rPr>
      </w:r>
    </w:p>
    <w:p>
      <w:pPr>
        <w:pStyle w:val="Normal"/>
        <w:ind w:hanging="720" w:start="720" w:end="0"/>
        <w:jc w:val="both"/>
        <w:rPr/>
      </w:pPr>
      <w:r>
        <w:rPr>
          <w:szCs w:val="22"/>
        </w:rPr>
        <w:t>(b)</w:t>
        <w:tab/>
        <w:t>permit EuroBank to conduct any litigation and negotiations to settle a EuroBank Claim, giving EuroBank reasonable assistance at EuroBank’s expense; and</w:t>
      </w:r>
    </w:p>
    <w:p>
      <w:pPr>
        <w:pStyle w:val="Normal"/>
        <w:ind w:hanging="720" w:start="720" w:end="0"/>
        <w:jc w:val="both"/>
        <w:rPr>
          <w:szCs w:val="22"/>
        </w:rPr>
      </w:pPr>
      <w:r>
        <w:rPr>
          <w:szCs w:val="22"/>
        </w:rPr>
      </w:r>
    </w:p>
    <w:p>
      <w:pPr>
        <w:pStyle w:val="Normal"/>
        <w:ind w:hanging="720" w:start="720" w:end="0"/>
        <w:jc w:val="both"/>
        <w:rPr/>
      </w:pPr>
      <w:r>
        <w:rPr>
          <w:szCs w:val="22"/>
        </w:rPr>
        <w:t>(c)</w:t>
        <w:tab/>
        <w:t>not make any admission in respect of a EuroBank Claim without the consent of EuroBank.</w:t>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bookmarkStart w:id="100" w:name="_Ref139086011"/>
      <w:r>
        <w:rPr>
          <w:rFonts w:cs="Arial" w:ascii="Times New Roman Bold;Times New Roman" w:hAnsi="Times New Roman Bold;Times New Roman"/>
          <w:bCs/>
          <w:kern w:val="2"/>
          <w:szCs w:val="22"/>
        </w:rPr>
        <w:t>11</w:t>
        <w:tab/>
        <w:t>TAX</w:t>
      </w:r>
      <w:bookmarkEnd w:id="100"/>
    </w:p>
    <w:p>
      <w:pPr>
        <w:pStyle w:val="Normal"/>
        <w:numPr>
          <w:ilvl w:val="1"/>
          <w:numId w:val="20"/>
        </w:numPr>
        <w:tabs>
          <w:tab w:val="clear" w:pos="720"/>
        </w:tabs>
        <w:spacing w:before="120" w:after="120"/>
        <w:ind w:hanging="0" w:start="0" w:end="0"/>
        <w:jc w:val="both"/>
        <w:rPr>
          <w:b/>
          <w:szCs w:val="22"/>
        </w:rPr>
      </w:pPr>
      <w:r>
        <w:rPr>
          <w:b/>
          <w:szCs w:val="22"/>
        </w:rPr>
        <w:t>Supply Taxes</w:t>
      </w:r>
    </w:p>
    <w:p>
      <w:pPr>
        <w:pStyle w:val="Normal"/>
        <w:jc w:val="both"/>
        <w:rPr>
          <w:szCs w:val="22"/>
        </w:rPr>
      </w:pPr>
      <w:r>
        <w:rPr>
          <w:szCs w:val="22"/>
        </w:rPr>
        <w:t>Any Supply Taxes payable on the Charges for the provision of the Services by PST Supplier to EuroBank are not included in the Charges and shall, when required by Applicable Law, be added to the amount of Charges as calculated in accordance with the provisions of this MSA.</w:t>
      </w:r>
    </w:p>
    <w:p>
      <w:pPr>
        <w:pStyle w:val="Normal"/>
        <w:jc w:val="both"/>
        <w:rPr>
          <w:szCs w:val="22"/>
        </w:rPr>
      </w:pPr>
      <w:r>
        <w:rPr>
          <w:szCs w:val="22"/>
        </w:rPr>
      </w:r>
    </w:p>
    <w:p>
      <w:pPr>
        <w:pStyle w:val="Normal"/>
        <w:numPr>
          <w:ilvl w:val="1"/>
          <w:numId w:val="20"/>
        </w:numPr>
        <w:tabs>
          <w:tab w:val="clear" w:pos="720"/>
        </w:tabs>
        <w:spacing w:before="120" w:after="120"/>
        <w:ind w:hanging="0" w:start="0" w:end="0"/>
        <w:jc w:val="both"/>
        <w:rPr>
          <w:b/>
          <w:szCs w:val="22"/>
        </w:rPr>
      </w:pPr>
      <w:r>
        <w:rPr>
          <w:b/>
          <w:szCs w:val="22"/>
        </w:rPr>
        <w:t xml:space="preserve">Withholding taxes  </w:t>
      </w:r>
    </w:p>
    <w:p>
      <w:pPr>
        <w:pStyle w:val="Normal"/>
        <w:jc w:val="both"/>
        <w:rPr/>
      </w:pPr>
      <w:r>
        <w:rPr>
          <w:szCs w:val="22"/>
        </w:rPr>
        <w:t>11.2.1</w:t>
        <w:tab/>
        <w:t>In the event EuroBank is required by Applicable Law to apply a withholding tax, such withholding tax (withholding tax being any taxes, duties, tariffs or other governmental charges or expenses that EuroBank is required to withhold by Applicable Law on payments of the Charges) will be borne by the PST Supplier unless the PST Supplier is not entitled to credit such withholding tax because of the absence of a tax treaty between the country where the PST Supplier is resident and the country where the invoiced EuroBank entity resides or a tax treaty does exist but does not allow the PST Supplier to credit the withholding tax.</w:t>
      </w:r>
    </w:p>
    <w:p>
      <w:pPr>
        <w:pStyle w:val="Normal"/>
        <w:jc w:val="both"/>
        <w:rPr>
          <w:szCs w:val="22"/>
        </w:rPr>
      </w:pPr>
      <w:r>
        <w:rPr>
          <w:szCs w:val="22"/>
        </w:rPr>
      </w:r>
    </w:p>
    <w:p>
      <w:pPr>
        <w:pStyle w:val="Normal"/>
        <w:jc w:val="both"/>
        <w:rPr/>
      </w:pPr>
      <w:r>
        <w:rPr>
          <w:szCs w:val="22"/>
        </w:rPr>
        <w:t>11.2.2</w:t>
        <w:tab/>
        <w:t>The PST Supplier will provide EuroBank with written proof, by external council, that the PST Supplier is unable to credit the withholding tax based on the aforementioned exclusion.</w:t>
      </w:r>
    </w:p>
    <w:p>
      <w:pPr>
        <w:pStyle w:val="Normal"/>
        <w:jc w:val="both"/>
        <w:rPr>
          <w:szCs w:val="22"/>
        </w:rPr>
      </w:pPr>
      <w:r>
        <w:rPr>
          <w:szCs w:val="22"/>
        </w:rPr>
      </w:r>
    </w:p>
    <w:p>
      <w:pPr>
        <w:pStyle w:val="Normal"/>
        <w:jc w:val="both"/>
        <w:rPr/>
      </w:pPr>
      <w:r>
        <w:rPr>
          <w:szCs w:val="22"/>
        </w:rPr>
        <w:t>11.2.3</w:t>
        <w:tab/>
        <w:t>If a withholding tax applies both parties shall co-operate with each other to mitigate or minimise the impact of such withholding tax implications to either party as far as legally permissible. In cases where both parties anticipate an increased withholding tax cost in respect of the work to be performed by the PST Supplier, the increased withholding tax costs shall be identified and discussed prior to the commencement of any such work (including the delivery of required documentation under Applicable Law and/or tax treaties).</w:t>
      </w:r>
    </w:p>
    <w:p>
      <w:pPr>
        <w:pStyle w:val="Normal"/>
        <w:jc w:val="both"/>
        <w:rPr>
          <w:szCs w:val="22"/>
        </w:rPr>
      </w:pPr>
      <w:r>
        <w:rPr>
          <w:szCs w:val="22"/>
        </w:rPr>
      </w:r>
    </w:p>
    <w:p>
      <w:pPr>
        <w:pStyle w:val="Normal"/>
        <w:numPr>
          <w:ilvl w:val="1"/>
          <w:numId w:val="20"/>
        </w:numPr>
        <w:tabs>
          <w:tab w:val="clear" w:pos="720"/>
        </w:tabs>
        <w:spacing w:before="120" w:after="120"/>
        <w:ind w:hanging="0" w:start="0" w:end="0"/>
        <w:jc w:val="both"/>
        <w:rPr>
          <w:b/>
          <w:szCs w:val="22"/>
        </w:rPr>
      </w:pPr>
      <w:r>
        <w:rPr>
          <w:b/>
          <w:szCs w:val="22"/>
        </w:rPr>
        <w:t>Other taxes</w:t>
      </w:r>
    </w:p>
    <w:p>
      <w:pPr>
        <w:pStyle w:val="Normal"/>
        <w:jc w:val="both"/>
        <w:rPr/>
      </w:pPr>
      <w:r>
        <w:rPr>
          <w:szCs w:val="22"/>
        </w:rPr>
        <w:t>11.3.1</w:t>
        <w:tab/>
        <w:t>The PST Supplier will advise on any other relevant tax that may be applicable to the provision of the Services.</w:t>
      </w:r>
    </w:p>
    <w:p>
      <w:pPr>
        <w:pStyle w:val="Normal"/>
        <w:jc w:val="both"/>
        <w:rPr>
          <w:szCs w:val="22"/>
        </w:rPr>
      </w:pPr>
      <w:r>
        <w:rPr>
          <w:szCs w:val="22"/>
        </w:rPr>
      </w:r>
    </w:p>
    <w:p>
      <w:pPr>
        <w:pStyle w:val="Normal"/>
        <w:jc w:val="both"/>
        <w:rPr/>
      </w:pPr>
      <w:r>
        <w:rPr>
          <w:szCs w:val="22"/>
        </w:rPr>
        <w:t>11.3.2</w:t>
        <w:tab/>
        <w:t>The PST Supplier will share its knowledge on Supply Taxes with EuroBank, which may be applicable to the Services being rendered.</w:t>
      </w:r>
    </w:p>
    <w:p>
      <w:pPr>
        <w:pStyle w:val="Normal"/>
        <w:jc w:val="both"/>
        <w:rPr>
          <w:szCs w:val="22"/>
        </w:rPr>
      </w:pPr>
      <w:r>
        <w:rPr>
          <w:szCs w:val="22"/>
        </w:rPr>
      </w:r>
    </w:p>
    <w:p>
      <w:pPr>
        <w:pStyle w:val="Normal"/>
        <w:numPr>
          <w:ilvl w:val="1"/>
          <w:numId w:val="20"/>
        </w:numPr>
        <w:tabs>
          <w:tab w:val="clear" w:pos="720"/>
        </w:tabs>
        <w:spacing w:before="120" w:after="120"/>
        <w:ind w:hanging="0" w:start="0" w:end="0"/>
        <w:jc w:val="both"/>
        <w:rPr>
          <w:b/>
          <w:szCs w:val="22"/>
        </w:rPr>
      </w:pPr>
      <w:r>
        <w:rPr>
          <w:b/>
          <w:szCs w:val="22"/>
        </w:rPr>
        <w:t>PST Member’s relocation</w:t>
      </w:r>
    </w:p>
    <w:p>
      <w:pPr>
        <w:pStyle w:val="Normal"/>
        <w:jc w:val="both"/>
        <w:rPr>
          <w:szCs w:val="22"/>
        </w:rPr>
      </w:pPr>
      <w:r>
        <w:rPr>
          <w:szCs w:val="22"/>
        </w:rPr>
        <w:t>Any Supply Taxes (not only exceeding tax amounts) paid or payable on the provision of the Services or on the PST Supplier’s Charges under this MSA resulting from the PST Supplier’s relocating or rerouting the delivery of Services to, from or through a location other than the PST Supplier Sites from which the Services where provided as of the applicable Commencement Date or from time to time as prescribed by the Applicable Law of the relevant territory, shall completely be excluded from the Charges in the case that the relocation or rerouting of the delivery of the Services implies an increase of the Supply Taxes unless the relocation or rerouting is  requested by EuroBank. In case such relocation or rerouting implies a reduction of the Supply Taxes such benefit will be for the benefit of EuroBank and vice versa. In case the PST Supplier decides to relocate or reroute the delivery of Services, it will send a notice to EuroBank including the nature of the decision and the impact on the Supply Taxes and the PST Supplier shall bear that extra cost or enjoy the benefit.</w:t>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bookmarkStart w:id="101" w:name="_Ref120341835"/>
      <w:bookmarkStart w:id="102" w:name="_Ref120338718"/>
      <w:r>
        <w:rPr>
          <w:rFonts w:cs="Arial" w:ascii="Times New Roman Bold;Times New Roman" w:hAnsi="Times New Roman Bold;Times New Roman"/>
          <w:bCs/>
          <w:kern w:val="2"/>
          <w:szCs w:val="22"/>
        </w:rPr>
        <w:t>12</w:t>
        <w:tab/>
        <w:t>CONFIDENTIALITY AND DATA PROTECTION</w:t>
      </w:r>
      <w:bookmarkEnd w:id="101"/>
      <w:bookmarkEnd w:id="102"/>
    </w:p>
    <w:p>
      <w:pPr>
        <w:pStyle w:val="Normal"/>
        <w:numPr>
          <w:ilvl w:val="1"/>
          <w:numId w:val="30"/>
        </w:numPr>
        <w:tabs>
          <w:tab w:val="clear" w:pos="720"/>
        </w:tabs>
        <w:spacing w:before="120" w:after="120"/>
        <w:ind w:hanging="0" w:start="0" w:end="0"/>
        <w:jc w:val="both"/>
        <w:rPr>
          <w:b/>
          <w:szCs w:val="22"/>
        </w:rPr>
      </w:pPr>
      <w:bookmarkStart w:id="103" w:name="_Ref113247557"/>
      <w:r>
        <w:rPr>
          <w:b/>
          <w:szCs w:val="22"/>
        </w:rPr>
        <w:t>Confidentiality</w:t>
      </w:r>
      <w:bookmarkEnd w:id="103"/>
    </w:p>
    <w:p>
      <w:pPr>
        <w:pStyle w:val="Normal"/>
        <w:jc w:val="both"/>
        <w:rPr/>
      </w:pPr>
      <w:r>
        <w:rPr>
          <w:szCs w:val="22"/>
        </w:rPr>
        <w:t>12.1.1</w:t>
        <w:tab/>
        <w:t>Each party shall:</w:t>
      </w:r>
    </w:p>
    <w:p>
      <w:pPr>
        <w:pStyle w:val="Normal"/>
        <w:jc w:val="both"/>
        <w:rPr>
          <w:szCs w:val="22"/>
        </w:rPr>
      </w:pPr>
      <w:r>
        <w:rPr>
          <w:szCs w:val="22"/>
        </w:rPr>
      </w:r>
    </w:p>
    <w:p>
      <w:pPr>
        <w:pStyle w:val="Normal"/>
        <w:ind w:hanging="720" w:start="720" w:end="0"/>
        <w:jc w:val="both"/>
        <w:rPr/>
      </w:pPr>
      <w:r>
        <w:rPr>
          <w:szCs w:val="22"/>
        </w:rPr>
        <w:t>(a)</w:t>
        <w:tab/>
        <w:t xml:space="preserve">keep secret and confidential, and procure that its officers, employees, representatives, Affiliates, and in the case of the PST Supplier, any Sub-Contractors, (collectively, </w:t>
      </w:r>
      <w:r>
        <w:rPr>
          <w:b/>
          <w:i/>
          <w:szCs w:val="22"/>
        </w:rPr>
        <w:t>the Representatives</w:t>
      </w:r>
      <w:r>
        <w:rPr>
          <w:szCs w:val="22"/>
        </w:rPr>
        <w:t>) keep secret and confidential, all Confidential Information of the other party and its Affiliates;</w:t>
      </w:r>
    </w:p>
    <w:p>
      <w:pPr>
        <w:pStyle w:val="Normal"/>
        <w:ind w:hanging="720" w:start="720" w:end="0"/>
        <w:jc w:val="both"/>
        <w:rPr>
          <w:szCs w:val="22"/>
        </w:rPr>
      </w:pPr>
      <w:r>
        <w:rPr>
          <w:szCs w:val="22"/>
        </w:rPr>
      </w:r>
    </w:p>
    <w:p>
      <w:pPr>
        <w:pStyle w:val="Normal"/>
        <w:ind w:hanging="720" w:start="720" w:end="0"/>
        <w:jc w:val="both"/>
        <w:rPr/>
      </w:pPr>
      <w:r>
        <w:rPr>
          <w:szCs w:val="22"/>
        </w:rPr>
        <w:t>(b)</w:t>
        <w:tab/>
        <w:t>use the same degree of care in relation to the Confidential Information of the other party and its Affiliates as it normally uses to avoid unauthorised disclosure of its own confidential information;</w:t>
      </w:r>
    </w:p>
    <w:p>
      <w:pPr>
        <w:pStyle w:val="Normal"/>
        <w:ind w:hanging="720" w:start="720" w:end="0"/>
        <w:jc w:val="both"/>
        <w:rPr>
          <w:szCs w:val="22"/>
        </w:rPr>
      </w:pPr>
      <w:r>
        <w:rPr>
          <w:szCs w:val="22"/>
        </w:rPr>
      </w:r>
    </w:p>
    <w:p>
      <w:pPr>
        <w:pStyle w:val="Normal"/>
        <w:ind w:hanging="720" w:start="720" w:end="0"/>
        <w:jc w:val="both"/>
        <w:rPr/>
      </w:pPr>
      <w:r>
        <w:rPr>
          <w:szCs w:val="22"/>
        </w:rPr>
        <w:t>(c)</w:t>
        <w:tab/>
        <w:t>use, and procure that its Representatives use the Confidential Information of the other party and its Affiliates only in the performance of the party’s obligations or the exercise of it rights under this MSA;</w:t>
      </w:r>
    </w:p>
    <w:p>
      <w:pPr>
        <w:pStyle w:val="Normal"/>
        <w:ind w:hanging="720" w:start="720" w:end="0"/>
        <w:jc w:val="both"/>
        <w:rPr>
          <w:szCs w:val="22"/>
        </w:rPr>
      </w:pPr>
      <w:r>
        <w:rPr>
          <w:szCs w:val="22"/>
        </w:rPr>
      </w:r>
    </w:p>
    <w:p>
      <w:pPr>
        <w:pStyle w:val="Normal"/>
        <w:ind w:hanging="720" w:start="720" w:end="0"/>
        <w:jc w:val="both"/>
        <w:rPr/>
      </w:pPr>
      <w:r>
        <w:rPr>
          <w:szCs w:val="22"/>
        </w:rPr>
        <w:t>(d)</w:t>
        <w:tab/>
        <w:t>only disclose to its Representatives Confidential Information of the other party and its Affiliates that is reasonably required for the performance of the party’s obligations or the exercise of its rights under this MSA, inform them of the confidential nature of the Confidential Information, and obtain written confidentiality undertakings from them consistent with this clause;</w:t>
      </w:r>
    </w:p>
    <w:p>
      <w:pPr>
        <w:pStyle w:val="Normal"/>
        <w:ind w:hanging="720" w:start="720" w:end="0"/>
        <w:jc w:val="both"/>
        <w:rPr>
          <w:szCs w:val="22"/>
        </w:rPr>
      </w:pPr>
      <w:r>
        <w:rPr>
          <w:szCs w:val="22"/>
        </w:rPr>
      </w:r>
    </w:p>
    <w:p>
      <w:pPr>
        <w:pStyle w:val="Normal"/>
        <w:ind w:hanging="720" w:start="720" w:end="0"/>
        <w:jc w:val="both"/>
        <w:rPr/>
      </w:pPr>
      <w:r>
        <w:rPr>
          <w:szCs w:val="22"/>
        </w:rPr>
        <w:t>(e)</w:t>
        <w:tab/>
        <w:t>promptly notify the other of any suspected or actual unauthorised disclosure of the Confidential Information of the other party and its Affiliates, and take all reasonable steps to prevent, limit or remedy the disclosure; and</w:t>
      </w:r>
    </w:p>
    <w:p>
      <w:pPr>
        <w:pStyle w:val="Normal"/>
        <w:ind w:hanging="720" w:start="720" w:end="0"/>
        <w:jc w:val="both"/>
        <w:rPr>
          <w:szCs w:val="22"/>
        </w:rPr>
      </w:pPr>
      <w:r>
        <w:rPr>
          <w:szCs w:val="22"/>
        </w:rPr>
      </w:r>
    </w:p>
    <w:p>
      <w:pPr>
        <w:pStyle w:val="Normal"/>
        <w:ind w:hanging="720" w:start="720" w:end="0"/>
        <w:jc w:val="both"/>
        <w:rPr/>
      </w:pPr>
      <w:r>
        <w:rPr>
          <w:szCs w:val="22"/>
        </w:rPr>
        <w:t>(f)</w:t>
        <w:tab/>
        <w:t>indemnify the other party, its Affiliates and, in the case of EuroBank, each EuroBank Group member on demand against all loss or damage arising from any breach of this clause.</w:t>
      </w:r>
    </w:p>
    <w:p>
      <w:pPr>
        <w:pStyle w:val="Normal"/>
        <w:jc w:val="both"/>
        <w:rPr>
          <w:szCs w:val="22"/>
        </w:rPr>
      </w:pPr>
      <w:r>
        <w:rPr>
          <w:szCs w:val="22"/>
        </w:rPr>
      </w:r>
    </w:p>
    <w:p>
      <w:pPr>
        <w:pStyle w:val="Normal"/>
        <w:jc w:val="both"/>
        <w:rPr/>
      </w:pPr>
      <w:r>
        <w:rPr>
          <w:szCs w:val="22"/>
        </w:rPr>
        <w:t>12.1.2</w:t>
        <w:tab/>
        <w:t>Nothing in this clause 12.1 shall:</w:t>
      </w:r>
    </w:p>
    <w:p>
      <w:pPr>
        <w:pStyle w:val="Normal"/>
        <w:jc w:val="both"/>
        <w:rPr>
          <w:szCs w:val="22"/>
        </w:rPr>
      </w:pPr>
      <w:r>
        <w:rPr>
          <w:szCs w:val="22"/>
        </w:rPr>
      </w:r>
    </w:p>
    <w:p>
      <w:pPr>
        <w:pStyle w:val="Normal"/>
        <w:ind w:hanging="720" w:start="720" w:end="0"/>
        <w:jc w:val="both"/>
        <w:rPr/>
      </w:pPr>
      <w:r>
        <w:rPr>
          <w:szCs w:val="22"/>
        </w:rPr>
        <w:t>(a)</w:t>
        <w:tab/>
        <w:t>restrict either party from disclosing Confidential Information of the other party or its Affiliates:</w:t>
      </w:r>
    </w:p>
    <w:p>
      <w:pPr>
        <w:pStyle w:val="Normal"/>
        <w:ind w:hanging="720" w:start="720" w:end="0"/>
        <w:jc w:val="both"/>
        <w:rPr>
          <w:szCs w:val="22"/>
        </w:rPr>
      </w:pPr>
      <w:r>
        <w:rPr>
          <w:szCs w:val="22"/>
        </w:rPr>
      </w:r>
    </w:p>
    <w:p>
      <w:pPr>
        <w:pStyle w:val="Normal"/>
        <w:ind w:hanging="720" w:start="1440" w:end="0"/>
        <w:jc w:val="both"/>
        <w:rPr/>
      </w:pPr>
      <w:r>
        <w:rPr>
          <w:szCs w:val="22"/>
        </w:rPr>
        <w:t>(i)</w:t>
        <w:tab/>
        <w:t>if and to the extent required by law or for the purposes of legal proceedings; or</w:t>
      </w:r>
    </w:p>
    <w:p>
      <w:pPr>
        <w:pStyle w:val="Normal"/>
        <w:ind w:hanging="720" w:start="1440" w:end="0"/>
        <w:jc w:val="both"/>
        <w:rPr>
          <w:szCs w:val="22"/>
        </w:rPr>
      </w:pPr>
      <w:r>
        <w:rPr>
          <w:szCs w:val="22"/>
        </w:rPr>
      </w:r>
    </w:p>
    <w:p>
      <w:pPr>
        <w:pStyle w:val="Normal"/>
        <w:ind w:hanging="720" w:start="1440" w:end="0"/>
        <w:jc w:val="both"/>
        <w:rPr/>
      </w:pPr>
      <w:r>
        <w:rPr>
          <w:szCs w:val="22"/>
        </w:rPr>
        <w:t>(ii)</w:t>
        <w:tab/>
        <w:t>if and to the extent required by any securities exchange or regulatory or governmental body to which that party is subject; or</w:t>
      </w:r>
    </w:p>
    <w:p>
      <w:pPr>
        <w:pStyle w:val="Normal"/>
        <w:ind w:hanging="720" w:start="720" w:end="0"/>
        <w:jc w:val="both"/>
        <w:rPr>
          <w:szCs w:val="22"/>
        </w:rPr>
      </w:pPr>
      <w:r>
        <w:rPr>
          <w:szCs w:val="22"/>
        </w:rPr>
      </w:r>
    </w:p>
    <w:p>
      <w:pPr>
        <w:pStyle w:val="Normal"/>
        <w:ind w:hanging="720" w:start="720" w:end="0"/>
        <w:jc w:val="both"/>
        <w:rPr/>
      </w:pPr>
      <w:r>
        <w:rPr>
          <w:szCs w:val="22"/>
        </w:rPr>
        <w:t>(b)</w:t>
        <w:tab/>
        <w:t>restrict EuroBank from disclosing Confidential Information of the PST Supplier or its Affiliates to its auditors, lawyers  and bankers. With regard to disclosure to consultants and other professional advisors EuroBank will obtain prior written consent from PST Supplier.</w:t>
      </w:r>
    </w:p>
    <w:p>
      <w:pPr>
        <w:pStyle w:val="Normal"/>
        <w:jc w:val="both"/>
        <w:rPr>
          <w:szCs w:val="22"/>
        </w:rPr>
      </w:pPr>
      <w:r>
        <w:rPr>
          <w:szCs w:val="22"/>
        </w:rPr>
      </w:r>
    </w:p>
    <w:p>
      <w:pPr>
        <w:pStyle w:val="Normal"/>
        <w:jc w:val="both"/>
        <w:rPr/>
      </w:pPr>
      <w:r>
        <w:rPr>
          <w:szCs w:val="22"/>
        </w:rPr>
        <w:t>12.1.3</w:t>
        <w:tab/>
        <w:t>The obligations in this clause shall not apply to information that:</w:t>
      </w:r>
    </w:p>
    <w:p>
      <w:pPr>
        <w:pStyle w:val="Normal"/>
        <w:jc w:val="both"/>
        <w:rPr>
          <w:szCs w:val="22"/>
        </w:rPr>
      </w:pPr>
      <w:r>
        <w:rPr>
          <w:szCs w:val="22"/>
        </w:rPr>
      </w:r>
    </w:p>
    <w:p>
      <w:pPr>
        <w:pStyle w:val="Normal"/>
        <w:ind w:hanging="720" w:start="720" w:end="0"/>
        <w:jc w:val="both"/>
        <w:rPr/>
      </w:pPr>
      <w:r>
        <w:rPr>
          <w:szCs w:val="22"/>
        </w:rPr>
        <w:t>(a)</w:t>
        <w:tab/>
        <w:t>is required to be disclosed by Applicable Law or the rules of a relevant stock exchange, provided that the disclosing party promptly notifies the other party of its requirement to disclose, and co-operates with the other party in avoiding or limiting the disclosure;</w:t>
      </w:r>
    </w:p>
    <w:p>
      <w:pPr>
        <w:pStyle w:val="Normal"/>
        <w:ind w:hanging="720" w:start="720" w:end="0"/>
        <w:jc w:val="both"/>
        <w:rPr>
          <w:szCs w:val="22"/>
        </w:rPr>
      </w:pPr>
      <w:r>
        <w:rPr>
          <w:szCs w:val="22"/>
        </w:rPr>
      </w:r>
    </w:p>
    <w:p>
      <w:pPr>
        <w:pStyle w:val="Normal"/>
        <w:ind w:hanging="720" w:start="720" w:end="0"/>
        <w:jc w:val="both"/>
        <w:rPr/>
      </w:pPr>
      <w:r>
        <w:rPr>
          <w:szCs w:val="22"/>
        </w:rPr>
        <w:t>(b)</w:t>
        <w:tab/>
        <w:t>was already in the possession of the party making the disclosure without an obligation of confidentiality when it was received from the other party or its Affiliates;</w:t>
      </w:r>
    </w:p>
    <w:p>
      <w:pPr>
        <w:pStyle w:val="Normal"/>
        <w:ind w:hanging="720" w:start="720" w:end="0"/>
        <w:jc w:val="both"/>
        <w:rPr>
          <w:szCs w:val="22"/>
        </w:rPr>
      </w:pPr>
      <w:r>
        <w:rPr>
          <w:szCs w:val="22"/>
        </w:rPr>
      </w:r>
    </w:p>
    <w:p>
      <w:pPr>
        <w:pStyle w:val="Normal"/>
        <w:ind w:hanging="720" w:start="720" w:end="0"/>
        <w:jc w:val="both"/>
        <w:rPr/>
      </w:pPr>
      <w:r>
        <w:rPr>
          <w:szCs w:val="22"/>
        </w:rPr>
        <w:t>(c)</w:t>
        <w:tab/>
        <w:t>was already in the public domain at the time of disclosure, except as a result of a breach of this MSA; or</w:t>
      </w:r>
    </w:p>
    <w:p>
      <w:pPr>
        <w:pStyle w:val="Normal"/>
        <w:ind w:hanging="720" w:start="720" w:end="0"/>
        <w:jc w:val="both"/>
        <w:rPr>
          <w:szCs w:val="22"/>
        </w:rPr>
      </w:pPr>
      <w:r>
        <w:rPr>
          <w:szCs w:val="22"/>
        </w:rPr>
      </w:r>
    </w:p>
    <w:p>
      <w:pPr>
        <w:pStyle w:val="Normal"/>
        <w:ind w:hanging="720" w:start="720" w:end="0"/>
        <w:jc w:val="both"/>
        <w:rPr/>
      </w:pPr>
      <w:r>
        <w:rPr>
          <w:szCs w:val="22"/>
        </w:rPr>
        <w:t>(d)</w:t>
        <w:tab/>
        <w:t>was independently developed without access to the other party’s or its Affiliates’ Confidential Information.</w:t>
      </w:r>
    </w:p>
    <w:p>
      <w:pPr>
        <w:pStyle w:val="Normal"/>
        <w:jc w:val="both"/>
        <w:rPr>
          <w:szCs w:val="22"/>
        </w:rPr>
      </w:pPr>
      <w:r>
        <w:rPr>
          <w:szCs w:val="22"/>
        </w:rPr>
      </w:r>
    </w:p>
    <w:p>
      <w:pPr>
        <w:pStyle w:val="Normal"/>
        <w:jc w:val="both"/>
        <w:rPr/>
      </w:pPr>
      <w:r>
        <w:rPr>
          <w:szCs w:val="22"/>
        </w:rPr>
        <w:t>12.1.4</w:t>
        <w:tab/>
        <w:t>The PST Supplier will:</w:t>
      </w:r>
    </w:p>
    <w:p>
      <w:pPr>
        <w:pStyle w:val="Normal"/>
        <w:jc w:val="both"/>
        <w:rPr>
          <w:szCs w:val="22"/>
        </w:rPr>
      </w:pPr>
      <w:r>
        <w:rPr>
          <w:szCs w:val="22"/>
        </w:rPr>
      </w:r>
    </w:p>
    <w:p>
      <w:pPr>
        <w:pStyle w:val="Normal"/>
        <w:ind w:hanging="720" w:start="720" w:end="0"/>
        <w:jc w:val="both"/>
        <w:rPr/>
      </w:pPr>
      <w:r>
        <w:rPr>
          <w:szCs w:val="22"/>
        </w:rPr>
        <w:t>(a)</w:t>
        <w:tab/>
        <w:t>in executing the Services, segregate all EuroBank Group Confidential Information from that of any other client to the extent agreed and/or required by Applicable Law (subject to the principles set out in clauses 9.1 and 9.2); and</w:t>
      </w:r>
    </w:p>
    <w:p>
      <w:pPr>
        <w:pStyle w:val="Normal"/>
        <w:ind w:hanging="720" w:start="720" w:end="0"/>
        <w:jc w:val="both"/>
        <w:rPr>
          <w:szCs w:val="22"/>
        </w:rPr>
      </w:pPr>
      <w:r>
        <w:rPr>
          <w:szCs w:val="22"/>
        </w:rPr>
      </w:r>
    </w:p>
    <w:p>
      <w:pPr>
        <w:pStyle w:val="Normal"/>
        <w:ind w:hanging="720" w:start="720" w:end="0"/>
        <w:jc w:val="both"/>
        <w:rPr>
          <w:szCs w:val="22"/>
        </w:rPr>
      </w:pPr>
      <w:r>
        <w:rPr>
          <w:szCs w:val="22"/>
        </w:rPr>
        <w:t>(b)</w:t>
        <w:tab/>
        <w:t>the PST Supplier shall establish and maintain agreed safeguards against the unauthorised access, destruction, loss or alteration of EuroBank Group Confidential Information in the possession of the PST Supplier that are no less rigorous than the most rigorous practices of EuroBank or the PST Supplier.  EuroBank shall have the right to establish backup security for EuroBank Data and to keep backup and files for such data in its possession if it chooses.  The PST Supplier shall procure that PST Supplier personnel and Sub-Contractors do not attempt to access or allow access to EuroBank Group Confidential Information that is not required for the performance of the Services by such personnel and shall procure that personnel have access to the EuroBank Group Confidential Information on a need to know basis only.  The PST Supplier will promptly notify EuroBank of any breach or potential breach of security relating to EuroBank Group Confidential Information and investigate and remediate the effects of such breach or potential breach.</w:t>
      </w:r>
    </w:p>
    <w:p>
      <w:pPr>
        <w:pStyle w:val="Normal"/>
        <w:jc w:val="both"/>
        <w:rPr>
          <w:szCs w:val="22"/>
        </w:rPr>
      </w:pPr>
      <w:r>
        <w:rPr>
          <w:szCs w:val="22"/>
        </w:rPr>
      </w:r>
    </w:p>
    <w:p>
      <w:pPr>
        <w:pStyle w:val="Normal"/>
        <w:numPr>
          <w:ilvl w:val="1"/>
          <w:numId w:val="30"/>
        </w:numPr>
        <w:tabs>
          <w:tab w:val="clear" w:pos="720"/>
        </w:tabs>
        <w:spacing w:before="120" w:after="120"/>
        <w:ind w:hanging="0" w:start="0" w:end="0"/>
        <w:jc w:val="both"/>
        <w:rPr>
          <w:b/>
          <w:szCs w:val="22"/>
        </w:rPr>
      </w:pPr>
      <w:bookmarkStart w:id="104" w:name="_Ref113247720"/>
      <w:r>
        <w:rPr>
          <w:b/>
          <w:szCs w:val="22"/>
        </w:rPr>
        <w:t>Data protection</w:t>
      </w:r>
      <w:bookmarkEnd w:id="104"/>
    </w:p>
    <w:p>
      <w:pPr>
        <w:pStyle w:val="Normal"/>
        <w:jc w:val="both"/>
        <w:rPr/>
      </w:pPr>
      <w:bookmarkStart w:id="105" w:name="_Ref50885733"/>
      <w:r>
        <w:rPr>
          <w:szCs w:val="22"/>
        </w:rPr>
        <w:t>12.2.1</w:t>
        <w:tab/>
        <w:t xml:space="preserve">Terms used in this clause 12.2 have the same meaning given to them under Article 2 of the Directive 95/46/EC of the European Parliament and of the Council of 24 October 1995 on the processing of individuals with regard to the processing of personal data and on free movement of data (the </w:t>
      </w:r>
      <w:r>
        <w:rPr>
          <w:b/>
          <w:i/>
          <w:szCs w:val="22"/>
        </w:rPr>
        <w:t>Data Protection Directive</w:t>
      </w:r>
      <w:r>
        <w:rPr>
          <w:szCs w:val="22"/>
        </w:rPr>
        <w:t>).</w:t>
      </w:r>
      <w:bookmarkEnd w:id="105"/>
    </w:p>
    <w:p>
      <w:pPr>
        <w:pStyle w:val="Normal"/>
        <w:jc w:val="both"/>
        <w:rPr>
          <w:szCs w:val="22"/>
        </w:rPr>
      </w:pPr>
      <w:r>
        <w:rPr>
          <w:szCs w:val="22"/>
        </w:rPr>
      </w:r>
    </w:p>
    <w:p>
      <w:pPr>
        <w:pStyle w:val="Normal"/>
        <w:jc w:val="both"/>
        <w:rPr/>
      </w:pPr>
      <w:r>
        <w:rPr>
          <w:szCs w:val="22"/>
        </w:rPr>
        <w:t>12.2.2</w:t>
        <w:tab/>
        <w:t>If, in the course of performing its obligations under this MSA, the PST Supplier processes personal data that is used in the course of EuroBank’s and EuroBank Group members’ business, then it shall do so solely on behalf of EuroBank and the relevant EuroBank Group members and it shall not be entitled to use or otherwise process the personal data for any other purpose.</w:t>
      </w:r>
    </w:p>
    <w:p>
      <w:pPr>
        <w:pStyle w:val="Normal"/>
        <w:jc w:val="both"/>
        <w:rPr>
          <w:szCs w:val="22"/>
        </w:rPr>
      </w:pPr>
      <w:r>
        <w:rPr>
          <w:szCs w:val="22"/>
        </w:rPr>
      </w:r>
    </w:p>
    <w:p>
      <w:pPr>
        <w:pStyle w:val="Normal"/>
        <w:jc w:val="both"/>
        <w:rPr/>
      </w:pPr>
      <w:r>
        <w:rPr>
          <w:szCs w:val="22"/>
        </w:rPr>
        <w:t>12.2.3</w:t>
        <w:tab/>
        <w:t>In connection with the processing of personal data, the PST Supplier shall, and shall procure that its Affiliates and the Sub-Contractors:</w:t>
      </w:r>
    </w:p>
    <w:p>
      <w:pPr>
        <w:pStyle w:val="Normal"/>
        <w:jc w:val="both"/>
        <w:rPr>
          <w:szCs w:val="22"/>
        </w:rPr>
      </w:pPr>
      <w:r>
        <w:rPr>
          <w:szCs w:val="22"/>
        </w:rPr>
      </w:r>
    </w:p>
    <w:p>
      <w:pPr>
        <w:pStyle w:val="Normal"/>
        <w:ind w:hanging="720" w:start="720" w:end="0"/>
        <w:jc w:val="both"/>
        <w:rPr/>
      </w:pPr>
      <w:r>
        <w:rPr>
          <w:szCs w:val="22"/>
        </w:rPr>
        <w:t>(a)</w:t>
        <w:tab/>
        <w:t>act only on the instructions of EuroBank (or, in the case of a Sub-Contractor, instructions given by the PST Supplier on behalf of EuroBank);</w:t>
      </w:r>
    </w:p>
    <w:p>
      <w:pPr>
        <w:pStyle w:val="Normal"/>
        <w:ind w:hanging="720" w:start="720" w:end="0"/>
        <w:jc w:val="both"/>
        <w:rPr>
          <w:szCs w:val="22"/>
        </w:rPr>
      </w:pPr>
      <w:r>
        <w:rPr>
          <w:szCs w:val="22"/>
        </w:rPr>
      </w:r>
    </w:p>
    <w:p>
      <w:pPr>
        <w:pStyle w:val="Normal"/>
        <w:ind w:hanging="720" w:start="720" w:end="0"/>
        <w:jc w:val="both"/>
        <w:rPr/>
      </w:pPr>
      <w:r>
        <w:rPr>
          <w:szCs w:val="22"/>
        </w:rPr>
        <w:t>(b)</w:t>
        <w:tab/>
        <w:t>take appropriate technical and organizational measures to protect personal data against accidental or unlawful destruction or accidental loss, alteration, unauthorised disclosure, use or access and against all other unlawful forms of processing, including controls over entry, access, intervention, disclosure, input and preservation of and to the personal data;</w:t>
      </w:r>
      <w:bookmarkStart w:id="106" w:name="_Ref50885856"/>
    </w:p>
    <w:p>
      <w:pPr>
        <w:pStyle w:val="Normal"/>
        <w:ind w:hanging="720" w:start="720" w:end="0"/>
        <w:jc w:val="both"/>
        <w:rPr>
          <w:szCs w:val="22"/>
        </w:rPr>
      </w:pPr>
      <w:r>
        <w:rPr>
          <w:szCs w:val="22"/>
        </w:rPr>
      </w:r>
    </w:p>
    <w:p>
      <w:pPr>
        <w:pStyle w:val="Normal"/>
        <w:ind w:hanging="720" w:start="720" w:end="0"/>
        <w:jc w:val="both"/>
        <w:rPr/>
      </w:pPr>
      <w:r>
        <w:rPr>
          <w:szCs w:val="22"/>
        </w:rPr>
        <w:t>(c)</w:t>
        <w:tab/>
        <w:t>not transfer the personal data out of the country in which they were collected except with EuroBank’s prior written consent and in accordance with any instructions provided by EuroBank in connection with the transfer;</w:t>
      </w:r>
      <w:bookmarkEnd w:id="106"/>
      <w:r>
        <w:rPr>
          <w:szCs w:val="22"/>
        </w:rPr>
      </w:r>
    </w:p>
    <w:p>
      <w:pPr>
        <w:pStyle w:val="Normal"/>
        <w:ind w:hanging="720" w:start="720" w:end="0"/>
        <w:jc w:val="both"/>
        <w:rPr>
          <w:szCs w:val="22"/>
        </w:rPr>
      </w:pPr>
      <w:r>
        <w:rPr>
          <w:szCs w:val="22"/>
        </w:rPr>
      </w:r>
    </w:p>
    <w:p>
      <w:pPr>
        <w:pStyle w:val="Normal"/>
        <w:ind w:hanging="720" w:start="720" w:end="0"/>
        <w:jc w:val="both"/>
        <w:rPr/>
      </w:pPr>
      <w:r>
        <w:rPr>
          <w:szCs w:val="22"/>
        </w:rPr>
        <w:t>(d)</w:t>
        <w:tab/>
        <w:t>ensure that the personal data is only accessible to PST Supplier Personnel who need to have access to the data in order to carry out their roles in the performance of the PST Supplier’s obligations under this MSA; and</w:t>
      </w:r>
    </w:p>
    <w:p>
      <w:pPr>
        <w:pStyle w:val="Normal"/>
        <w:ind w:hanging="720" w:start="720" w:end="0"/>
        <w:jc w:val="both"/>
        <w:rPr>
          <w:szCs w:val="22"/>
        </w:rPr>
      </w:pPr>
      <w:r>
        <w:rPr>
          <w:szCs w:val="22"/>
        </w:rPr>
      </w:r>
    </w:p>
    <w:p>
      <w:pPr>
        <w:pStyle w:val="Normal"/>
        <w:ind w:hanging="720" w:start="720" w:end="0"/>
        <w:jc w:val="both"/>
        <w:rPr/>
      </w:pPr>
      <w:r>
        <w:rPr>
          <w:szCs w:val="22"/>
        </w:rPr>
        <w:t>(e)</w:t>
        <w:tab/>
        <w:t>give EuroBank co-operation, assistance and information as EuroBank reasonably requests to enable EuroBank to comply with its obligations under any data protection laws and co-operate and comply with the directions or decisions of any competent data protection and privacy authority in relation to those data, in a timely manner.</w:t>
      </w:r>
    </w:p>
    <w:p>
      <w:pPr>
        <w:pStyle w:val="Normal"/>
        <w:jc w:val="both"/>
        <w:rPr>
          <w:szCs w:val="22"/>
        </w:rPr>
      </w:pPr>
      <w:r>
        <w:rPr>
          <w:szCs w:val="22"/>
        </w:rPr>
      </w:r>
    </w:p>
    <w:p>
      <w:pPr>
        <w:pStyle w:val="Normal"/>
        <w:numPr>
          <w:ilvl w:val="1"/>
          <w:numId w:val="30"/>
        </w:numPr>
        <w:tabs>
          <w:tab w:val="clear" w:pos="720"/>
        </w:tabs>
        <w:spacing w:before="120" w:after="120"/>
        <w:ind w:hanging="0" w:start="0" w:end="0"/>
        <w:jc w:val="both"/>
        <w:rPr>
          <w:b/>
          <w:szCs w:val="22"/>
        </w:rPr>
      </w:pPr>
      <w:r>
        <w:rPr>
          <w:b/>
          <w:szCs w:val="22"/>
        </w:rPr>
        <w:t>Financial disclosure</w:t>
      </w:r>
    </w:p>
    <w:p>
      <w:pPr>
        <w:pStyle w:val="Normal"/>
        <w:jc w:val="both"/>
        <w:rPr>
          <w:b/>
          <w:szCs w:val="22"/>
        </w:rPr>
      </w:pPr>
      <w:r>
        <w:rPr>
          <w:b/>
          <w:szCs w:val="22"/>
        </w:rPr>
      </w:r>
    </w:p>
    <w:p>
      <w:pPr>
        <w:pStyle w:val="Normal"/>
        <w:jc w:val="both"/>
        <w:rPr/>
      </w:pPr>
      <w:r>
        <w:rPr>
          <w:szCs w:val="22"/>
        </w:rPr>
        <w:t>12.3.1</w:t>
        <w:tab/>
        <w:t>In addition to any other requirements in this MSA and subject to any duties of confidentiality arising under contract or Applicable Law, the PST Supplier shall promptly provide EuroBank with such information or documentation that EuroBank may reasonably request:</w:t>
      </w:r>
    </w:p>
    <w:p>
      <w:pPr>
        <w:pStyle w:val="Normal"/>
        <w:rPr>
          <w:szCs w:val="22"/>
        </w:rPr>
      </w:pPr>
      <w:r>
        <w:rPr>
          <w:szCs w:val="22"/>
        </w:rPr>
      </w:r>
    </w:p>
    <w:p>
      <w:pPr>
        <w:pStyle w:val="Normal"/>
        <w:ind w:hanging="720" w:start="720" w:end="0"/>
        <w:rPr/>
      </w:pPr>
      <w:r>
        <w:rPr/>
        <w:t>a)</w:t>
        <w:tab/>
        <w:t>that is publicly available and relates to the PST Supplier's financial situation and financial integrity (including, without limitation, information relating to the PST Supplier's financial resources and net capital); or</w:t>
      </w:r>
    </w:p>
    <w:p>
      <w:pPr>
        <w:pStyle w:val="Normal"/>
        <w:ind w:hanging="720" w:start="720" w:end="0"/>
        <w:rPr/>
      </w:pPr>
      <w:r>
        <w:rPr/>
      </w:r>
    </w:p>
    <w:p>
      <w:pPr>
        <w:pStyle w:val="Normal"/>
        <w:ind w:hanging="720" w:start="720" w:end="0"/>
        <w:rPr/>
      </w:pPr>
      <w:r>
        <w:rPr/>
        <w:t>b)</w:t>
        <w:tab/>
        <w:t>that is required by EuroBank in connection with the preparation and filing by EuroBank of reports required for the purposes of complying with Applicable Law.</w:t>
      </w:r>
    </w:p>
    <w:p>
      <w:pPr>
        <w:pStyle w:val="Normal"/>
        <w:rPr/>
      </w:pPr>
      <w:r>
        <w:rPr/>
      </w:r>
    </w:p>
    <w:p>
      <w:pPr>
        <w:pStyle w:val="Normal"/>
        <w:rPr/>
      </w:pPr>
      <w:r>
        <w:rPr/>
        <w:t xml:space="preserve">The PST Supplier shall, in particular, supply EuroBank with copies of its audited financial statements on an annual basis within one month of their approval and, on a quarterly basis, the first page of the financial return required to be submitted monthly to the Regulator. </w:t>
      </w:r>
    </w:p>
    <w:p>
      <w:pPr>
        <w:pStyle w:val="Normal"/>
        <w:rPr/>
      </w:pPr>
      <w:r>
        <w:rPr/>
      </w:r>
    </w:p>
    <w:p>
      <w:pPr>
        <w:pStyle w:val="Normal"/>
        <w:rPr/>
      </w:pPr>
      <w:r>
        <w:rPr/>
        <w:t>12.3.2</w:t>
        <w:tab/>
        <w:t>Each party shall notify the other promptly:</w:t>
      </w:r>
    </w:p>
    <w:p>
      <w:pPr>
        <w:pStyle w:val="Normal"/>
        <w:rPr/>
      </w:pPr>
      <w:r>
        <w:rPr/>
      </w:r>
    </w:p>
    <w:p>
      <w:pPr>
        <w:pStyle w:val="Normal"/>
        <w:ind w:hanging="720" w:start="720" w:end="0"/>
        <w:rPr/>
      </w:pPr>
      <w:r>
        <w:rPr/>
        <w:t>a)</w:t>
        <w:tab/>
        <w:t>of the following matters, in each case where the matter is material to the performance of its obligations under this MSA:</w:t>
      </w:r>
    </w:p>
    <w:p>
      <w:pPr>
        <w:pStyle w:val="Normal"/>
        <w:ind w:hanging="720" w:start="720" w:end="0"/>
        <w:rPr/>
      </w:pPr>
      <w:r>
        <w:rPr/>
      </w:r>
    </w:p>
    <w:p>
      <w:pPr>
        <w:pStyle w:val="Normal"/>
        <w:ind w:hanging="720" w:start="1440" w:end="0"/>
        <w:rPr/>
      </w:pPr>
      <w:r>
        <w:rPr/>
        <w:t>(i)</w:t>
        <w:tab/>
        <w:t>any adverse change in its financial condition, results of operations or any other matter that may have a material adverse impact on its performance of its obligations under this MSA; or</w:t>
      </w:r>
    </w:p>
    <w:p>
      <w:pPr>
        <w:pStyle w:val="Normal"/>
        <w:ind w:hanging="720" w:start="1440" w:end="0"/>
        <w:rPr/>
      </w:pPr>
      <w:r>
        <w:rPr/>
      </w:r>
    </w:p>
    <w:p>
      <w:pPr>
        <w:pStyle w:val="Normal"/>
        <w:ind w:hanging="720" w:start="1440" w:end="0"/>
        <w:rPr/>
      </w:pPr>
      <w:r>
        <w:rPr/>
        <w:t>(ii)</w:t>
        <w:tab/>
        <w:t>the commencement or threatened commencement of any material action, proceeding or investigation of any kind against it by any governmental body, regulator, or exchange to whose jurisdiction it is subject (including, in the case of EuroBank, any Regulator); or</w:t>
      </w:r>
    </w:p>
    <w:p>
      <w:pPr>
        <w:pStyle w:val="Normal"/>
        <w:ind w:hanging="720" w:start="1440" w:end="0"/>
        <w:rPr/>
      </w:pPr>
      <w:r>
        <w:rPr/>
      </w:r>
    </w:p>
    <w:p>
      <w:pPr>
        <w:pStyle w:val="Normal"/>
        <w:ind w:hanging="720" w:start="1440" w:end="0"/>
        <w:rPr/>
      </w:pPr>
      <w:r>
        <w:rPr/>
        <w:t>(iii)</w:t>
        <w:tab/>
        <w:t>any relevant adverse regulatory findings; or</w:t>
      </w:r>
    </w:p>
    <w:p>
      <w:pPr>
        <w:pStyle w:val="Normal"/>
        <w:ind w:hanging="720" w:start="1440" w:end="0"/>
        <w:rPr/>
      </w:pPr>
      <w:r>
        <w:rPr/>
      </w:r>
    </w:p>
    <w:p>
      <w:pPr>
        <w:pStyle w:val="Normal"/>
        <w:ind w:hanging="720" w:start="1440" w:end="0"/>
        <w:rPr/>
      </w:pPr>
      <w:r>
        <w:rPr/>
        <w:t>(iv)</w:t>
        <w:tab/>
        <w:t>any relevant issues arising from regulatory visits; or</w:t>
      </w:r>
    </w:p>
    <w:p>
      <w:pPr>
        <w:pStyle w:val="Normal"/>
        <w:ind w:hanging="720" w:start="1440" w:end="0"/>
        <w:rPr/>
      </w:pPr>
      <w:r>
        <w:rPr/>
      </w:r>
    </w:p>
    <w:p>
      <w:pPr>
        <w:pStyle w:val="Normal"/>
        <w:ind w:hanging="720" w:start="1440" w:end="0"/>
        <w:rPr/>
      </w:pPr>
      <w:r>
        <w:rPr/>
        <w:t>(v)</w:t>
        <w:tab/>
        <w:t>any relevant issues arising from its compliance monitoring activities; or</w:t>
      </w:r>
    </w:p>
    <w:p>
      <w:pPr>
        <w:pStyle w:val="Normal"/>
        <w:rPr/>
      </w:pPr>
      <w:r>
        <w:rPr/>
      </w:r>
    </w:p>
    <w:p>
      <w:pPr>
        <w:pStyle w:val="Normal"/>
        <w:ind w:hanging="720" w:start="720" w:end="0"/>
        <w:rPr/>
      </w:pPr>
      <w:r>
        <w:rPr/>
        <w:t>b)</w:t>
        <w:tab/>
        <w:t xml:space="preserve">on becoming aware of any material breach of its representations or warranties hereunder. </w:t>
      </w:r>
    </w:p>
    <w:p>
      <w:pPr>
        <w:pStyle w:val="Normal"/>
        <w:rPr/>
      </w:pPr>
      <w:r>
        <w:rPr/>
      </w:r>
    </w:p>
    <w:p>
      <w:pPr>
        <w:pStyle w:val="Normal"/>
        <w:rPr/>
      </w:pPr>
      <w:r>
        <w:rPr/>
        <w:t>12.3.3</w:t>
        <w:tab/>
        <w:t>The PST Supplier shall notify EuroBank promptly of any complaints received from third parties in relation to the Services.</w:t>
      </w:r>
    </w:p>
    <w:p>
      <w:pPr>
        <w:pStyle w:val="Normal"/>
        <w:rPr/>
      </w:pPr>
      <w:r>
        <w:rPr/>
      </w:r>
    </w:p>
    <w:p>
      <w:pPr>
        <w:pStyle w:val="Normal"/>
        <w:rPr/>
      </w:pPr>
      <w:r>
        <w:rPr/>
        <w:t>Any information required to be provided to EuroBank by the PST Supplier pursuant to this MSA shall be delivered in accordance with the method of delivery agreed between EuroBank and the PST Supplier from time to time.</w:t>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bookmarkStart w:id="107" w:name="_Ref128487833"/>
      <w:bookmarkStart w:id="108" w:name="_Ref128486758"/>
      <w:bookmarkStart w:id="109" w:name="_Ref128475573"/>
      <w:bookmarkStart w:id="110" w:name="_Ref115147599"/>
      <w:r>
        <w:rPr>
          <w:rFonts w:cs="Arial" w:ascii="Times New Roman Bold;Times New Roman" w:hAnsi="Times New Roman Bold;Times New Roman"/>
          <w:bCs/>
          <w:kern w:val="2"/>
          <w:szCs w:val="22"/>
        </w:rPr>
        <w:t>13</w:t>
        <w:tab/>
        <w:t>LIABILITY</w:t>
      </w:r>
      <w:bookmarkEnd w:id="107"/>
      <w:bookmarkEnd w:id="108"/>
      <w:bookmarkEnd w:id="109"/>
      <w:bookmarkEnd w:id="110"/>
    </w:p>
    <w:p>
      <w:pPr>
        <w:pStyle w:val="Normal"/>
        <w:numPr>
          <w:ilvl w:val="1"/>
          <w:numId w:val="17"/>
        </w:numPr>
        <w:tabs>
          <w:tab w:val="clear" w:pos="720"/>
        </w:tabs>
        <w:spacing w:before="120" w:after="120"/>
        <w:ind w:hanging="0" w:start="0" w:end="0"/>
        <w:jc w:val="both"/>
        <w:rPr>
          <w:b/>
          <w:szCs w:val="22"/>
        </w:rPr>
      </w:pPr>
      <w:bookmarkStart w:id="111" w:name="_Ref110877537"/>
      <w:bookmarkStart w:id="112" w:name="_Ref110876833"/>
      <w:r>
        <w:rPr>
          <w:b/>
          <w:szCs w:val="22"/>
        </w:rPr>
        <w:t>Exclusions</w:t>
      </w:r>
      <w:bookmarkEnd w:id="111"/>
      <w:bookmarkEnd w:id="112"/>
    </w:p>
    <w:p>
      <w:pPr>
        <w:pStyle w:val="Normal"/>
        <w:jc w:val="both"/>
        <w:rPr/>
      </w:pPr>
      <w:r>
        <w:rPr>
          <w:szCs w:val="22"/>
        </w:rPr>
        <w:t>13.1.1</w:t>
        <w:tab/>
        <w:t>Neither party shall be liable, whether for negligence, breach of contract, misrepresentation or otherwise, for any indirect or consequential loss or damage, including any loss of profit (subject to clause 13.1.2), revenue, goodwill, contracts, business opportunity, data (subject to clause 13.2) or anticipated savings.</w:t>
      </w:r>
    </w:p>
    <w:p>
      <w:pPr>
        <w:pStyle w:val="Normal"/>
        <w:jc w:val="both"/>
        <w:rPr>
          <w:szCs w:val="22"/>
        </w:rPr>
      </w:pPr>
      <w:r>
        <w:rPr>
          <w:szCs w:val="22"/>
        </w:rPr>
      </w:r>
    </w:p>
    <w:p>
      <w:pPr>
        <w:pStyle w:val="Normal"/>
        <w:jc w:val="both"/>
        <w:rPr/>
      </w:pPr>
      <w:r>
        <w:rPr>
          <w:szCs w:val="22"/>
        </w:rPr>
        <w:t>13.1.2</w:t>
        <w:tab/>
        <w:t>The exclusion of liability for loss of profit in clause 13.1.1 shall not exclude any right the PST Supplier may have as a matter of general law, to recover as its contractual damages its reasonably foreseeable profits arising from the expected payment of the Charges over the balance of the Term in accordance with this MSA, subject to the applicable mitigation principles, limitations and exclusions and other principles of damages under general law.</w:t>
      </w:r>
    </w:p>
    <w:p>
      <w:pPr>
        <w:pStyle w:val="Normal"/>
        <w:jc w:val="both"/>
        <w:rPr>
          <w:szCs w:val="22"/>
        </w:rPr>
      </w:pPr>
      <w:r>
        <w:rPr>
          <w:szCs w:val="22"/>
        </w:rPr>
      </w:r>
    </w:p>
    <w:p>
      <w:pPr>
        <w:pStyle w:val="Normal"/>
        <w:numPr>
          <w:ilvl w:val="1"/>
          <w:numId w:val="17"/>
        </w:numPr>
        <w:tabs>
          <w:tab w:val="clear" w:pos="720"/>
        </w:tabs>
        <w:spacing w:before="120" w:after="120"/>
        <w:ind w:hanging="0" w:start="0" w:end="0"/>
        <w:jc w:val="both"/>
        <w:rPr>
          <w:b/>
          <w:szCs w:val="22"/>
        </w:rPr>
      </w:pPr>
      <w:r>
        <w:rPr>
          <w:b/>
          <w:szCs w:val="22"/>
        </w:rPr>
        <w:t>Direct losses</w:t>
      </w:r>
    </w:p>
    <w:p>
      <w:pPr>
        <w:pStyle w:val="Normal"/>
        <w:jc w:val="both"/>
        <w:rPr/>
      </w:pPr>
      <w:r>
        <w:rPr>
          <w:szCs w:val="22"/>
        </w:rPr>
        <w:t>13.2.1</w:t>
        <w:tab/>
        <w:t>Clause 13.1 does not exclude any liability of the PST Supplier for loss or damage in the following categories:</w:t>
      </w:r>
    </w:p>
    <w:p>
      <w:pPr>
        <w:pStyle w:val="Normal"/>
        <w:jc w:val="both"/>
        <w:rPr>
          <w:szCs w:val="22"/>
        </w:rPr>
      </w:pPr>
      <w:r>
        <w:rPr>
          <w:szCs w:val="22"/>
        </w:rPr>
      </w:r>
    </w:p>
    <w:p>
      <w:pPr>
        <w:pStyle w:val="Normal"/>
        <w:ind w:hanging="720" w:start="720" w:end="0"/>
        <w:jc w:val="both"/>
        <w:rPr/>
      </w:pPr>
      <w:r>
        <w:rPr>
          <w:szCs w:val="22"/>
        </w:rPr>
        <w:t>(a)</w:t>
        <w:tab/>
        <w:t>the reasonable price paid by EuroBank for systems and/or services which are used to repair, or where repair is not reasonably possible, to substitute any Services which the PST Supplier has not provided in accordance with this MSA (and for which EuroBank has paid), together with EuroBank’s reasonable costs of installing, testing, implementing and operating the alternative systems and/or services, where the PST Supplier has not corrected such default in accordance with the time limits and procedures set out in this MSA;</w:t>
      </w:r>
    </w:p>
    <w:p>
      <w:pPr>
        <w:pStyle w:val="Normal"/>
        <w:ind w:hanging="720" w:start="720" w:end="0"/>
        <w:jc w:val="both"/>
        <w:rPr>
          <w:szCs w:val="22"/>
        </w:rPr>
      </w:pPr>
      <w:r>
        <w:rPr>
          <w:szCs w:val="22"/>
        </w:rPr>
      </w:r>
    </w:p>
    <w:p>
      <w:pPr>
        <w:pStyle w:val="Normal"/>
        <w:ind w:hanging="720" w:start="720" w:end="0"/>
        <w:jc w:val="both"/>
        <w:rPr/>
      </w:pPr>
      <w:r>
        <w:rPr>
          <w:szCs w:val="22"/>
        </w:rPr>
        <w:t>(b)</w:t>
        <w:tab/>
        <w:t xml:space="preserve">the reasonable incremental additional price paid by EuroBank for systems and/or services used to repair, or where repair is not reasonably possible, to substitute the Services which the PST Supplier has not provided in accordance with this MSA (and for which EuroBank has not paid) to the extent this price is in excess of the applicable Charges that would otherwise have applied to the Services, together with EuroBank’s reasonable costs of installing, testing, implementing and operating the alternative systems and/or services, where the PST Supplier has not corrected such default in accordance with the time limits and procedures set out in this MSA; </w:t>
      </w:r>
    </w:p>
    <w:p>
      <w:pPr>
        <w:pStyle w:val="Normal"/>
        <w:ind w:hanging="720" w:start="720" w:end="0"/>
        <w:jc w:val="both"/>
        <w:rPr>
          <w:szCs w:val="22"/>
        </w:rPr>
      </w:pPr>
      <w:r>
        <w:rPr>
          <w:szCs w:val="22"/>
        </w:rPr>
      </w:r>
    </w:p>
    <w:p>
      <w:pPr>
        <w:pStyle w:val="Normal"/>
        <w:ind w:hanging="720" w:start="720" w:end="0"/>
        <w:jc w:val="both"/>
        <w:rPr/>
      </w:pPr>
      <w:r>
        <w:rPr>
          <w:szCs w:val="22"/>
        </w:rPr>
        <w:t>(c)</w:t>
        <w:tab/>
        <w:t>EuroBank’s reasonable additional costs of keeping legacy systems or facilities operational in the event that Services are not provided in accordance with this MSA and as a result such legacy systems or facilities continue to be needed;</w:t>
      </w:r>
    </w:p>
    <w:p>
      <w:pPr>
        <w:pStyle w:val="Normal"/>
        <w:ind w:hanging="720" w:start="720" w:end="0"/>
        <w:jc w:val="both"/>
        <w:rPr>
          <w:szCs w:val="22"/>
        </w:rPr>
      </w:pPr>
      <w:r>
        <w:rPr>
          <w:szCs w:val="22"/>
        </w:rPr>
      </w:r>
    </w:p>
    <w:p>
      <w:pPr>
        <w:pStyle w:val="Normal"/>
        <w:ind w:hanging="720" w:start="720" w:end="0"/>
        <w:jc w:val="both"/>
        <w:rPr/>
      </w:pPr>
      <w:r>
        <w:rPr>
          <w:szCs w:val="22"/>
        </w:rPr>
        <w:t>(d)</w:t>
        <w:tab/>
        <w:t>the reasonable additional salary costs of staff, management and/or sub-contractors of EuroBank Group members who are  engaged as alternative services or as part of corrective action needed because of any failure by the PST Supplier to perform its obligations in accordance with this MSA;</w:t>
      </w:r>
    </w:p>
    <w:p>
      <w:pPr>
        <w:pStyle w:val="Normal"/>
        <w:ind w:hanging="720" w:start="720" w:end="0"/>
        <w:jc w:val="both"/>
        <w:rPr>
          <w:szCs w:val="22"/>
        </w:rPr>
      </w:pPr>
      <w:r>
        <w:rPr>
          <w:szCs w:val="22"/>
        </w:rPr>
      </w:r>
    </w:p>
    <w:p>
      <w:pPr>
        <w:pStyle w:val="Normal"/>
        <w:ind w:hanging="720" w:start="720" w:end="0"/>
        <w:jc w:val="both"/>
        <w:rPr/>
      </w:pPr>
      <w:r>
        <w:rPr>
          <w:szCs w:val="22"/>
        </w:rPr>
        <w:t>(e)</w:t>
        <w:tab/>
        <w:t>the reasonable costs of efforts to restore, reconstruct and test lost or corrupted data where directly due to a default of the PST Supplier and where no backup copy is available directly due to the default of the PST Supplier, provided that:</w:t>
      </w:r>
    </w:p>
    <w:p>
      <w:pPr>
        <w:pStyle w:val="Normal"/>
        <w:ind w:hanging="720" w:start="720" w:end="0"/>
        <w:jc w:val="both"/>
        <w:rPr>
          <w:szCs w:val="22"/>
        </w:rPr>
      </w:pPr>
      <w:r>
        <w:rPr>
          <w:szCs w:val="22"/>
        </w:rPr>
      </w:r>
    </w:p>
    <w:p>
      <w:pPr>
        <w:pStyle w:val="Normal"/>
        <w:ind w:hanging="720" w:start="1440" w:end="0"/>
        <w:jc w:val="both"/>
        <w:rPr/>
      </w:pPr>
      <w:r>
        <w:rPr>
          <w:szCs w:val="22"/>
        </w:rPr>
        <w:t>(i)</w:t>
        <w:tab/>
        <w:t>EuroBank has chosen the most cost-effective means of restoring and reconstructing the relevant data, in consultation with the PST Supplier where reasonably practicable, and</w:t>
      </w:r>
    </w:p>
    <w:p>
      <w:pPr>
        <w:pStyle w:val="Normal"/>
        <w:ind w:hanging="720" w:start="1440" w:end="0"/>
        <w:jc w:val="both"/>
        <w:rPr>
          <w:szCs w:val="22"/>
        </w:rPr>
      </w:pPr>
      <w:r>
        <w:rPr>
          <w:szCs w:val="22"/>
        </w:rPr>
      </w:r>
    </w:p>
    <w:p>
      <w:pPr>
        <w:pStyle w:val="Normal"/>
        <w:ind w:hanging="720" w:start="1440" w:end="0"/>
        <w:jc w:val="both"/>
        <w:rPr/>
      </w:pPr>
      <w:r>
        <w:rPr>
          <w:szCs w:val="22"/>
        </w:rPr>
        <w:t>(ii)</w:t>
        <w:tab/>
        <w:t>the costs of reconstructing lost or corrupted data shall not include EuroBank’s costs of any re-performance of the business activities which generated the data in the first instance;</w:t>
      </w:r>
    </w:p>
    <w:p>
      <w:pPr>
        <w:pStyle w:val="Normal"/>
        <w:ind w:hanging="720" w:start="720" w:end="0"/>
        <w:jc w:val="both"/>
        <w:rPr>
          <w:szCs w:val="22"/>
        </w:rPr>
      </w:pPr>
      <w:r>
        <w:rPr>
          <w:szCs w:val="22"/>
        </w:rPr>
      </w:r>
    </w:p>
    <w:p>
      <w:pPr>
        <w:pStyle w:val="Normal"/>
        <w:ind w:hanging="720" w:start="720" w:end="0"/>
        <w:jc w:val="both"/>
        <w:rPr>
          <w:szCs w:val="22"/>
        </w:rPr>
      </w:pPr>
      <w:r>
        <w:rPr>
          <w:szCs w:val="22"/>
        </w:rPr>
        <w:t>(f)</w:t>
        <w:tab/>
        <w:t>the reasonable costs of preparing for the installation, testing and implementation of the Services to the extent that such costs are wasted because the Services (or part thereof) are not Accepted or are subsequently terminated by EuroBank due to a failure to meet the requirements of this MSA; or</w:t>
      </w:r>
    </w:p>
    <w:p>
      <w:pPr>
        <w:pStyle w:val="Normal"/>
        <w:ind w:hanging="720" w:start="720" w:end="0"/>
        <w:jc w:val="both"/>
        <w:rPr>
          <w:szCs w:val="22"/>
        </w:rPr>
      </w:pPr>
      <w:r>
        <w:rPr>
          <w:szCs w:val="22"/>
        </w:rPr>
      </w:r>
    </w:p>
    <w:p>
      <w:pPr>
        <w:pStyle w:val="Normal"/>
        <w:ind w:hanging="720" w:start="720" w:end="0"/>
        <w:jc w:val="both"/>
        <w:rPr/>
      </w:pPr>
      <w:r>
        <w:rPr>
          <w:szCs w:val="22"/>
        </w:rPr>
        <w:t>(g)</w:t>
        <w:tab/>
        <w:t xml:space="preserve">any fines levied by a Regulator on a member of the EuroBank Group as a direct and foreseeable consequence of a breach of this MSA by the PST Supplier, together with the reasonable costs of investigative, corrective or compensatory action required by a Regulator or of defending a claim made by a Regulator, provided that nothing in this sub-clause (g) shall increase the PST Supplier’s liability that would otherwise be the case under general law in the event of breach and provided that EuroBank has chosen the most cost-effective means of complying, in consultation with the PST Supplier where reasonably practicable.  </w:t>
      </w:r>
    </w:p>
    <w:p>
      <w:pPr>
        <w:pStyle w:val="Normal"/>
        <w:jc w:val="both"/>
        <w:rPr>
          <w:szCs w:val="22"/>
        </w:rPr>
      </w:pPr>
      <w:r>
        <w:rPr>
          <w:szCs w:val="22"/>
        </w:rPr>
      </w:r>
    </w:p>
    <w:p>
      <w:pPr>
        <w:pStyle w:val="Normal"/>
        <w:jc w:val="both"/>
        <w:rPr/>
      </w:pPr>
      <w:r>
        <w:rPr>
          <w:szCs w:val="22"/>
        </w:rPr>
        <w:t>13.2.2</w:t>
        <w:tab/>
        <w:t>Clause 13.1 does not exclude any liability of EuroBank for:</w:t>
      </w:r>
    </w:p>
    <w:p>
      <w:pPr>
        <w:pStyle w:val="Normal"/>
        <w:jc w:val="both"/>
        <w:rPr>
          <w:szCs w:val="22"/>
        </w:rPr>
      </w:pPr>
      <w:r>
        <w:rPr>
          <w:szCs w:val="22"/>
        </w:rPr>
      </w:r>
    </w:p>
    <w:p>
      <w:pPr>
        <w:pStyle w:val="Normal"/>
        <w:ind w:hanging="720" w:start="720" w:end="0"/>
        <w:jc w:val="both"/>
        <w:rPr/>
      </w:pPr>
      <w:r>
        <w:rPr>
          <w:szCs w:val="22"/>
        </w:rPr>
        <w:t>(a)</w:t>
        <w:tab/>
        <w:t>any Irrecoverable Costs; or</w:t>
      </w:r>
    </w:p>
    <w:p>
      <w:pPr>
        <w:pStyle w:val="Normal"/>
        <w:ind w:hanging="720" w:start="720" w:end="0"/>
        <w:jc w:val="both"/>
        <w:rPr>
          <w:szCs w:val="22"/>
        </w:rPr>
      </w:pPr>
      <w:r>
        <w:rPr>
          <w:szCs w:val="22"/>
        </w:rPr>
      </w:r>
    </w:p>
    <w:p>
      <w:pPr>
        <w:pStyle w:val="Normal"/>
        <w:ind w:hanging="720" w:start="720" w:end="0"/>
        <w:jc w:val="both"/>
        <w:rPr>
          <w:szCs w:val="22"/>
        </w:rPr>
      </w:pPr>
      <w:r>
        <w:rPr>
          <w:szCs w:val="22"/>
        </w:rPr>
        <w:t>(b)</w:t>
        <w:tab/>
        <w:t>the reasonable additional salary costs of PST Supplier staff and management and/or Sub-Contractors who are engaged as part of corrective action needed because of any failure by EuroBank to perform its obligations in accordance with this MSA, provided that the work has been consented to by EuroBank in accordance with clause 4.10.2(c);</w:t>
      </w:r>
    </w:p>
    <w:p>
      <w:pPr>
        <w:pStyle w:val="Normal"/>
        <w:jc w:val="both"/>
        <w:rPr>
          <w:szCs w:val="22"/>
        </w:rPr>
      </w:pPr>
      <w:r>
        <w:rPr>
          <w:szCs w:val="22"/>
        </w:rPr>
      </w:r>
    </w:p>
    <w:p>
      <w:pPr>
        <w:pStyle w:val="Normal"/>
        <w:numPr>
          <w:ilvl w:val="1"/>
          <w:numId w:val="17"/>
        </w:numPr>
        <w:tabs>
          <w:tab w:val="clear" w:pos="720"/>
        </w:tabs>
        <w:spacing w:before="120" w:after="120"/>
        <w:ind w:hanging="0" w:start="0" w:end="0"/>
        <w:jc w:val="both"/>
        <w:rPr>
          <w:b/>
          <w:szCs w:val="22"/>
        </w:rPr>
      </w:pPr>
      <w:r>
        <w:rPr>
          <w:b/>
          <w:szCs w:val="22"/>
        </w:rPr>
        <w:t>Liability cap</w:t>
      </w:r>
    </w:p>
    <w:p>
      <w:pPr>
        <w:pStyle w:val="Normal"/>
        <w:jc w:val="both"/>
        <w:rPr>
          <w:szCs w:val="22"/>
        </w:rPr>
      </w:pPr>
      <w:r>
        <w:rPr>
          <w:szCs w:val="22"/>
          <w:highlight w:val="yellow"/>
        </w:rPr>
        <w:t>Freshfields suggested wording for TelCo MSA:</w:t>
      </w:r>
      <w:r>
        <w:rPr>
          <w:szCs w:val="22"/>
        </w:rPr>
      </w:r>
    </w:p>
    <w:p>
      <w:pPr>
        <w:pStyle w:val="Normal"/>
        <w:jc w:val="both"/>
        <w:rPr>
          <w:szCs w:val="22"/>
        </w:rPr>
      </w:pPr>
      <w:r>
        <w:rPr>
          <w:szCs w:val="22"/>
        </w:rPr>
      </w:r>
      <w:bookmarkStart w:id="113" w:name="_Ref110876895"/>
      <w:bookmarkStart w:id="114" w:name="_Ref110876895"/>
    </w:p>
    <w:p>
      <w:pPr>
        <w:pStyle w:val="Normal"/>
        <w:jc w:val="both"/>
        <w:rPr>
          <w:color w:val="008000"/>
          <w:szCs w:val="22"/>
        </w:rPr>
      </w:pPr>
      <w:r>
        <w:rPr>
          <w:color w:val="008000"/>
          <w:szCs w:val="22"/>
        </w:rPr>
        <w:t>13.3.1</w:t>
        <w:tab/>
        <w:t>The PST Supplier’s entire liability for loss or damage under or in connection with this MSA, whether for negligence, breach of contract, misrepresentation or otherwise shall be limited, in the aggregate, to an amount equal to the Base Charges that would have been payable to the PST Supplier (which for the avoidance of doubt excludes Pass Through Charges, call subscription and other telecommunication charges) in the Year in which the most recent event giving rise to the liability occurred.  For the avoidance of doubt, this clause 13.3.1 is not a liability cap per event but is instead an aggregate cap for the entire Term.</w:t>
      </w:r>
    </w:p>
    <w:p>
      <w:pPr>
        <w:pStyle w:val="Normal"/>
        <w:jc w:val="both"/>
        <w:rPr>
          <w:color w:val="008000"/>
          <w:szCs w:val="22"/>
        </w:rPr>
      </w:pPr>
      <w:r>
        <w:rPr>
          <w:color w:val="008000"/>
          <w:szCs w:val="22"/>
        </w:rPr>
      </w:r>
    </w:p>
    <w:p>
      <w:pPr>
        <w:pStyle w:val="Normal"/>
        <w:jc w:val="both"/>
        <w:rPr>
          <w:szCs w:val="22"/>
        </w:rPr>
      </w:pPr>
      <w:r>
        <w:rPr>
          <w:szCs w:val="22"/>
          <w:highlight w:val="yellow"/>
        </w:rPr>
        <w:t>General MSA:</w:t>
      </w:r>
    </w:p>
    <w:p>
      <w:pPr>
        <w:pStyle w:val="Normal"/>
        <w:jc w:val="both"/>
        <w:rPr>
          <w:szCs w:val="22"/>
        </w:rPr>
      </w:pPr>
      <w:r>
        <w:rPr>
          <w:szCs w:val="22"/>
        </w:rPr>
      </w:r>
    </w:p>
    <w:p>
      <w:pPr>
        <w:pStyle w:val="Normal"/>
        <w:jc w:val="both"/>
        <w:rPr>
          <w:color w:val="800080"/>
          <w:szCs w:val="22"/>
        </w:rPr>
      </w:pPr>
      <w:bookmarkStart w:id="115" w:name="_Ref110876895"/>
      <w:r>
        <w:rPr>
          <w:color w:val="800080"/>
          <w:szCs w:val="22"/>
        </w:rPr>
        <w:t>13.3.1</w:t>
        <w:tab/>
        <w:t>The PST Supplier’s entire liability for loss or damage under or in connection with this MSA, whether for negligence, breach of contract, misrepresentation or otherwise shall be limited, in the aggregate, to an amount equal to the Base Charges that would have been payable to the PST Supplier (which for the avoidance of doubt excludes Pass Through Charges) in the Year in which the most recent event giving rise to the liability occurred.  For the avoidance of doubt, this clause 13.3.1 is not a liability cap per event but is instead an aggregate cap for the entire Term.)</w:t>
      </w:r>
      <w:bookmarkEnd w:id="115"/>
    </w:p>
    <w:p>
      <w:pPr>
        <w:pStyle w:val="Normal"/>
        <w:jc w:val="both"/>
        <w:rPr>
          <w:color w:val="800080"/>
          <w:szCs w:val="22"/>
        </w:rPr>
      </w:pPr>
      <w:r>
        <w:rPr>
          <w:color w:val="800080"/>
          <w:szCs w:val="22"/>
        </w:rPr>
      </w:r>
    </w:p>
    <w:p>
      <w:pPr>
        <w:pStyle w:val="Normal"/>
        <w:jc w:val="both"/>
        <w:rPr/>
      </w:pPr>
      <w:r>
        <w:rPr>
          <w:color w:val="800080"/>
          <w:szCs w:val="22"/>
        </w:rPr>
        <w:t>13.3.2</w:t>
        <w:tab/>
        <w:t>EuroBank’s entire liability for loss or damage under or in connection with this MSA, whether for negligence, breach of contract, misrepresentation or otherwise shall be limited, in the aggregate, to €5 million. For the avoidance of doubt, this clause 13.3.2 is not a liability cap per event but is instead an aggregate cap for the entire Term.</w:t>
      </w:r>
    </w:p>
    <w:p>
      <w:pPr>
        <w:pStyle w:val="Normal"/>
        <w:jc w:val="both"/>
        <w:rPr>
          <w:color w:val="800080"/>
          <w:szCs w:val="22"/>
        </w:rPr>
      </w:pPr>
      <w:r>
        <w:rPr>
          <w:color w:val="800080"/>
          <w:szCs w:val="22"/>
        </w:rPr>
      </w:r>
    </w:p>
    <w:p>
      <w:pPr>
        <w:pStyle w:val="Normal"/>
        <w:numPr>
          <w:ilvl w:val="1"/>
          <w:numId w:val="17"/>
        </w:numPr>
        <w:tabs>
          <w:tab w:val="clear" w:pos="720"/>
        </w:tabs>
        <w:spacing w:before="120" w:after="120"/>
        <w:ind w:hanging="0" w:start="0" w:end="0"/>
        <w:jc w:val="both"/>
        <w:rPr>
          <w:b/>
          <w:szCs w:val="22"/>
        </w:rPr>
      </w:pPr>
      <w:r>
        <w:rPr>
          <w:b/>
          <w:szCs w:val="22"/>
        </w:rPr>
        <w:t>General</w:t>
      </w:r>
    </w:p>
    <w:p>
      <w:pPr>
        <w:pStyle w:val="Normal"/>
        <w:jc w:val="both"/>
        <w:rPr/>
      </w:pPr>
      <w:r>
        <w:rPr>
          <w:szCs w:val="22"/>
        </w:rPr>
        <w:t>The exclusions and limitations on liability set out in this clause do not apply to:</w:t>
      </w:r>
    </w:p>
    <w:p>
      <w:pPr>
        <w:pStyle w:val="Normal"/>
        <w:jc w:val="both"/>
        <w:rPr>
          <w:szCs w:val="22"/>
        </w:rPr>
      </w:pPr>
      <w:r>
        <w:rPr>
          <w:szCs w:val="22"/>
        </w:rPr>
      </w:r>
    </w:p>
    <w:p>
      <w:pPr>
        <w:pStyle w:val="Normal"/>
        <w:ind w:hanging="720" w:start="720" w:end="0"/>
        <w:jc w:val="both"/>
        <w:rPr/>
      </w:pPr>
      <w:r>
        <w:rPr>
          <w:szCs w:val="22"/>
        </w:rPr>
        <w:t>(a)</w:t>
        <w:tab/>
        <w:t>EuroBank’s obligation to pay the Charges;</w:t>
      </w:r>
    </w:p>
    <w:p>
      <w:pPr>
        <w:pStyle w:val="Normal"/>
        <w:ind w:hanging="720" w:start="720" w:end="0"/>
        <w:jc w:val="both"/>
        <w:rPr>
          <w:szCs w:val="22"/>
        </w:rPr>
      </w:pPr>
      <w:r>
        <w:rPr>
          <w:szCs w:val="22"/>
        </w:rPr>
      </w:r>
    </w:p>
    <w:p>
      <w:pPr>
        <w:pStyle w:val="Normal"/>
        <w:ind w:hanging="720" w:start="720" w:end="0"/>
        <w:jc w:val="both"/>
        <w:rPr/>
      </w:pPr>
      <w:r>
        <w:rPr>
          <w:szCs w:val="22"/>
        </w:rPr>
        <w:t>(b)</w:t>
        <w:tab/>
        <w:t>fines or penalties incurred by any member of the EuroBank Group levied by a Regulator  which arise directly from the PST Supplier’s or its Sub-Contractors’ breach of this MSA;</w:t>
      </w:r>
    </w:p>
    <w:p>
      <w:pPr>
        <w:pStyle w:val="Normal"/>
        <w:ind w:hanging="720" w:start="720" w:end="0"/>
        <w:jc w:val="both"/>
        <w:rPr>
          <w:szCs w:val="22"/>
        </w:rPr>
      </w:pPr>
      <w:r>
        <w:rPr>
          <w:szCs w:val="22"/>
        </w:rPr>
      </w:r>
    </w:p>
    <w:p>
      <w:pPr>
        <w:pStyle w:val="Normal"/>
        <w:ind w:hanging="720" w:start="720" w:end="0"/>
        <w:jc w:val="both"/>
        <w:rPr>
          <w:szCs w:val="22"/>
        </w:rPr>
      </w:pPr>
      <w:r>
        <w:rPr>
          <w:szCs w:val="22"/>
        </w:rPr>
        <w:t>(c)</w:t>
        <w:tab/>
        <w:t>the indemnities under clauses 10.7 and 10.8 and Exhibit 5 (</w:t>
      </w:r>
      <w:r>
        <w:rPr>
          <w:i/>
          <w:szCs w:val="22"/>
        </w:rPr>
        <w:t>Human Resources Provisions</w:t>
      </w:r>
      <w:r>
        <w:rPr>
          <w:szCs w:val="22"/>
        </w:rPr>
        <w:t>)</w:t>
      </w:r>
    </w:p>
    <w:p>
      <w:pPr>
        <w:pStyle w:val="Normal"/>
        <w:ind w:hanging="720" w:start="720" w:end="0"/>
        <w:jc w:val="both"/>
        <w:rPr>
          <w:szCs w:val="22"/>
        </w:rPr>
      </w:pPr>
      <w:r>
        <w:rPr>
          <w:szCs w:val="22"/>
        </w:rPr>
      </w:r>
    </w:p>
    <w:p>
      <w:pPr>
        <w:pStyle w:val="Normal"/>
        <w:ind w:hanging="720" w:start="720" w:end="0"/>
        <w:jc w:val="both"/>
        <w:rPr/>
      </w:pPr>
      <w:r>
        <w:rPr>
          <w:szCs w:val="22"/>
        </w:rPr>
        <w:t>(d)</w:t>
        <w:tab/>
        <w:t>breaches of clause 12; or</w:t>
      </w:r>
    </w:p>
    <w:p>
      <w:pPr>
        <w:pStyle w:val="Normal"/>
        <w:ind w:hanging="720" w:start="720" w:end="0"/>
        <w:jc w:val="both"/>
        <w:rPr>
          <w:szCs w:val="22"/>
        </w:rPr>
      </w:pPr>
      <w:r>
        <w:rPr>
          <w:szCs w:val="22"/>
        </w:rPr>
      </w:r>
    </w:p>
    <w:p>
      <w:pPr>
        <w:pStyle w:val="Normal"/>
        <w:ind w:hanging="720" w:start="720" w:end="0"/>
        <w:jc w:val="both"/>
        <w:rPr/>
      </w:pPr>
      <w:r>
        <w:rPr>
          <w:szCs w:val="22"/>
        </w:rPr>
        <w:t>(e)</w:t>
        <w:tab/>
        <w:t>liability arising in connection with death or personal injury resulting from a party’s negligence, or that party’s fraud, wilful default or gross negligence (or a party’s directors, officers, employees, Sub-Contractors and agents).</w:t>
      </w:r>
    </w:p>
    <w:p>
      <w:pPr>
        <w:pStyle w:val="Normal"/>
        <w:jc w:val="both"/>
        <w:rPr>
          <w:szCs w:val="22"/>
        </w:rPr>
      </w:pPr>
      <w:r>
        <w:rPr>
          <w:szCs w:val="22"/>
        </w:rPr>
      </w:r>
      <w:bookmarkStart w:id="116" w:name="_Ref115147603"/>
      <w:bookmarkStart w:id="117" w:name="_Ref115147603"/>
    </w:p>
    <w:p>
      <w:pPr>
        <w:pStyle w:val="Heading1"/>
        <w:keepNext w:val="false"/>
        <w:keepLines w:val="false"/>
        <w:tabs>
          <w:tab w:val="clear" w:pos="720"/>
          <w:tab w:val="left" w:pos="360" w:leader="none"/>
        </w:tabs>
        <w:spacing w:before="240" w:after="240"/>
        <w:ind w:hanging="0" w:start="0"/>
        <w:jc w:val="center"/>
        <w:rPr/>
      </w:pPr>
      <w:bookmarkStart w:id="118" w:name="_Ref115147603"/>
      <w:r>
        <w:rPr>
          <w:rFonts w:cs="Arial" w:ascii="Times New Roman Bold;Times New Roman" w:hAnsi="Times New Roman Bold;Times New Roman"/>
          <w:bCs/>
          <w:kern w:val="2"/>
          <w:szCs w:val="22"/>
        </w:rPr>
        <w:t>14</w:t>
        <w:tab/>
        <w:t>INSURANCE</w:t>
      </w:r>
      <w:bookmarkEnd w:id="118"/>
      <w:r>
        <w:rPr>
          <w:rFonts w:cs="Arial" w:ascii="Times New Roman Bold;Times New Roman" w:hAnsi="Times New Roman Bold;Times New Roman"/>
          <w:bCs/>
          <w:kern w:val="2"/>
          <w:szCs w:val="22"/>
        </w:rPr>
        <w:t xml:space="preserve"> </w:t>
      </w:r>
    </w:p>
    <w:p>
      <w:pPr>
        <w:pStyle w:val="Normal"/>
        <w:numPr>
          <w:ilvl w:val="1"/>
          <w:numId w:val="27"/>
        </w:numPr>
        <w:tabs>
          <w:tab w:val="clear" w:pos="720"/>
        </w:tabs>
        <w:spacing w:before="120" w:after="120"/>
        <w:ind w:hanging="0" w:start="0" w:end="0"/>
        <w:jc w:val="both"/>
        <w:rPr>
          <w:b/>
          <w:szCs w:val="22"/>
        </w:rPr>
      </w:pPr>
      <w:r>
        <w:rPr>
          <w:b/>
          <w:szCs w:val="22"/>
        </w:rPr>
        <w:t xml:space="preserve">Minimum insurance requirements </w:t>
      </w:r>
    </w:p>
    <w:p>
      <w:pPr>
        <w:pStyle w:val="Normal"/>
        <w:jc w:val="both"/>
        <w:rPr/>
      </w:pPr>
      <w:r>
        <w:rPr>
          <w:szCs w:val="22"/>
        </w:rPr>
        <w:t>14.1.1</w:t>
        <w:tab/>
        <w:t xml:space="preserve">The PST Supplier shall maintain (for the duration specified in clause 14.3 below) the following insurance policies with an insurer of good reputation and financial standing (the </w:t>
      </w:r>
      <w:r>
        <w:rPr>
          <w:b/>
          <w:i/>
          <w:szCs w:val="22"/>
        </w:rPr>
        <w:t>Insurance Policies</w:t>
      </w:r>
      <w:r>
        <w:rPr>
          <w:szCs w:val="22"/>
        </w:rPr>
        <w:t xml:space="preserve">) to the extent such coverage is commercially available on reasonable terms: </w:t>
      </w:r>
    </w:p>
    <w:p>
      <w:pPr>
        <w:pStyle w:val="Normal"/>
        <w:jc w:val="both"/>
        <w:rPr>
          <w:szCs w:val="22"/>
        </w:rPr>
      </w:pPr>
      <w:r>
        <w:rPr>
          <w:szCs w:val="22"/>
        </w:rPr>
      </w:r>
    </w:p>
    <w:p>
      <w:pPr>
        <w:pStyle w:val="Normal"/>
        <w:ind w:hanging="720" w:start="720" w:end="0"/>
        <w:jc w:val="both"/>
        <w:rPr/>
      </w:pPr>
      <w:r>
        <w:rPr>
          <w:szCs w:val="22"/>
        </w:rPr>
        <w:t>(a)</w:t>
        <w:tab/>
        <w:t>public liability insurance with limits of at least Vendor Beta: USD20,000,000; Vendor Gamma and VENDORA: 20,000,000 EUR each; TelCo: 10,000,000 EUR per occurrence and in the aggregate,</w:t>
      </w:r>
    </w:p>
    <w:p>
      <w:pPr>
        <w:pStyle w:val="Normal"/>
        <w:ind w:hanging="720" w:start="720" w:end="0"/>
        <w:jc w:val="both"/>
        <w:rPr>
          <w:szCs w:val="22"/>
        </w:rPr>
      </w:pPr>
      <w:r>
        <w:rPr>
          <w:szCs w:val="22"/>
        </w:rPr>
      </w:r>
    </w:p>
    <w:p>
      <w:pPr>
        <w:pStyle w:val="Normal"/>
        <w:ind w:hanging="720" w:start="720" w:end="0"/>
        <w:jc w:val="both"/>
        <w:rPr/>
      </w:pPr>
      <w:r>
        <w:rPr>
          <w:szCs w:val="22"/>
        </w:rPr>
        <w:t>(b)</w:t>
        <w:tab/>
        <w:t>“umbrella liability” insurance with limits of at least Vendor Beta: USD10,000,000; Vendor Gamma: 5,000,000 EUR; VENDORA: nil; TelCo: 10,000,000 EUR per occurrence and in the aggregate, and</w:t>
      </w:r>
    </w:p>
    <w:p>
      <w:pPr>
        <w:pStyle w:val="Normal"/>
        <w:ind w:hanging="720" w:start="720" w:end="0"/>
        <w:jc w:val="both"/>
        <w:rPr>
          <w:szCs w:val="22"/>
        </w:rPr>
      </w:pPr>
      <w:r>
        <w:rPr>
          <w:szCs w:val="22"/>
        </w:rPr>
      </w:r>
    </w:p>
    <w:p>
      <w:pPr>
        <w:pStyle w:val="Normal"/>
        <w:ind w:hanging="720" w:start="720" w:end="0"/>
        <w:jc w:val="both"/>
        <w:rPr/>
      </w:pPr>
      <w:r>
        <w:rPr>
          <w:szCs w:val="22"/>
        </w:rPr>
        <w:t>(c)</w:t>
        <w:tab/>
        <w:t>professional indemnity insurance with limits of Vendor Beta: USD10,000,000; Vendor Gamma and VENDORA: 20,000,000 EUR each; TelCo: 10,000,000 EUR per loss and 20,000,000 EUR in the aggregate, per loss and in the aggregate.</w:t>
      </w:r>
    </w:p>
    <w:p>
      <w:pPr>
        <w:pStyle w:val="Normal"/>
        <w:jc w:val="both"/>
        <w:rPr>
          <w:szCs w:val="22"/>
        </w:rPr>
      </w:pPr>
      <w:r>
        <w:rPr>
          <w:szCs w:val="22"/>
        </w:rPr>
      </w:r>
    </w:p>
    <w:p>
      <w:pPr>
        <w:pStyle w:val="Normal"/>
        <w:numPr>
          <w:ilvl w:val="0"/>
          <w:numId w:val="0"/>
        </w:numPr>
        <w:spacing w:before="120" w:after="120"/>
        <w:ind w:hanging="0" w:start="0"/>
        <w:jc w:val="both"/>
        <w:rPr/>
      </w:pPr>
      <w:r>
        <w:rPr>
          <w:b/>
          <w:szCs w:val="22"/>
        </w:rPr>
        <w:t>14.2</w:t>
        <w:tab/>
        <w:t>General obligations</w:t>
      </w:r>
    </w:p>
    <w:p>
      <w:pPr>
        <w:pStyle w:val="Normal"/>
        <w:jc w:val="both"/>
        <w:rPr/>
      </w:pPr>
      <w:r>
        <w:rPr>
          <w:szCs w:val="22"/>
        </w:rPr>
        <w:t>14.2.1</w:t>
        <w:tab/>
        <w:t>The PST Supplier shall provide, where requested by EuroBank, certificates of insurance evidencing the required coverage referred to in sub-clause 14.1.1 above.</w:t>
      </w:r>
    </w:p>
    <w:p>
      <w:pPr>
        <w:pStyle w:val="Normal"/>
        <w:jc w:val="both"/>
        <w:rPr>
          <w:szCs w:val="22"/>
        </w:rPr>
      </w:pPr>
      <w:r>
        <w:rPr>
          <w:szCs w:val="22"/>
        </w:rPr>
      </w:r>
    </w:p>
    <w:p>
      <w:pPr>
        <w:pStyle w:val="Normal"/>
        <w:jc w:val="both"/>
        <w:rPr/>
      </w:pPr>
      <w:r>
        <w:rPr>
          <w:szCs w:val="22"/>
        </w:rPr>
        <w:t>14.2.2</w:t>
        <w:tab/>
        <w:t>The PST Supplier shall:</w:t>
      </w:r>
    </w:p>
    <w:p>
      <w:pPr>
        <w:pStyle w:val="Normal"/>
        <w:jc w:val="both"/>
        <w:rPr>
          <w:szCs w:val="22"/>
        </w:rPr>
      </w:pPr>
      <w:r>
        <w:rPr>
          <w:szCs w:val="22"/>
        </w:rPr>
      </w:r>
    </w:p>
    <w:p>
      <w:pPr>
        <w:pStyle w:val="Normal"/>
        <w:ind w:hanging="720" w:start="720" w:end="0"/>
        <w:jc w:val="both"/>
        <w:rPr/>
      </w:pPr>
      <w:r>
        <w:rPr>
          <w:szCs w:val="22"/>
        </w:rPr>
        <w:t>(a)</w:t>
        <w:tab/>
        <w:t>keep EuroBank reasonably informed in writing regarding cancellations of any Insurance Policy from time to time; and</w:t>
      </w:r>
    </w:p>
    <w:p>
      <w:pPr>
        <w:pStyle w:val="Normal"/>
        <w:ind w:hanging="720" w:start="720" w:end="0"/>
        <w:jc w:val="both"/>
        <w:rPr>
          <w:szCs w:val="22"/>
        </w:rPr>
      </w:pPr>
      <w:r>
        <w:rPr>
          <w:szCs w:val="22"/>
        </w:rPr>
      </w:r>
    </w:p>
    <w:p>
      <w:pPr>
        <w:pStyle w:val="Normal"/>
        <w:ind w:hanging="720" w:start="720" w:end="0"/>
        <w:jc w:val="both"/>
        <w:rPr/>
      </w:pPr>
      <w:r>
        <w:rPr>
          <w:szCs w:val="22"/>
        </w:rPr>
        <w:t>(b)</w:t>
        <w:tab/>
        <w:t>comply with the terms of the Insurance Policies.</w:t>
      </w:r>
    </w:p>
    <w:p>
      <w:pPr>
        <w:pStyle w:val="Normal"/>
        <w:jc w:val="both"/>
        <w:rPr>
          <w:szCs w:val="22"/>
        </w:rPr>
      </w:pPr>
      <w:r>
        <w:rPr>
          <w:szCs w:val="22"/>
        </w:rPr>
      </w:r>
    </w:p>
    <w:p>
      <w:pPr>
        <w:pStyle w:val="Normal"/>
        <w:numPr>
          <w:ilvl w:val="0"/>
          <w:numId w:val="0"/>
        </w:numPr>
        <w:spacing w:before="120" w:after="120"/>
        <w:ind w:hanging="0" w:start="0"/>
        <w:jc w:val="both"/>
        <w:rPr/>
      </w:pPr>
      <w:r>
        <w:rPr>
          <w:b/>
          <w:szCs w:val="22"/>
        </w:rPr>
        <w:t>14.3</w:t>
        <w:tab/>
        <w:t>Duration</w:t>
      </w:r>
    </w:p>
    <w:p>
      <w:pPr>
        <w:pStyle w:val="Normal"/>
        <w:jc w:val="both"/>
        <w:rPr>
          <w:szCs w:val="22"/>
        </w:rPr>
      </w:pPr>
      <w:r>
        <w:rPr>
          <w:szCs w:val="22"/>
          <w:highlight w:val="yellow"/>
        </w:rPr>
        <w:t>Freshfields suggested text for TelCo MSA:</w:t>
      </w:r>
    </w:p>
    <w:p>
      <w:pPr>
        <w:pStyle w:val="Normal"/>
        <w:jc w:val="both"/>
        <w:rPr>
          <w:szCs w:val="22"/>
        </w:rPr>
      </w:pPr>
      <w:r>
        <w:rPr>
          <w:szCs w:val="22"/>
        </w:rPr>
      </w:r>
    </w:p>
    <w:p>
      <w:pPr>
        <w:pStyle w:val="Normal"/>
        <w:jc w:val="both"/>
        <w:rPr/>
      </w:pPr>
      <w:r>
        <w:rPr>
          <w:color w:val="008000"/>
          <w:szCs w:val="22"/>
        </w:rPr>
        <w:t>14.3.1</w:t>
        <w:tab/>
        <w:t>The PST Supplier shall maintain the Insurance Policies in force in accordance with the requirements of this clause 14 for a period of 6 months following expiry or termination of this MSA.</w:t>
      </w:r>
    </w:p>
    <w:p>
      <w:pPr>
        <w:pStyle w:val="Normal"/>
        <w:jc w:val="both"/>
        <w:rPr>
          <w:color w:val="008000"/>
          <w:szCs w:val="22"/>
        </w:rPr>
      </w:pPr>
      <w:r>
        <w:rPr>
          <w:color w:val="008000"/>
          <w:szCs w:val="22"/>
        </w:rPr>
      </w:r>
    </w:p>
    <w:p>
      <w:pPr>
        <w:pStyle w:val="Normal"/>
        <w:jc w:val="both"/>
        <w:rPr>
          <w:color w:val="008000"/>
          <w:szCs w:val="22"/>
        </w:rPr>
      </w:pPr>
      <w:r>
        <w:rPr>
          <w:color w:val="008000"/>
          <w:szCs w:val="22"/>
        </w:rPr>
        <w:t>14.3.2</w:t>
        <w:tab/>
        <w:t>Notwithstanding article 14.3.1, in the event that the PST Supplier or any Affiliate at any time during the Term and any subsequent extension thereof, agrees to a longer maintenance period of the Insurance Policies with any customer, the PST Supplier shall notify EuroBank of such longer period and clause 14.3.1 shall be deemed amended to provide for such longer maintenance period.</w:t>
      </w:r>
    </w:p>
    <w:p>
      <w:pPr>
        <w:pStyle w:val="Normal"/>
        <w:jc w:val="both"/>
        <w:rPr>
          <w:color w:val="008000"/>
          <w:szCs w:val="22"/>
        </w:rPr>
      </w:pPr>
      <w:r>
        <w:rPr>
          <w:color w:val="008000"/>
          <w:szCs w:val="22"/>
        </w:rPr>
      </w:r>
    </w:p>
    <w:p>
      <w:pPr>
        <w:pStyle w:val="Normal"/>
        <w:jc w:val="both"/>
        <w:rPr>
          <w:szCs w:val="22"/>
        </w:rPr>
      </w:pPr>
      <w:r>
        <w:rPr>
          <w:szCs w:val="22"/>
          <w:highlight w:val="yellow"/>
        </w:rPr>
        <w:t>General MSA:</w:t>
      </w:r>
    </w:p>
    <w:p>
      <w:pPr>
        <w:pStyle w:val="Normal"/>
        <w:jc w:val="both"/>
        <w:rPr>
          <w:szCs w:val="22"/>
        </w:rPr>
      </w:pPr>
      <w:r>
        <w:rPr>
          <w:szCs w:val="22"/>
        </w:rPr>
      </w:r>
    </w:p>
    <w:p>
      <w:pPr>
        <w:pStyle w:val="Normal"/>
        <w:jc w:val="both"/>
        <w:rPr>
          <w:color w:val="800080"/>
          <w:szCs w:val="22"/>
        </w:rPr>
      </w:pPr>
      <w:r>
        <w:rPr>
          <w:color w:val="800080"/>
          <w:szCs w:val="22"/>
        </w:rPr>
        <w:t>The PST Supplier shall maintain the Insurance Policies in force in accordance with the requirements of this clause 14 for a period of 3 years following expiry or termination of this MSA.</w:t>
      </w:r>
    </w:p>
    <w:p>
      <w:pPr>
        <w:pStyle w:val="Normal"/>
        <w:jc w:val="both"/>
        <w:rPr>
          <w:color w:val="800080"/>
          <w:szCs w:val="22"/>
        </w:rPr>
      </w:pPr>
      <w:r>
        <w:rPr>
          <w:color w:val="800080"/>
          <w:szCs w:val="22"/>
        </w:rPr>
      </w:r>
      <w:bookmarkStart w:id="119" w:name="_Ref125357554"/>
      <w:bookmarkStart w:id="120" w:name="_Ref125357554"/>
    </w:p>
    <w:p>
      <w:pPr>
        <w:pStyle w:val="Heading1"/>
        <w:keepNext w:val="false"/>
        <w:keepLines w:val="false"/>
        <w:tabs>
          <w:tab w:val="clear" w:pos="720"/>
          <w:tab w:val="left" w:pos="360" w:leader="none"/>
        </w:tabs>
        <w:spacing w:before="240" w:after="240"/>
        <w:ind w:hanging="0" w:start="0"/>
        <w:jc w:val="center"/>
        <w:rPr>
          <w:rFonts w:ascii="Times New Roman Bold;Times New Roman" w:hAnsi="Times New Roman Bold;Times New Roman" w:cs="Arial"/>
          <w:bCs/>
          <w:kern w:val="2"/>
          <w:szCs w:val="22"/>
        </w:rPr>
      </w:pPr>
      <w:bookmarkStart w:id="121" w:name="_Ref125357554"/>
      <w:r>
        <w:rPr>
          <w:rFonts w:cs="Arial" w:ascii="Times New Roman Bold;Times New Roman" w:hAnsi="Times New Roman Bold;Times New Roman"/>
          <w:bCs/>
          <w:kern w:val="2"/>
          <w:szCs w:val="22"/>
        </w:rPr>
        <w:t>15</w:t>
        <w:tab/>
        <w:t>LSA R</w:t>
      </w:r>
      <w:bookmarkEnd w:id="121"/>
      <w:r>
        <w:rPr>
          <w:rFonts w:cs="Arial" w:ascii="Times New Roman Bold;Times New Roman" w:hAnsi="Times New Roman Bold;Times New Roman"/>
          <w:bCs/>
          <w:kern w:val="2"/>
          <w:szCs w:val="22"/>
        </w:rPr>
        <w:t>EQUIREMENTS</w:t>
      </w:r>
    </w:p>
    <w:p>
      <w:pPr>
        <w:pStyle w:val="Normal"/>
        <w:jc w:val="both"/>
        <w:rPr>
          <w:szCs w:val="22"/>
        </w:rPr>
      </w:pPr>
      <w:r>
        <w:rPr>
          <w:szCs w:val="22"/>
        </w:rPr>
        <w:t xml:space="preserve">The LSAs shall: </w:t>
      </w:r>
    </w:p>
    <w:p>
      <w:pPr>
        <w:pStyle w:val="Normal"/>
        <w:jc w:val="both"/>
        <w:rPr>
          <w:szCs w:val="22"/>
        </w:rPr>
      </w:pPr>
      <w:r>
        <w:rPr>
          <w:szCs w:val="22"/>
        </w:rPr>
      </w:r>
    </w:p>
    <w:p>
      <w:pPr>
        <w:pStyle w:val="Normal"/>
        <w:ind w:hanging="720" w:start="720" w:end="0"/>
        <w:jc w:val="both"/>
        <w:rPr/>
      </w:pPr>
      <w:r>
        <w:rPr>
          <w:szCs w:val="22"/>
        </w:rPr>
        <w:t>(a)</w:t>
        <w:tab/>
        <w:t>be in the form agreed between the parties to meet the requirements of Applicable Law;</w:t>
      </w:r>
    </w:p>
    <w:p>
      <w:pPr>
        <w:pStyle w:val="Normal"/>
        <w:ind w:hanging="720" w:start="720" w:end="0"/>
        <w:jc w:val="both"/>
        <w:rPr>
          <w:szCs w:val="22"/>
        </w:rPr>
      </w:pPr>
      <w:r>
        <w:rPr>
          <w:szCs w:val="22"/>
        </w:rPr>
      </w:r>
    </w:p>
    <w:p>
      <w:pPr>
        <w:pStyle w:val="Normal"/>
        <w:ind w:hanging="720" w:start="720" w:end="0"/>
        <w:jc w:val="both"/>
        <w:rPr/>
      </w:pPr>
      <w:r>
        <w:rPr>
          <w:szCs w:val="22"/>
        </w:rPr>
        <w:t>(b)</w:t>
        <w:tab/>
        <w:t>be executed and delivered by the contracting parties in the In-Scope Countries set out in, in the case of EuroBank, Exhibit 7 (Sites and Local Entities) and in the case of the PST Supplier, Exhibit 26 (Service Provider Local Entities) or, in the case of any New Countries, by the contracting parties agreed by the parties for this purpose;</w:t>
      </w:r>
      <w:r>
        <w:rPr>
          <w:i/>
          <w:szCs w:val="22"/>
        </w:rPr>
      </w:r>
      <w:r>
        <w:rPr>
          <w:szCs w:val="22"/>
        </w:rPr>
      </w:r>
      <w:r>
        <w:rPr>
          <w:i/>
          <w:szCs w:val="22"/>
        </w:rPr>
      </w:r>
      <w:r>
        <w:rPr>
          <w:szCs w:val="22"/>
        </w:rPr>
      </w:r>
    </w:p>
    <w:p>
      <w:pPr>
        <w:pStyle w:val="Normal"/>
        <w:ind w:hanging="720" w:start="720" w:end="0"/>
        <w:jc w:val="both"/>
        <w:rPr>
          <w:szCs w:val="22"/>
        </w:rPr>
      </w:pPr>
      <w:r>
        <w:rPr>
          <w:szCs w:val="22"/>
        </w:rPr>
      </w:r>
    </w:p>
    <w:p>
      <w:pPr>
        <w:pStyle w:val="Normal"/>
        <w:ind w:hanging="720" w:start="720" w:end="0"/>
        <w:jc w:val="both"/>
        <w:rPr/>
      </w:pPr>
      <w:r>
        <w:rPr>
          <w:szCs w:val="22"/>
        </w:rPr>
        <w:t>(c)</w:t>
        <w:tab/>
        <w:t>not come into effect until the earlier of Completion or the Local Completion Date;</w:t>
      </w:r>
    </w:p>
    <w:p>
      <w:pPr>
        <w:pStyle w:val="Normal"/>
        <w:ind w:hanging="720" w:start="720" w:end="0"/>
        <w:jc w:val="both"/>
        <w:rPr>
          <w:szCs w:val="22"/>
        </w:rPr>
      </w:pPr>
      <w:r>
        <w:rPr>
          <w:szCs w:val="22"/>
        </w:rPr>
      </w:r>
    </w:p>
    <w:p>
      <w:pPr>
        <w:pStyle w:val="Normal"/>
        <w:ind w:hanging="720" w:start="720" w:end="0"/>
        <w:jc w:val="both"/>
        <w:rPr/>
      </w:pPr>
      <w:r>
        <w:rPr>
          <w:szCs w:val="22"/>
        </w:rPr>
        <w:t>(d)</w:t>
        <w:tab/>
        <w:t>be governed by the law of the Netherlands, unless Applicable Law requires otherwise; and</w:t>
      </w:r>
    </w:p>
    <w:p>
      <w:pPr>
        <w:pStyle w:val="Normal"/>
        <w:ind w:hanging="720" w:start="720" w:end="0"/>
        <w:jc w:val="both"/>
        <w:rPr>
          <w:szCs w:val="22"/>
        </w:rPr>
      </w:pPr>
      <w:r>
        <w:rPr>
          <w:szCs w:val="22"/>
        </w:rPr>
      </w:r>
    </w:p>
    <w:p>
      <w:pPr>
        <w:pStyle w:val="Normal"/>
        <w:ind w:hanging="720" w:start="720" w:end="0"/>
        <w:jc w:val="both"/>
        <w:rPr>
          <w:szCs w:val="22"/>
        </w:rPr>
      </w:pPr>
      <w:r>
        <w:rPr>
          <w:szCs w:val="22"/>
        </w:rPr>
        <w:t>(e)</w:t>
        <w:tab/>
        <w:t>be drafted in the English language.  If Applicable Law requires the LSA to be drafted in a language other than English, an additional LSA shall be prepared.  To the extent legally permitted, the English language version of the LSA shall prevail if there is any inconsistency.</w:t>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bookmarkStart w:id="122" w:name="_Ref115147611"/>
      <w:bookmarkStart w:id="123" w:name="_Ref110876335"/>
      <w:r>
        <w:rPr>
          <w:rFonts w:cs="Arial" w:ascii="Times New Roman Bold;Times New Roman" w:hAnsi="Times New Roman Bold;Times New Roman"/>
          <w:bCs/>
          <w:kern w:val="2"/>
          <w:szCs w:val="22"/>
        </w:rPr>
        <w:t>16</w:t>
        <w:tab/>
        <w:t>TERMINATION</w:t>
      </w:r>
      <w:bookmarkEnd w:id="122"/>
      <w:bookmarkEnd w:id="123"/>
    </w:p>
    <w:p>
      <w:pPr>
        <w:pStyle w:val="Normal"/>
        <w:numPr>
          <w:ilvl w:val="0"/>
          <w:numId w:val="0"/>
        </w:numPr>
        <w:spacing w:before="120" w:after="120"/>
        <w:ind w:hanging="0" w:start="0"/>
        <w:jc w:val="both"/>
        <w:rPr/>
      </w:pPr>
      <w:bookmarkStart w:id="124" w:name="_Ref110877131"/>
      <w:r>
        <w:rPr>
          <w:b/>
          <w:szCs w:val="22"/>
        </w:rPr>
        <w:t>16.1</w:t>
        <w:tab/>
        <w:t xml:space="preserve">No </w:t>
      </w:r>
      <w:bookmarkEnd w:id="124"/>
      <w:r>
        <w:rPr>
          <w:b/>
          <w:szCs w:val="22"/>
        </w:rPr>
        <w:t>dissolution (</w:t>
      </w:r>
      <w:r>
        <w:rPr>
          <w:b/>
          <w:i/>
          <w:szCs w:val="22"/>
        </w:rPr>
        <w:t>ontbinding</w:t>
      </w:r>
      <w:r>
        <w:rPr>
          <w:b/>
          <w:szCs w:val="22"/>
        </w:rPr>
        <w:t>)</w:t>
      </w:r>
    </w:p>
    <w:p>
      <w:pPr>
        <w:pStyle w:val="Normal"/>
        <w:jc w:val="both"/>
        <w:rPr>
          <w:szCs w:val="22"/>
        </w:rPr>
      </w:pPr>
      <w:r>
        <w:rPr>
          <w:szCs w:val="22"/>
        </w:rPr>
        <w:t>The parties waive the right to dissolve (</w:t>
      </w:r>
      <w:r>
        <w:rPr>
          <w:i/>
          <w:szCs w:val="22"/>
        </w:rPr>
        <w:t>ontbinden</w:t>
      </w:r>
      <w:r>
        <w:rPr>
          <w:szCs w:val="22"/>
        </w:rPr>
        <w:t>) this MSA.  Articles 6:265 to 6:272 of the Dutch Civil Code are excluded.</w:t>
      </w:r>
      <w:bookmarkStart w:id="125" w:name="_Ref110876512"/>
    </w:p>
    <w:p>
      <w:pPr>
        <w:pStyle w:val="Normal"/>
        <w:jc w:val="both"/>
        <w:rPr>
          <w:szCs w:val="22"/>
        </w:rPr>
      </w:pPr>
      <w:r>
        <w:rPr>
          <w:szCs w:val="22"/>
        </w:rPr>
      </w:r>
    </w:p>
    <w:p>
      <w:pPr>
        <w:pStyle w:val="Normal"/>
        <w:numPr>
          <w:ilvl w:val="0"/>
          <w:numId w:val="0"/>
        </w:numPr>
        <w:spacing w:before="120" w:after="120"/>
        <w:ind w:hanging="0" w:start="0"/>
        <w:jc w:val="both"/>
        <w:rPr/>
      </w:pPr>
      <w:r>
        <w:rPr>
          <w:b/>
          <w:szCs w:val="22"/>
        </w:rPr>
        <w:t>16.2</w:t>
        <w:tab/>
        <w:t>Termination for cause</w:t>
      </w:r>
      <w:bookmarkEnd w:id="125"/>
    </w:p>
    <w:p>
      <w:pPr>
        <w:pStyle w:val="Normal"/>
        <w:jc w:val="both"/>
        <w:rPr/>
      </w:pPr>
      <w:bookmarkStart w:id="126" w:name="_Ref110876992"/>
      <w:r>
        <w:rPr>
          <w:szCs w:val="22"/>
        </w:rPr>
        <w:t>16.2.1</w:t>
        <w:tab/>
        <w:t>Either party may terminate this MSA with immediate effect by notifying the other party:</w:t>
      </w:r>
      <w:bookmarkEnd w:id="126"/>
      <w:r>
        <w:rPr>
          <w:szCs w:val="22"/>
        </w:rPr>
        <w:t xml:space="preserve"> </w:t>
      </w:r>
    </w:p>
    <w:p>
      <w:pPr>
        <w:pStyle w:val="Normal"/>
        <w:jc w:val="both"/>
        <w:rPr>
          <w:szCs w:val="22"/>
        </w:rPr>
      </w:pPr>
      <w:r>
        <w:rPr>
          <w:szCs w:val="22"/>
        </w:rPr>
      </w:r>
    </w:p>
    <w:p>
      <w:pPr>
        <w:pStyle w:val="Normal"/>
        <w:ind w:hanging="720" w:start="720" w:end="0"/>
        <w:jc w:val="both"/>
        <w:rPr/>
      </w:pPr>
      <w:r>
        <w:rPr>
          <w:szCs w:val="22"/>
        </w:rPr>
        <w:t>(a)</w:t>
        <w:tab/>
        <w:t>if the other party has committed a material breach of this MSA which is irremediable; or</w:t>
      </w:r>
    </w:p>
    <w:p>
      <w:pPr>
        <w:pStyle w:val="Normal"/>
        <w:ind w:hanging="720" w:start="720" w:end="0"/>
        <w:jc w:val="both"/>
        <w:rPr>
          <w:szCs w:val="22"/>
        </w:rPr>
      </w:pPr>
      <w:r>
        <w:rPr>
          <w:szCs w:val="22"/>
        </w:rPr>
      </w:r>
    </w:p>
    <w:p>
      <w:pPr>
        <w:pStyle w:val="Normal"/>
        <w:ind w:hanging="720" w:start="720" w:end="0"/>
        <w:jc w:val="both"/>
        <w:rPr/>
      </w:pPr>
      <w:r>
        <w:rPr>
          <w:szCs w:val="22"/>
        </w:rPr>
        <w:t>(b)</w:t>
        <w:tab/>
        <w:t xml:space="preserve">if the  other party has committed a material breach of this MSA which is capable of remedy and it has failed to remedy the breach within 25 Business Days of receiving notice from the other party to do so; or </w:t>
      </w:r>
    </w:p>
    <w:p>
      <w:pPr>
        <w:pStyle w:val="Normal"/>
        <w:ind w:hanging="720" w:start="720" w:end="0"/>
        <w:jc w:val="both"/>
        <w:rPr>
          <w:szCs w:val="22"/>
        </w:rPr>
      </w:pPr>
      <w:r>
        <w:rPr>
          <w:szCs w:val="22"/>
        </w:rPr>
      </w:r>
    </w:p>
    <w:p>
      <w:pPr>
        <w:pStyle w:val="Normal"/>
        <w:ind w:hanging="720" w:start="720" w:end="0"/>
        <w:jc w:val="both"/>
        <w:rPr/>
      </w:pPr>
      <w:r>
        <w:rPr>
          <w:szCs w:val="22"/>
        </w:rPr>
        <w:t>(c)</w:t>
        <w:tab/>
        <w:t xml:space="preserve">if the performance by the other party of one or more of its obligations under this MSA becomes permanently impossible for reasons attributable to it, </w:t>
      </w:r>
    </w:p>
    <w:p>
      <w:pPr>
        <w:pStyle w:val="Normal"/>
        <w:ind w:hanging="720" w:start="720" w:end="0"/>
        <w:jc w:val="both"/>
        <w:rPr>
          <w:szCs w:val="22"/>
        </w:rPr>
      </w:pPr>
      <w:r>
        <w:rPr>
          <w:szCs w:val="22"/>
        </w:rPr>
      </w:r>
    </w:p>
    <w:p>
      <w:pPr>
        <w:pStyle w:val="Normal"/>
        <w:jc w:val="both"/>
        <w:rPr/>
      </w:pPr>
      <w:r>
        <w:rPr>
          <w:szCs w:val="22"/>
        </w:rPr>
        <w:t>provided that the PST Supplier may only exercise its rights under this clause 16.2 after first having obtained the order of a court of competent jurisdiction permitting the PST Supplier  to exercise its rights under this clause 16.2. For the purpose of clause 16.2.1, any breach of the warranties in clause 7.2 shall be deemed to be a material breach of this MSA.</w:t>
      </w:r>
    </w:p>
    <w:p>
      <w:pPr>
        <w:pStyle w:val="Normal"/>
        <w:jc w:val="both"/>
        <w:rPr>
          <w:szCs w:val="22"/>
        </w:rPr>
      </w:pPr>
      <w:r>
        <w:rPr>
          <w:szCs w:val="22"/>
        </w:rPr>
      </w:r>
    </w:p>
    <w:p>
      <w:pPr>
        <w:pStyle w:val="Normal"/>
        <w:jc w:val="both"/>
        <w:rPr/>
      </w:pPr>
      <w:r>
        <w:rPr>
          <w:szCs w:val="22"/>
        </w:rPr>
        <w:t>16.2.2</w:t>
        <w:tab/>
        <w:t>Without limiting clause 16.2.1, if:</w:t>
      </w:r>
    </w:p>
    <w:p>
      <w:pPr>
        <w:pStyle w:val="Normal"/>
        <w:jc w:val="both"/>
        <w:rPr>
          <w:szCs w:val="22"/>
        </w:rPr>
      </w:pPr>
      <w:r>
        <w:rPr>
          <w:szCs w:val="22"/>
        </w:rPr>
      </w:r>
    </w:p>
    <w:p>
      <w:pPr>
        <w:pStyle w:val="Normal"/>
        <w:ind w:hanging="720" w:start="720" w:end="0"/>
        <w:jc w:val="both"/>
        <w:rPr/>
      </w:pPr>
      <w:r>
        <w:rPr>
          <w:szCs w:val="22"/>
        </w:rPr>
        <w:t>(a)</w:t>
        <w:tab/>
        <w:t>3 Critical Service Failures (as set out in Exhibit 21 (</w:t>
      </w:r>
      <w:r>
        <w:rPr>
          <w:i/>
          <w:szCs w:val="22"/>
        </w:rPr>
        <w:t>Critical Services and Critical Events</w:t>
      </w:r>
      <w:r>
        <w:rPr>
          <w:szCs w:val="22"/>
        </w:rPr>
        <w:t>)) occur during any 12 month period;</w:t>
      </w:r>
    </w:p>
    <w:p>
      <w:pPr>
        <w:pStyle w:val="Normal"/>
        <w:ind w:hanging="720" w:start="720" w:end="0"/>
        <w:jc w:val="both"/>
        <w:rPr>
          <w:szCs w:val="22"/>
        </w:rPr>
      </w:pPr>
      <w:r>
        <w:rPr>
          <w:szCs w:val="22"/>
        </w:rPr>
      </w:r>
    </w:p>
    <w:p>
      <w:pPr>
        <w:pStyle w:val="Normal"/>
        <w:ind w:hanging="720" w:start="720" w:end="0"/>
        <w:jc w:val="both"/>
        <w:rPr/>
      </w:pPr>
      <w:r>
        <w:rPr>
          <w:szCs w:val="22"/>
        </w:rPr>
        <w:t>(b)</w:t>
        <w:tab/>
        <w:t xml:space="preserve">the other party commits a series of breaches of this MSA which are notified by the other party, and in each case the other party fails to remedy the breach within 25 Business Days of receiving notice from the other party to do so, and collectively the unremedied breaches constitute a material breach of this MSA; </w:t>
      </w:r>
    </w:p>
    <w:p>
      <w:pPr>
        <w:pStyle w:val="Normal"/>
        <w:ind w:hanging="720" w:start="720" w:end="0"/>
        <w:jc w:val="both"/>
        <w:rPr>
          <w:szCs w:val="22"/>
        </w:rPr>
      </w:pPr>
      <w:r>
        <w:rPr>
          <w:szCs w:val="22"/>
        </w:rPr>
      </w:r>
    </w:p>
    <w:p>
      <w:pPr>
        <w:pStyle w:val="Normal"/>
        <w:ind w:hanging="720" w:start="720" w:end="0"/>
        <w:jc w:val="both"/>
        <w:rPr/>
      </w:pPr>
      <w:r>
        <w:rPr>
          <w:szCs w:val="22"/>
        </w:rPr>
        <w:t>(c)</w:t>
        <w:tab/>
        <w:t>any Critical Deliverable has not been Accepted by the relevant Critical Deliverable Long Stop Date for reasons attributable to the PST Supplier;</w:t>
      </w:r>
    </w:p>
    <w:p>
      <w:pPr>
        <w:pStyle w:val="Normal"/>
        <w:ind w:hanging="720" w:start="720" w:end="0"/>
        <w:jc w:val="both"/>
        <w:rPr>
          <w:szCs w:val="22"/>
        </w:rPr>
      </w:pPr>
      <w:r>
        <w:rPr>
          <w:szCs w:val="22"/>
        </w:rPr>
      </w:r>
    </w:p>
    <w:p>
      <w:pPr>
        <w:pStyle w:val="Normal"/>
        <w:ind w:hanging="720" w:start="720" w:end="0"/>
        <w:jc w:val="both"/>
        <w:rPr/>
      </w:pPr>
      <w:r>
        <w:rPr>
          <w:szCs w:val="22"/>
        </w:rPr>
        <w:t>(d)</w:t>
        <w:tab/>
        <w:t xml:space="preserve">the occurrence of the circumstances described in clause 3.4; or </w:t>
      </w:r>
    </w:p>
    <w:p>
      <w:pPr>
        <w:pStyle w:val="Normal"/>
        <w:ind w:hanging="720" w:start="720" w:end="0"/>
        <w:jc w:val="both"/>
        <w:rPr>
          <w:szCs w:val="22"/>
        </w:rPr>
      </w:pPr>
      <w:r>
        <w:rPr>
          <w:szCs w:val="22"/>
        </w:rPr>
      </w:r>
    </w:p>
    <w:p>
      <w:pPr>
        <w:pStyle w:val="Normal"/>
        <w:ind w:hanging="720" w:start="720" w:end="0"/>
        <w:jc w:val="both"/>
        <w:rPr/>
      </w:pPr>
      <w:r>
        <w:rPr>
          <w:szCs w:val="22"/>
        </w:rPr>
        <w:t>(e)</w:t>
        <w:tab/>
        <w:t>the Guarantor is in material breach of the Guarantee or the Guarantee is terminated or expires for any reason,</w:t>
      </w:r>
    </w:p>
    <w:p>
      <w:pPr>
        <w:pStyle w:val="Normal"/>
        <w:jc w:val="both"/>
        <w:rPr>
          <w:szCs w:val="22"/>
        </w:rPr>
      </w:pPr>
      <w:r>
        <w:rPr>
          <w:szCs w:val="22"/>
        </w:rPr>
      </w:r>
    </w:p>
    <w:p>
      <w:pPr>
        <w:pStyle w:val="Normal"/>
        <w:jc w:val="both"/>
        <w:rPr>
          <w:szCs w:val="22"/>
        </w:rPr>
      </w:pPr>
      <w:r>
        <w:rPr>
          <w:szCs w:val="22"/>
        </w:rPr>
        <w:t xml:space="preserve">then the PST Supplier shall be in material breach of this MSA and EuroBank may terminate this MSA with immediate effect by notifying the PST Supplier. </w:t>
      </w:r>
    </w:p>
    <w:p>
      <w:pPr>
        <w:pStyle w:val="Normal"/>
        <w:jc w:val="both"/>
        <w:rPr>
          <w:szCs w:val="22"/>
        </w:rPr>
      </w:pPr>
      <w:r>
        <w:rPr>
          <w:szCs w:val="22"/>
        </w:rPr>
      </w:r>
      <w:bookmarkStart w:id="127" w:name="_Ref110841189"/>
      <w:bookmarkStart w:id="128" w:name="_Ref110841189"/>
    </w:p>
    <w:p>
      <w:pPr>
        <w:pStyle w:val="Normal"/>
        <w:jc w:val="both"/>
        <w:rPr/>
      </w:pPr>
      <w:bookmarkStart w:id="129" w:name="_Ref110841189"/>
      <w:r>
        <w:rPr>
          <w:szCs w:val="22"/>
        </w:rPr>
        <w:t>16.2.3</w:t>
        <w:tab/>
        <w:t>The PST Supplier may terminate this MSA with immediate effect by notifying EuroBank if:</w:t>
      </w:r>
      <w:bookmarkEnd w:id="129"/>
    </w:p>
    <w:p>
      <w:pPr>
        <w:pStyle w:val="Normal"/>
        <w:jc w:val="both"/>
        <w:rPr>
          <w:szCs w:val="22"/>
        </w:rPr>
      </w:pPr>
      <w:r>
        <w:rPr>
          <w:szCs w:val="22"/>
        </w:rPr>
      </w:r>
    </w:p>
    <w:p>
      <w:pPr>
        <w:pStyle w:val="Normal"/>
        <w:ind w:hanging="720" w:start="720" w:end="0"/>
        <w:jc w:val="both"/>
        <w:rPr/>
      </w:pPr>
      <w:r>
        <w:rPr>
          <w:szCs w:val="22"/>
        </w:rPr>
        <w:t>(a)</w:t>
        <w:tab/>
        <w:t>EuroBank is in material breach of its obligation to pay undisputed Charges; and</w:t>
      </w:r>
    </w:p>
    <w:p>
      <w:pPr>
        <w:pStyle w:val="Normal"/>
        <w:ind w:hanging="720" w:start="720" w:end="0"/>
        <w:jc w:val="both"/>
        <w:rPr>
          <w:szCs w:val="22"/>
        </w:rPr>
      </w:pPr>
      <w:r>
        <w:rPr>
          <w:szCs w:val="22"/>
        </w:rPr>
      </w:r>
    </w:p>
    <w:p>
      <w:pPr>
        <w:pStyle w:val="Normal"/>
        <w:ind w:hanging="720" w:start="720" w:end="0"/>
        <w:jc w:val="both"/>
        <w:rPr/>
      </w:pPr>
      <w:r>
        <w:rPr>
          <w:szCs w:val="22"/>
        </w:rPr>
        <w:t>(b)</w:t>
        <w:tab/>
        <w:t>the PST Supplier has issued at least one previous notice to EuroBank, detailing the overdue undisputed Charges, and stating that unless they are paid, the PST Supplier intends to terminate this MSA; and</w:t>
      </w:r>
    </w:p>
    <w:p>
      <w:pPr>
        <w:pStyle w:val="Normal"/>
        <w:ind w:hanging="720" w:start="720" w:end="0"/>
        <w:jc w:val="both"/>
        <w:rPr>
          <w:szCs w:val="22"/>
        </w:rPr>
      </w:pPr>
      <w:r>
        <w:rPr>
          <w:szCs w:val="22"/>
        </w:rPr>
      </w:r>
    </w:p>
    <w:p>
      <w:pPr>
        <w:pStyle w:val="Normal"/>
        <w:ind w:hanging="720" w:start="720" w:end="0"/>
        <w:jc w:val="both"/>
        <w:rPr/>
      </w:pPr>
      <w:r>
        <w:rPr>
          <w:szCs w:val="22"/>
        </w:rPr>
        <w:t>(c)</w:t>
        <w:tab/>
        <w:t>EuroBank has failed to remedy the breach within 30 Business Days of receipt of the PST Supplier’s notice under (b).</w:t>
      </w:r>
    </w:p>
    <w:p>
      <w:pPr>
        <w:pStyle w:val="Normal"/>
        <w:jc w:val="both"/>
        <w:rPr>
          <w:szCs w:val="22"/>
        </w:rPr>
      </w:pPr>
      <w:r>
        <w:rPr>
          <w:szCs w:val="22"/>
        </w:rPr>
      </w:r>
    </w:p>
    <w:p>
      <w:pPr>
        <w:pStyle w:val="Normal"/>
        <w:numPr>
          <w:ilvl w:val="1"/>
          <w:numId w:val="18"/>
        </w:numPr>
        <w:tabs>
          <w:tab w:val="clear" w:pos="720"/>
        </w:tabs>
        <w:spacing w:before="120" w:after="120"/>
        <w:ind w:hanging="0" w:start="0" w:end="0"/>
        <w:jc w:val="both"/>
        <w:rPr>
          <w:b/>
          <w:szCs w:val="22"/>
        </w:rPr>
      </w:pPr>
      <w:bookmarkStart w:id="130" w:name="_Ref139259891"/>
      <w:r>
        <w:rPr>
          <w:b/>
          <w:szCs w:val="22"/>
        </w:rPr>
        <w:t>Termination for convenience</w:t>
      </w:r>
      <w:bookmarkEnd w:id="130"/>
    </w:p>
    <w:p>
      <w:pPr>
        <w:pStyle w:val="Normal"/>
        <w:jc w:val="both"/>
        <w:rPr>
          <w:b/>
          <w:szCs w:val="22"/>
        </w:rPr>
      </w:pPr>
      <w:r>
        <w:rPr>
          <w:b/>
          <w:szCs w:val="22"/>
        </w:rPr>
      </w:r>
    </w:p>
    <w:p>
      <w:pPr>
        <w:pStyle w:val="Normal"/>
        <w:jc w:val="both"/>
        <w:rPr/>
      </w:pPr>
      <w:r>
        <w:rPr>
          <w:szCs w:val="22"/>
          <w:highlight w:val="yellow"/>
        </w:rPr>
        <w:t>Additional wording for Vendor Gamma MSA:</w:t>
      </w:r>
      <w:r>
        <w:rPr>
          <w:szCs w:val="22"/>
        </w:rPr>
      </w:r>
    </w:p>
    <w:p>
      <w:pPr>
        <w:pStyle w:val="Normal"/>
        <w:jc w:val="both"/>
        <w:rPr>
          <w:szCs w:val="22"/>
        </w:rPr>
      </w:pPr>
      <w:r>
        <w:rPr>
          <w:szCs w:val="22"/>
        </w:rPr>
      </w:r>
    </w:p>
    <w:p>
      <w:pPr>
        <w:pStyle w:val="Normal"/>
        <w:jc w:val="both"/>
        <w:rPr>
          <w:szCs w:val="22"/>
        </w:rPr>
      </w:pPr>
      <w:r>
        <w:rPr>
          <w:szCs w:val="22"/>
        </w:rPr>
        <w:t>a)</w:t>
        <w:tab/>
        <w:t>At any time prior to the 1st January 2008, EuroBank may give 3 months’ notice to terminate this MSA and in that event EuroBank shall pay 50% of the Termination Fees.</w:t>
      </w:r>
      <w:r>
        <w:rPr>
          <w:szCs w:val="22"/>
          <w:vertAlign w:val="superscript"/>
        </w:rPr>
      </w:r>
      <w:r>
        <w:rPr>
          <w:szCs w:val="22"/>
        </w:rPr>
      </w:r>
    </w:p>
    <w:p>
      <w:pPr>
        <w:pStyle w:val="Normal"/>
        <w:jc w:val="both"/>
        <w:rPr>
          <w:szCs w:val="22"/>
        </w:rPr>
      </w:pPr>
      <w:r>
        <w:rPr>
          <w:szCs w:val="22"/>
        </w:rPr>
      </w:r>
    </w:p>
    <w:p>
      <w:pPr>
        <w:pStyle w:val="Normal"/>
        <w:jc w:val="both"/>
        <w:rPr/>
      </w:pPr>
      <w:r>
        <w:rPr>
          <w:szCs w:val="22"/>
          <w:highlight w:val="yellow"/>
        </w:rPr>
        <w:t>General MSA</w:t>
      </w:r>
      <w:r>
        <w:rPr>
          <w:szCs w:val="22"/>
        </w:rPr>
        <w:t>:</w:t>
      </w:r>
    </w:p>
    <w:p>
      <w:pPr>
        <w:pStyle w:val="Normal"/>
        <w:jc w:val="both"/>
        <w:rPr>
          <w:szCs w:val="22"/>
        </w:rPr>
      </w:pPr>
      <w:r>
        <w:rPr>
          <w:szCs w:val="22"/>
        </w:rPr>
      </w:r>
    </w:p>
    <w:p>
      <w:pPr>
        <w:pStyle w:val="Normal"/>
        <w:jc w:val="both"/>
        <w:rPr>
          <w:szCs w:val="22"/>
        </w:rPr>
      </w:pPr>
      <w:r>
        <w:rPr>
          <w:szCs w:val="22"/>
        </w:rPr>
        <w:t xml:space="preserve">EuroBank may terminate this MSA for convenience at any time by giving at least 6 months’ written notice to the PST Supplier, provided that (where EuroBank’s termination for convenience takes effect prior to the fifth anniversary of the Commencement Date only) EuroBank shall pay the PST Supplier’s Irrecoverable Costs arising from the termination, plus the Termination Fees as set out in Exhibit 4 (Pricing and Financial Provisions).  The provisions of Exhibit 20 (Termination Assistance) shall apply. </w:t>
      </w:r>
      <w:r>
        <w:rPr>
          <w:i/>
          <w:szCs w:val="22"/>
        </w:rPr>
      </w:r>
      <w:r>
        <w:rPr>
          <w:szCs w:val="22"/>
        </w:rPr>
      </w:r>
      <w:r>
        <w:rPr>
          <w:i/>
          <w:szCs w:val="22"/>
        </w:rPr>
      </w:r>
      <w:r>
        <w:rPr>
          <w:szCs w:val="22"/>
        </w:rPr>
      </w:r>
    </w:p>
    <w:p>
      <w:pPr>
        <w:pStyle w:val="Normal"/>
        <w:jc w:val="both"/>
        <w:rPr>
          <w:szCs w:val="22"/>
        </w:rPr>
      </w:pPr>
      <w:r>
        <w:rPr>
          <w:szCs w:val="22"/>
        </w:rPr>
      </w:r>
    </w:p>
    <w:p>
      <w:pPr>
        <w:pStyle w:val="Normal"/>
        <w:numPr>
          <w:ilvl w:val="1"/>
          <w:numId w:val="18"/>
        </w:numPr>
        <w:tabs>
          <w:tab w:val="clear" w:pos="720"/>
        </w:tabs>
        <w:spacing w:before="120" w:after="120"/>
        <w:ind w:hanging="0" w:start="0" w:end="0"/>
        <w:jc w:val="both"/>
        <w:rPr>
          <w:b/>
          <w:szCs w:val="22"/>
        </w:rPr>
      </w:pPr>
      <w:bookmarkStart w:id="131" w:name="_Ref139259214"/>
      <w:bookmarkStart w:id="132" w:name="_Ref110876601"/>
      <w:bookmarkStart w:id="133" w:name="_Ref110876521"/>
      <w:r>
        <w:rPr>
          <w:b/>
          <w:szCs w:val="22"/>
        </w:rPr>
        <w:t>Termination for insolvency</w:t>
      </w:r>
      <w:bookmarkEnd w:id="131"/>
      <w:bookmarkEnd w:id="132"/>
      <w:bookmarkEnd w:id="133"/>
    </w:p>
    <w:p>
      <w:pPr>
        <w:pStyle w:val="Normal"/>
        <w:jc w:val="both"/>
        <w:rPr/>
      </w:pPr>
      <w:r>
        <w:rPr>
          <w:szCs w:val="22"/>
        </w:rPr>
        <w:t>16.4.1</w:t>
        <w:tab/>
        <w:t>Either party may terminate this MSA with immediate effect by notifying the other party if any of the following events occurs in relation to the other party or (in the case of termination by EuroBank) the Guarantor:</w:t>
      </w:r>
    </w:p>
    <w:p>
      <w:pPr>
        <w:pStyle w:val="Normal"/>
        <w:jc w:val="both"/>
        <w:rPr>
          <w:szCs w:val="22"/>
        </w:rPr>
      </w:pPr>
      <w:r>
        <w:rPr>
          <w:szCs w:val="22"/>
        </w:rPr>
      </w:r>
    </w:p>
    <w:p>
      <w:pPr>
        <w:pStyle w:val="Normal"/>
        <w:ind w:hanging="720" w:start="720" w:end="0"/>
        <w:jc w:val="both"/>
        <w:rPr/>
      </w:pPr>
      <w:r>
        <w:rPr>
          <w:szCs w:val="22"/>
        </w:rPr>
        <w:t>(a)</w:t>
        <w:tab/>
        <w:t>either the other party or (in the case of termination by EuroBank) the Guarantor is unable or admits inability to pay its debts as they fall due or suspends making payments on any of its debts; or</w:t>
      </w:r>
    </w:p>
    <w:p>
      <w:pPr>
        <w:pStyle w:val="Normal"/>
        <w:ind w:hanging="720" w:start="720" w:end="0"/>
        <w:jc w:val="both"/>
        <w:rPr>
          <w:szCs w:val="22"/>
        </w:rPr>
      </w:pPr>
      <w:r>
        <w:rPr>
          <w:szCs w:val="22"/>
        </w:rPr>
      </w:r>
    </w:p>
    <w:p>
      <w:pPr>
        <w:pStyle w:val="Normal"/>
        <w:ind w:hanging="720" w:start="720" w:end="0"/>
        <w:jc w:val="both"/>
        <w:rPr/>
      </w:pPr>
      <w:r>
        <w:rPr>
          <w:szCs w:val="22"/>
        </w:rPr>
        <w:t>(b)</w:t>
        <w:tab/>
        <w:t xml:space="preserve">in any of the following events happening with respect to the other party or (in the case of termination by EuroBank) the Guarantor: </w:t>
      </w:r>
    </w:p>
    <w:p>
      <w:pPr>
        <w:pStyle w:val="Normal"/>
        <w:ind w:hanging="720" w:start="720" w:end="0"/>
        <w:jc w:val="both"/>
        <w:rPr>
          <w:szCs w:val="22"/>
        </w:rPr>
      </w:pPr>
      <w:r>
        <w:rPr>
          <w:szCs w:val="22"/>
        </w:rPr>
      </w:r>
    </w:p>
    <w:p>
      <w:pPr>
        <w:pStyle w:val="Normal"/>
        <w:ind w:hanging="720" w:start="1440" w:end="0"/>
        <w:jc w:val="both"/>
        <w:rPr/>
      </w:pPr>
      <w:r>
        <w:rPr>
          <w:szCs w:val="22"/>
        </w:rPr>
        <w:t>(i)</w:t>
        <w:tab/>
        <w:t>bankruptcy, suspension of payments, a moratorium of any indebtedness, winding-up, dissolution, administration or reorganisation (by way of voluntary arrangement, scheme of arrangement or otherwise) other than a solvent liquidation or reorganisation;</w:t>
      </w:r>
    </w:p>
    <w:p>
      <w:pPr>
        <w:pStyle w:val="Normal"/>
        <w:ind w:hanging="720" w:start="1440" w:end="0"/>
        <w:jc w:val="both"/>
        <w:rPr>
          <w:szCs w:val="22"/>
        </w:rPr>
      </w:pPr>
      <w:r>
        <w:rPr>
          <w:szCs w:val="22"/>
        </w:rPr>
      </w:r>
    </w:p>
    <w:p>
      <w:pPr>
        <w:pStyle w:val="Normal"/>
        <w:ind w:hanging="720" w:start="1440" w:end="0"/>
        <w:jc w:val="both"/>
        <w:rPr/>
      </w:pPr>
      <w:r>
        <w:rPr>
          <w:szCs w:val="22"/>
        </w:rPr>
        <w:t>(ii)</w:t>
        <w:tab/>
        <w:t>a composition, compromise, assignment or arrangement with such party’s creditors generally or a substantial group of creditors;</w:t>
      </w:r>
    </w:p>
    <w:p>
      <w:pPr>
        <w:pStyle w:val="Normal"/>
        <w:ind w:hanging="720" w:start="1440" w:end="0"/>
        <w:jc w:val="both"/>
        <w:rPr>
          <w:szCs w:val="22"/>
        </w:rPr>
      </w:pPr>
      <w:r>
        <w:rPr>
          <w:szCs w:val="22"/>
        </w:rPr>
      </w:r>
    </w:p>
    <w:p>
      <w:pPr>
        <w:pStyle w:val="Normal"/>
        <w:ind w:hanging="720" w:start="1440" w:end="0"/>
        <w:jc w:val="both"/>
        <w:rPr/>
      </w:pPr>
      <w:r>
        <w:rPr>
          <w:szCs w:val="22"/>
        </w:rPr>
        <w:t>(iii)</w:t>
        <w:tab/>
        <w:t>the appointment of an liquidator (other than in respect of a solvent liquidation), receiver, administrative receiver, administrator, compulsory manager or other similar officer);</w:t>
      </w:r>
    </w:p>
    <w:p>
      <w:pPr>
        <w:pStyle w:val="Normal"/>
        <w:ind w:hanging="720" w:start="1440" w:end="0"/>
        <w:jc w:val="both"/>
        <w:rPr>
          <w:szCs w:val="22"/>
        </w:rPr>
      </w:pPr>
      <w:r>
        <w:rPr>
          <w:szCs w:val="22"/>
        </w:rPr>
      </w:r>
    </w:p>
    <w:p>
      <w:pPr>
        <w:pStyle w:val="Normal"/>
        <w:ind w:hanging="720" w:start="1440" w:end="0"/>
        <w:jc w:val="both"/>
        <w:rPr/>
      </w:pPr>
      <w:r>
        <w:rPr>
          <w:szCs w:val="22"/>
        </w:rPr>
        <w:t>(iv)</w:t>
        <w:tab/>
        <w:t>any expropriation, attachment, sequestration, distress or execution affects any material asset or material assets and is not discharged within 30 days; or</w:t>
      </w:r>
    </w:p>
    <w:p>
      <w:pPr>
        <w:pStyle w:val="Normal"/>
        <w:ind w:hanging="720" w:start="1440" w:end="0"/>
        <w:jc w:val="both"/>
        <w:rPr>
          <w:szCs w:val="22"/>
        </w:rPr>
      </w:pPr>
      <w:r>
        <w:rPr>
          <w:szCs w:val="22"/>
        </w:rPr>
      </w:r>
    </w:p>
    <w:p>
      <w:pPr>
        <w:pStyle w:val="Normal"/>
        <w:ind w:hanging="720" w:start="1440" w:end="0"/>
        <w:jc w:val="both"/>
        <w:rPr/>
      </w:pPr>
      <w:r>
        <w:rPr>
          <w:szCs w:val="22"/>
        </w:rPr>
        <w:t>(v)</w:t>
        <w:tab/>
        <w:t>any analogous procedure or step is taken in any jurisdiction.</w:t>
      </w:r>
    </w:p>
    <w:p>
      <w:pPr>
        <w:pStyle w:val="Normal"/>
        <w:jc w:val="both"/>
        <w:rPr>
          <w:szCs w:val="22"/>
        </w:rPr>
      </w:pPr>
      <w:r>
        <w:rPr>
          <w:szCs w:val="22"/>
        </w:rPr>
      </w:r>
    </w:p>
    <w:p>
      <w:pPr>
        <w:pStyle w:val="Normal"/>
        <w:jc w:val="both"/>
        <w:rPr/>
      </w:pPr>
      <w:r>
        <w:rPr>
          <w:szCs w:val="22"/>
        </w:rPr>
        <w:t>16.4.2</w:t>
        <w:tab/>
        <w:t>The PST Supplier shall not be entitled to exercise its rights under this clause 16.4 unless EuroBank has failed to provide reasonably sufficient financial assurances to the PST Supplier within 10 Business Days of receiving notice from the PST Supplier to do so following the occurrence of an event listed above in relation to EuroBank.</w:t>
      </w:r>
    </w:p>
    <w:p>
      <w:pPr>
        <w:pStyle w:val="Normal"/>
        <w:jc w:val="both"/>
        <w:rPr>
          <w:szCs w:val="22"/>
        </w:rPr>
      </w:pPr>
      <w:r>
        <w:rPr>
          <w:szCs w:val="22"/>
        </w:rPr>
      </w:r>
    </w:p>
    <w:p>
      <w:pPr>
        <w:pStyle w:val="Normal"/>
        <w:numPr>
          <w:ilvl w:val="1"/>
          <w:numId w:val="18"/>
        </w:numPr>
        <w:tabs>
          <w:tab w:val="clear" w:pos="720"/>
        </w:tabs>
        <w:spacing w:before="120" w:after="120"/>
        <w:ind w:hanging="24" w:start="0" w:end="0"/>
        <w:jc w:val="both"/>
        <w:rPr>
          <w:b/>
          <w:szCs w:val="22"/>
        </w:rPr>
      </w:pPr>
      <w:r>
        <w:rPr>
          <w:b/>
          <w:szCs w:val="22"/>
        </w:rPr>
        <w:t xml:space="preserve">Termination for change of Control </w:t>
      </w:r>
    </w:p>
    <w:p>
      <w:pPr>
        <w:pStyle w:val="Normal"/>
        <w:jc w:val="both"/>
        <w:rPr>
          <w:szCs w:val="22"/>
        </w:rPr>
      </w:pPr>
      <w:bookmarkStart w:id="134" w:name="_Ref110877083"/>
      <w:r>
        <w:rPr>
          <w:szCs w:val="22"/>
        </w:rPr>
        <w:t>16.5.1</w:t>
        <w:tab/>
        <w:t>EuroBank may terminate this MSA by giving at least 6 months’ notice to the PST Supplier if, after the Effective Date, any person directly or indirectly acquires Control of the PST Supplier, excluding (i) any buy-out of an EuroBank shareholding in the PST Supplier, (ii) any minority shareholder in the PST Supplier at the Commencement Date changing its minority position into a Controlling position, or (iii) any current EuroBank supplier (as of the Effective Date) acquiring control where, in each case, the acquiring party is of at least equivalent financial standing to the PST Supplier.</w:t>
      </w:r>
      <w:bookmarkEnd w:id="134"/>
      <w:r>
        <w:rPr/>
      </w:r>
    </w:p>
    <w:p>
      <w:pPr>
        <w:pStyle w:val="Normal"/>
        <w:jc w:val="both"/>
        <w:rPr>
          <w:szCs w:val="22"/>
        </w:rPr>
      </w:pPr>
      <w:r>
        <w:rPr>
          <w:szCs w:val="22"/>
        </w:rPr>
      </w:r>
    </w:p>
    <w:p>
      <w:pPr>
        <w:pStyle w:val="Normal"/>
        <w:jc w:val="both"/>
        <w:rPr>
          <w:szCs w:val="22"/>
        </w:rPr>
      </w:pPr>
      <w:r>
        <w:rPr>
          <w:szCs w:val="22"/>
        </w:rPr>
        <w:t>16.5.2</w:t>
        <w:tab/>
        <w:t xml:space="preserve">Any termination of this MSA by EuroBank pursuant to this clause 16.5 shall be treated as a termination for convenience pursuant to clause 16.3, provided that EuroBank shall only be obliged to pay (where such termination takes place prior to the fifth anniversary of the Commencement Date only) the PST Supplier’s Irrecoverable Costs arising from the termination, plus 50% of the Termination Charges set out in Exhibit 4 (Pricing and Financial Provisions). </w:t>
      </w:r>
      <w:r>
        <w:rPr>
          <w:i/>
          <w:szCs w:val="22"/>
        </w:rPr>
      </w:r>
      <w:r>
        <w:rPr>
          <w:szCs w:val="22"/>
        </w:rPr>
      </w:r>
    </w:p>
    <w:p>
      <w:pPr>
        <w:pStyle w:val="Normal"/>
        <w:jc w:val="both"/>
        <w:rPr>
          <w:szCs w:val="22"/>
        </w:rPr>
      </w:pPr>
      <w:r>
        <w:rPr>
          <w:szCs w:val="22"/>
        </w:rPr>
      </w:r>
    </w:p>
    <w:p>
      <w:pPr>
        <w:pStyle w:val="Normal"/>
        <w:jc w:val="both"/>
        <w:rPr/>
      </w:pPr>
      <w:r>
        <w:rPr>
          <w:szCs w:val="22"/>
        </w:rPr>
        <w:t>16.5.3</w:t>
        <w:tab/>
        <w:t>The PST Supplier shall promptly notify EuroBank in writing of any change of Control.  EuroBank’s right to terminate this MSA pursuant to this clause 16.5 may be invoked at any time during the 6 months after the date that the change of Control was notified in writing to EuroBank in accordance with clause 16.5.1.</w:t>
      </w:r>
    </w:p>
    <w:p>
      <w:pPr>
        <w:pStyle w:val="Normal"/>
        <w:jc w:val="both"/>
        <w:rPr>
          <w:szCs w:val="22"/>
        </w:rPr>
      </w:pPr>
      <w:r>
        <w:rPr>
          <w:szCs w:val="22"/>
        </w:rPr>
      </w:r>
      <w:bookmarkStart w:id="135" w:name="_Ref135806923"/>
      <w:bookmarkStart w:id="136" w:name="_Ref135806923"/>
    </w:p>
    <w:p>
      <w:pPr>
        <w:pStyle w:val="Normal"/>
        <w:numPr>
          <w:ilvl w:val="1"/>
          <w:numId w:val="18"/>
        </w:numPr>
        <w:tabs>
          <w:tab w:val="clear" w:pos="720"/>
        </w:tabs>
        <w:spacing w:before="120" w:after="120"/>
        <w:ind w:hanging="24" w:start="0" w:end="0"/>
        <w:jc w:val="both"/>
        <w:rPr>
          <w:b/>
          <w:szCs w:val="22"/>
        </w:rPr>
      </w:pPr>
      <w:bookmarkStart w:id="137" w:name="_Ref135806923"/>
      <w:r>
        <w:rPr>
          <w:b/>
          <w:szCs w:val="22"/>
        </w:rPr>
        <w:t>Termination for Force Majeure Event</w:t>
      </w:r>
      <w:bookmarkEnd w:id="137"/>
    </w:p>
    <w:p>
      <w:pPr>
        <w:pStyle w:val="Normal"/>
        <w:jc w:val="both"/>
        <w:rPr>
          <w:szCs w:val="22"/>
        </w:rPr>
      </w:pPr>
      <w:r>
        <w:rPr>
          <w:szCs w:val="22"/>
        </w:rPr>
        <w:t>EuroBank may terminate this MSA with immediate effect by notifying the PST Supplier if a Force Majeure Event material to the provision or receipt of the Services as a whole continues for a period of at least 30 Business Days, without EuroBank being liable to pay any Termination Charges or any other compensation.</w:t>
      </w:r>
    </w:p>
    <w:p>
      <w:pPr>
        <w:pStyle w:val="Normal"/>
        <w:jc w:val="both"/>
        <w:rPr>
          <w:szCs w:val="22"/>
        </w:rPr>
      </w:pPr>
      <w:r>
        <w:rPr>
          <w:szCs w:val="22"/>
        </w:rPr>
      </w:r>
    </w:p>
    <w:p>
      <w:pPr>
        <w:pStyle w:val="Normal"/>
        <w:numPr>
          <w:ilvl w:val="1"/>
          <w:numId w:val="18"/>
        </w:numPr>
        <w:tabs>
          <w:tab w:val="clear" w:pos="720"/>
        </w:tabs>
        <w:spacing w:before="120" w:after="120"/>
        <w:ind w:hanging="0" w:start="0" w:end="0"/>
        <w:jc w:val="both"/>
        <w:rPr>
          <w:b/>
          <w:szCs w:val="22"/>
        </w:rPr>
      </w:pPr>
      <w:bookmarkStart w:id="138" w:name="_Ref110877139"/>
      <w:r>
        <w:rPr>
          <w:b/>
          <w:szCs w:val="22"/>
        </w:rPr>
        <w:t>Termination for regulatory change</w:t>
      </w:r>
      <w:bookmarkEnd w:id="138"/>
    </w:p>
    <w:p>
      <w:pPr>
        <w:pStyle w:val="Normal"/>
        <w:jc w:val="both"/>
        <w:rPr/>
      </w:pPr>
      <w:r>
        <w:rPr>
          <w:szCs w:val="22"/>
        </w:rPr>
        <w:t>16.7.1</w:t>
        <w:tab/>
        <w:t xml:space="preserve">If EuroBank is no longer permitted under Applicable Law to receive all or any part of the Services under this MSA from the PST Supplier and/or its Sub-Contractors where this is attributable to the PST Supplier then EuroBank shall be entitled to terminate the relevant Services under this MSA under clause 16.2. </w:t>
      </w:r>
    </w:p>
    <w:p>
      <w:pPr>
        <w:pStyle w:val="Normal"/>
        <w:jc w:val="both"/>
        <w:rPr>
          <w:szCs w:val="22"/>
        </w:rPr>
      </w:pPr>
      <w:r>
        <w:rPr>
          <w:szCs w:val="22"/>
        </w:rPr>
      </w:r>
    </w:p>
    <w:p>
      <w:pPr>
        <w:pStyle w:val="Normal"/>
        <w:jc w:val="both"/>
        <w:rPr>
          <w:szCs w:val="22"/>
        </w:rPr>
      </w:pPr>
      <w:r>
        <w:rPr>
          <w:szCs w:val="22"/>
        </w:rPr>
        <w:t>16.7.2</w:t>
        <w:tab/>
        <w:t>If EuroBank is no longer permitted under Applicable Law to receive all or any part of the Services under this MSA from the PST Supplier and/or its Sub-Contractors where this is not  attributable to the PST Supplier then this shall be a Force Majeure Event and EuroBank shall be entitled to terminate the relevant Services under clause 16.6 of this MSA, provided that (where EuroBank’s termination of this MSA takes place prior to the fifth anniversary of the Commencement Date only) the PST Supplier shall be entitled to compensation by EuroBank of its Irrecoverable Costs arising from such termination.</w:t>
      </w:r>
    </w:p>
    <w:p>
      <w:pPr>
        <w:pStyle w:val="Normal"/>
        <w:jc w:val="both"/>
        <w:rPr>
          <w:szCs w:val="22"/>
        </w:rPr>
      </w:pPr>
      <w:r>
        <w:rPr>
          <w:szCs w:val="22"/>
        </w:rPr>
      </w:r>
    </w:p>
    <w:p>
      <w:pPr>
        <w:pStyle w:val="Normal"/>
        <w:numPr>
          <w:ilvl w:val="1"/>
          <w:numId w:val="18"/>
        </w:numPr>
        <w:tabs>
          <w:tab w:val="clear" w:pos="720"/>
        </w:tabs>
        <w:spacing w:before="120" w:after="120"/>
        <w:ind w:hanging="0" w:start="0" w:end="0"/>
        <w:jc w:val="both"/>
        <w:rPr>
          <w:b/>
          <w:szCs w:val="22"/>
        </w:rPr>
      </w:pPr>
      <w:r>
        <w:rPr>
          <w:b/>
          <w:szCs w:val="22"/>
        </w:rPr>
        <w:t>Termination for mincing or benchmarking</w:t>
      </w:r>
    </w:p>
    <w:p>
      <w:pPr>
        <w:pStyle w:val="Normal"/>
        <w:jc w:val="both"/>
        <w:rPr>
          <w:szCs w:val="22"/>
        </w:rPr>
      </w:pPr>
      <w:r>
        <w:rPr>
          <w:szCs w:val="22"/>
        </w:rPr>
        <w:t>In the event of any termination of this MSA by EuroBank pursuant to Exhibit 34 (Price Adjustment and Benchmarking) no Termination Fees will be due by EuroBank and the PST Supplier shall bear EuroBank’s costs of replacing the PST Supplier with an Incoming PST Supplier (excluding external legal and tax advisory fees) up to a total maximum amount for the Term of €200,000, provided that EuroBank provides a prior estimate of such costs to the PST Supplier prior to terminating the Services and provided that EuroBank uses its reasonable efforts to minimise such costs where possible.</w:t>
      </w:r>
      <w:r>
        <w:rPr>
          <w:i/>
          <w:szCs w:val="22"/>
        </w:rPr>
      </w:r>
      <w:r>
        <w:rPr>
          <w:szCs w:val="22"/>
        </w:rPr>
      </w:r>
    </w:p>
    <w:p>
      <w:pPr>
        <w:pStyle w:val="Normal"/>
        <w:jc w:val="both"/>
        <w:rPr>
          <w:szCs w:val="22"/>
        </w:rPr>
      </w:pPr>
      <w:r>
        <w:rPr>
          <w:szCs w:val="22"/>
        </w:rPr>
      </w:r>
    </w:p>
    <w:p>
      <w:pPr>
        <w:pStyle w:val="Normal"/>
        <w:numPr>
          <w:ilvl w:val="1"/>
          <w:numId w:val="18"/>
        </w:numPr>
        <w:tabs>
          <w:tab w:val="clear" w:pos="720"/>
        </w:tabs>
        <w:spacing w:before="120" w:after="120"/>
        <w:ind w:hanging="0" w:start="0" w:end="0"/>
        <w:jc w:val="both"/>
        <w:rPr>
          <w:b/>
          <w:szCs w:val="22"/>
        </w:rPr>
      </w:pPr>
      <w:r>
        <w:rPr>
          <w:b/>
          <w:szCs w:val="22"/>
        </w:rPr>
        <w:t>Termination of LSAs</w:t>
      </w:r>
    </w:p>
    <w:p>
      <w:pPr>
        <w:pStyle w:val="Normal"/>
        <w:jc w:val="both"/>
        <w:rPr>
          <w:szCs w:val="22"/>
        </w:rPr>
      </w:pPr>
      <w:r>
        <w:rPr>
          <w:szCs w:val="22"/>
        </w:rPr>
        <w:t>On termination or expiry of this MSA in whole, all LSAs then in force shall automatically terminate with immediate effect.</w:t>
      </w:r>
    </w:p>
    <w:p>
      <w:pPr>
        <w:pStyle w:val="Normal"/>
        <w:jc w:val="both"/>
        <w:rPr>
          <w:szCs w:val="22"/>
        </w:rPr>
      </w:pPr>
      <w:r>
        <w:rPr>
          <w:szCs w:val="22"/>
        </w:rPr>
      </w:r>
    </w:p>
    <w:p>
      <w:pPr>
        <w:pStyle w:val="Normal"/>
        <w:numPr>
          <w:ilvl w:val="1"/>
          <w:numId w:val="18"/>
        </w:numPr>
        <w:tabs>
          <w:tab w:val="clear" w:pos="720"/>
        </w:tabs>
        <w:spacing w:before="120" w:after="120"/>
        <w:ind w:hanging="0" w:start="0" w:end="0"/>
        <w:jc w:val="both"/>
        <w:rPr>
          <w:b/>
          <w:szCs w:val="22"/>
        </w:rPr>
      </w:pPr>
      <w:bookmarkStart w:id="139" w:name="_Ref127609638"/>
      <w:r>
        <w:rPr>
          <w:b/>
          <w:szCs w:val="22"/>
        </w:rPr>
        <w:t>Return of materials</w:t>
      </w:r>
      <w:bookmarkEnd w:id="139"/>
    </w:p>
    <w:p>
      <w:pPr>
        <w:pStyle w:val="Normal"/>
        <w:jc w:val="both"/>
        <w:rPr>
          <w:szCs w:val="22"/>
        </w:rPr>
      </w:pPr>
      <w:r>
        <w:rPr>
          <w:szCs w:val="22"/>
        </w:rPr>
        <w:t>On termination or expiry of this MSA, the both parties shall:</w:t>
      </w:r>
    </w:p>
    <w:p>
      <w:pPr>
        <w:pStyle w:val="Normal"/>
        <w:jc w:val="both"/>
        <w:rPr>
          <w:szCs w:val="22"/>
        </w:rPr>
      </w:pPr>
      <w:r>
        <w:rPr>
          <w:szCs w:val="22"/>
        </w:rPr>
      </w:r>
    </w:p>
    <w:p>
      <w:pPr>
        <w:pStyle w:val="Normal"/>
        <w:ind w:hanging="720" w:start="720" w:end="0"/>
        <w:jc w:val="both"/>
        <w:rPr/>
      </w:pPr>
      <w:r>
        <w:rPr>
          <w:szCs w:val="22"/>
        </w:rPr>
        <w:t>(a)</w:t>
        <w:tab/>
        <w:t xml:space="preserve">to the full extent reasonably possible promptly cease using, and return, or procure the return of (in the case of the PST Supplier) any EuroBank Materials, EuroBank Data and EuroBank Confidential Information supplied to it, its Affiliates or the Sub-Contractors under this MSA and (in the case of EuroBank) any PST Supplier Materials and PST Supplier Confidential Information supplied to it, its Affiliates or its sub-contractors under this MSA, in each case, in a format and on media reasonably requested by the other party, or, at the other party’s option, destroy those copies; and </w:t>
      </w:r>
    </w:p>
    <w:p>
      <w:pPr>
        <w:pStyle w:val="Normal"/>
        <w:ind w:hanging="720" w:start="720" w:end="0"/>
        <w:jc w:val="both"/>
        <w:rPr>
          <w:szCs w:val="22"/>
        </w:rPr>
      </w:pPr>
      <w:r>
        <w:rPr>
          <w:szCs w:val="22"/>
        </w:rPr>
      </w:r>
    </w:p>
    <w:p>
      <w:pPr>
        <w:pStyle w:val="Normal"/>
        <w:ind w:hanging="720" w:start="720" w:end="0"/>
        <w:jc w:val="both"/>
        <w:rPr/>
      </w:pPr>
      <w:r>
        <w:rPr>
          <w:szCs w:val="22"/>
        </w:rPr>
        <w:t>(b)</w:t>
        <w:tab/>
        <w:t>promptly certify in writing that it has complied with its obligations under this clause.</w:t>
      </w:r>
    </w:p>
    <w:p>
      <w:pPr>
        <w:pStyle w:val="Normal"/>
        <w:spacing w:before="120" w:after="120"/>
        <w:jc w:val="both"/>
        <w:rPr>
          <w:szCs w:val="22"/>
        </w:rPr>
      </w:pPr>
      <w:r>
        <w:rPr>
          <w:szCs w:val="22"/>
        </w:rPr>
      </w:r>
      <w:bookmarkStart w:id="140" w:name="_Ref127609665"/>
      <w:bookmarkStart w:id="141" w:name="_Ref127609665"/>
    </w:p>
    <w:p>
      <w:pPr>
        <w:pStyle w:val="Normal"/>
        <w:numPr>
          <w:ilvl w:val="1"/>
          <w:numId w:val="18"/>
        </w:numPr>
        <w:tabs>
          <w:tab w:val="clear" w:pos="720"/>
        </w:tabs>
        <w:spacing w:before="120" w:after="120"/>
        <w:ind w:hanging="0" w:start="0" w:end="0"/>
        <w:jc w:val="both"/>
        <w:rPr>
          <w:b/>
          <w:szCs w:val="22"/>
        </w:rPr>
      </w:pPr>
      <w:r>
        <w:rPr>
          <w:szCs w:val="22"/>
        </w:rPr>
        <w:t>S</w:t>
      </w:r>
      <w:r>
        <w:rPr>
          <w:b/>
          <w:szCs w:val="22"/>
        </w:rPr>
        <w:t>urvival and accrued rights</w:t>
      </w:r>
      <w:bookmarkEnd w:id="141"/>
    </w:p>
    <w:p>
      <w:pPr>
        <w:pStyle w:val="Normal"/>
        <w:jc w:val="both"/>
        <w:rPr/>
      </w:pPr>
      <w:r>
        <w:rPr>
          <w:szCs w:val="22"/>
        </w:rPr>
        <w:t>16.11.1</w:t>
        <w:tab/>
        <w:t>Expiry or termination of this MSA shall not affect a party’s accrued rights and obligations at the time of expiry or termination.</w:t>
      </w:r>
    </w:p>
    <w:p>
      <w:pPr>
        <w:pStyle w:val="Normal"/>
        <w:jc w:val="both"/>
        <w:rPr>
          <w:szCs w:val="22"/>
        </w:rPr>
      </w:pPr>
      <w:r>
        <w:rPr>
          <w:szCs w:val="22"/>
        </w:rPr>
      </w:r>
    </w:p>
    <w:p>
      <w:pPr>
        <w:pStyle w:val="Normal"/>
        <w:jc w:val="both"/>
        <w:rPr>
          <w:szCs w:val="22"/>
        </w:rPr>
      </w:pPr>
      <w:r>
        <w:rPr>
          <w:szCs w:val="22"/>
        </w:rPr>
        <w:t>16.11.2</w:t>
        <w:tab/>
        <w:t>Clauses 1.1, 3.3, 3.4, 8.3.3, 9, 10, 11, 12, 13, 14, 16.10, 16.11, 17, 19.1, 19.2, 19.6, 19.8, 19.9, 19.10, 19.11 and 19.16 and the provisions of Exhibits 1 (</w:t>
      </w:r>
      <w:r>
        <w:rPr>
          <w:i/>
          <w:szCs w:val="22"/>
        </w:rPr>
        <w:t>Definitions</w:t>
      </w:r>
      <w:r>
        <w:rPr>
          <w:szCs w:val="22"/>
        </w:rPr>
        <w:t>), 5 (</w:t>
      </w:r>
      <w:r>
        <w:rPr>
          <w:i/>
          <w:szCs w:val="22"/>
        </w:rPr>
        <w:t>Human Resources Provisions</w:t>
      </w:r>
      <w:r>
        <w:rPr>
          <w:szCs w:val="22"/>
        </w:rPr>
        <w:t>) and 20 (</w:t>
      </w:r>
      <w:r>
        <w:rPr>
          <w:i/>
          <w:szCs w:val="22"/>
        </w:rPr>
        <w:t>Termination Assistance</w:t>
      </w:r>
      <w:r>
        <w:rPr>
          <w:szCs w:val="22"/>
        </w:rPr>
        <w:t xml:space="preserve">) shall survive expiry or termination of this MSA for any reason. </w:t>
      </w:r>
    </w:p>
    <w:p>
      <w:pPr>
        <w:pStyle w:val="Normal"/>
        <w:jc w:val="both"/>
        <w:rPr>
          <w:szCs w:val="22"/>
        </w:rPr>
      </w:pPr>
      <w:r>
        <w:rPr>
          <w:szCs w:val="22"/>
        </w:rPr>
      </w:r>
    </w:p>
    <w:p>
      <w:pPr>
        <w:pStyle w:val="Normal"/>
        <w:numPr>
          <w:ilvl w:val="1"/>
          <w:numId w:val="18"/>
        </w:numPr>
        <w:tabs>
          <w:tab w:val="clear" w:pos="720"/>
        </w:tabs>
        <w:spacing w:before="120" w:after="120"/>
        <w:ind w:hanging="0" w:start="0" w:end="0"/>
        <w:jc w:val="both"/>
        <w:rPr>
          <w:b/>
          <w:szCs w:val="22"/>
        </w:rPr>
      </w:pPr>
      <w:r>
        <w:rPr>
          <w:b/>
          <w:szCs w:val="22"/>
        </w:rPr>
        <w:t>Termination in Years 6 and 7</w:t>
      </w:r>
    </w:p>
    <w:p>
      <w:pPr>
        <w:pStyle w:val="Normal"/>
        <w:jc w:val="both"/>
        <w:rPr/>
      </w:pPr>
      <w:r>
        <w:rPr>
          <w:szCs w:val="22"/>
        </w:rPr>
        <w:t>In Years 6 and 7 EuroBank may terminate this MSA for convenience at any time by giving at least 6 months’ written notice to the PST Supplier, and EuroBank shall not pay any Termination Fees as set out in Exhibit 4 (Pricing and Financial Provisions) or any other compensation.  The provisions of Exhibit 20 (Termination Assistance) shall apply.</w:t>
      </w:r>
      <w:r>
        <w:rPr>
          <w:i/>
          <w:szCs w:val="22"/>
        </w:rPr>
      </w:r>
      <w:r>
        <w:rPr>
          <w:szCs w:val="22"/>
        </w:rPr>
      </w:r>
      <w:r>
        <w:rPr>
          <w:i/>
          <w:szCs w:val="22"/>
        </w:rPr>
      </w:r>
      <w:r>
        <w:rPr>
          <w:szCs w:val="22"/>
        </w:rPr>
      </w:r>
    </w:p>
    <w:p>
      <w:pPr>
        <w:pStyle w:val="Normal"/>
        <w:jc w:val="both"/>
        <w:rPr>
          <w:szCs w:val="22"/>
        </w:rPr>
      </w:pPr>
      <w:r>
        <w:rPr>
          <w:szCs w:val="22"/>
        </w:rPr>
      </w:r>
    </w:p>
    <w:p>
      <w:pPr>
        <w:pStyle w:val="Normal"/>
        <w:jc w:val="both"/>
        <w:rPr>
          <w:szCs w:val="22"/>
        </w:rPr>
      </w:pPr>
      <w:r>
        <w:rPr>
          <w:szCs w:val="22"/>
        </w:rPr>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rFonts w:ascii="Times New Roman Bold;Times New Roman" w:hAnsi="Times New Roman Bold;Times New Roman" w:cs="Arial"/>
          <w:bCs/>
          <w:kern w:val="2"/>
          <w:szCs w:val="22"/>
        </w:rPr>
      </w:pPr>
      <w:bookmarkStart w:id="142" w:name="_Ref115147618"/>
      <w:r>
        <w:rPr>
          <w:rFonts w:cs="Arial" w:ascii="Times New Roman Bold;Times New Roman" w:hAnsi="Times New Roman Bold;Times New Roman"/>
          <w:bCs/>
          <w:kern w:val="2"/>
          <w:szCs w:val="22"/>
        </w:rPr>
        <w:t>17</w:t>
        <w:tab/>
        <w:t>TERMINATION</w:t>
      </w:r>
      <w:bookmarkEnd w:id="142"/>
      <w:r>
        <w:rPr>
          <w:rFonts w:cs="Arial" w:ascii="Times New Roman Bold;Times New Roman" w:hAnsi="Times New Roman Bold;Times New Roman"/>
          <w:bCs/>
          <w:kern w:val="2"/>
          <w:szCs w:val="22"/>
        </w:rPr>
        <w:t xml:space="preserve"> ASSISTANCE</w:t>
      </w:r>
    </w:p>
    <w:p>
      <w:pPr>
        <w:pStyle w:val="Normal"/>
        <w:jc w:val="both"/>
        <w:rPr>
          <w:szCs w:val="22"/>
        </w:rPr>
      </w:pPr>
      <w:r>
        <w:rPr>
          <w:szCs w:val="22"/>
        </w:rPr>
        <w:t>On termination (in whole or in part) or expiry of this MSA or a LSA, the parties shall comply with their respective obligations in Exhibit 20 (</w:t>
      </w:r>
      <w:r>
        <w:rPr>
          <w:i/>
          <w:szCs w:val="22"/>
        </w:rPr>
        <w:t>Termination Assistance</w:t>
      </w:r>
      <w:r>
        <w:rPr>
          <w:szCs w:val="22"/>
        </w:rPr>
        <w:t>).</w:t>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r>
        <w:rPr>
          <w:rFonts w:cs="Arial" w:ascii="Times New Roman Bold;Times New Roman" w:hAnsi="Times New Roman Bold;Times New Roman"/>
          <w:bCs/>
          <w:kern w:val="2"/>
          <w:szCs w:val="22"/>
        </w:rPr>
        <w:t>18</w:t>
        <w:tab/>
        <w:t>PARENT COMPANY GUARANTEE</w:t>
      </w:r>
    </w:p>
    <w:p>
      <w:pPr>
        <w:pStyle w:val="Normal"/>
        <w:jc w:val="both"/>
        <w:rPr>
          <w:szCs w:val="22"/>
        </w:rPr>
      </w:pPr>
      <w:r>
        <w:rPr>
          <w:szCs w:val="22"/>
        </w:rPr>
        <w:t>The PST Supplier has supplied EuroBank with a signed parent company guarantee by the Guarantor in the form set out in Exhibit 27 (Parent Company Guarantee).  The PST Supplier warrants (garandeert) that the Guarantor shall comply with its obligations set out in the guarantee.</w:t>
      </w:r>
      <w:r>
        <w:rPr>
          <w:i/>
          <w:szCs w:val="22"/>
        </w:rPr>
      </w:r>
      <w:r>
        <w:rPr>
          <w:szCs w:val="22"/>
        </w:rPr>
      </w:r>
      <w:r>
        <w:rPr>
          <w:i/>
          <w:szCs w:val="22"/>
        </w:rPr>
      </w:r>
      <w:r>
        <w:rPr>
          <w:szCs w:val="22"/>
        </w:rPr>
      </w:r>
    </w:p>
    <w:p>
      <w:pPr>
        <w:pStyle w:val="Normal"/>
        <w:jc w:val="both"/>
        <w:rPr>
          <w:szCs w:val="22"/>
        </w:rPr>
      </w:pPr>
      <w:r>
        <w:rPr>
          <w:szCs w:val="22"/>
        </w:rPr>
      </w:r>
    </w:p>
    <w:p>
      <w:pPr>
        <w:pStyle w:val="Heading1"/>
        <w:keepNext w:val="false"/>
        <w:keepLines w:val="false"/>
        <w:tabs>
          <w:tab w:val="clear" w:pos="720"/>
          <w:tab w:val="left" w:pos="360" w:leader="none"/>
        </w:tabs>
        <w:spacing w:before="240" w:after="240"/>
        <w:ind w:hanging="0" w:start="0"/>
        <w:jc w:val="center"/>
        <w:rPr/>
      </w:pPr>
      <w:r>
        <w:rPr>
          <w:rFonts w:cs="Arial" w:ascii="Times New Roman Bold;Times New Roman" w:hAnsi="Times New Roman Bold;Times New Roman"/>
          <w:bCs/>
          <w:kern w:val="2"/>
          <w:szCs w:val="22"/>
        </w:rPr>
        <w:t>19</w:t>
        <w:tab/>
        <w:t>GENERAL</w:t>
      </w:r>
    </w:p>
    <w:p>
      <w:pPr>
        <w:pStyle w:val="Normal"/>
        <w:numPr>
          <w:ilvl w:val="1"/>
          <w:numId w:val="8"/>
        </w:numPr>
        <w:tabs>
          <w:tab w:val="clear" w:pos="720"/>
        </w:tabs>
        <w:spacing w:before="120" w:after="120"/>
        <w:ind w:hanging="24" w:start="0" w:end="0"/>
        <w:jc w:val="both"/>
        <w:rPr>
          <w:b/>
          <w:szCs w:val="22"/>
        </w:rPr>
      </w:pPr>
      <w:bookmarkStart w:id="143" w:name="_Ref115147624"/>
      <w:r>
        <w:rPr>
          <w:b/>
          <w:szCs w:val="22"/>
        </w:rPr>
        <w:t>Announcements</w:t>
      </w:r>
      <w:bookmarkEnd w:id="143"/>
    </w:p>
    <w:p>
      <w:pPr>
        <w:pStyle w:val="Normal"/>
        <w:jc w:val="both"/>
        <w:rPr/>
      </w:pPr>
      <w:bookmarkStart w:id="144" w:name="_Ref110877220"/>
      <w:r>
        <w:rPr>
          <w:szCs w:val="22"/>
        </w:rPr>
        <w:t>19.1.1</w:t>
        <w:tab/>
        <w:t>Neither party shall disclose the fact or subject matter of this MSA, unless it first obtains the other party’s written consent.</w:t>
      </w:r>
      <w:bookmarkEnd w:id="144"/>
    </w:p>
    <w:p>
      <w:pPr>
        <w:pStyle w:val="Normal"/>
        <w:jc w:val="both"/>
        <w:rPr>
          <w:szCs w:val="22"/>
        </w:rPr>
      </w:pPr>
      <w:r>
        <w:rPr>
          <w:szCs w:val="22"/>
        </w:rPr>
      </w:r>
    </w:p>
    <w:p>
      <w:pPr>
        <w:pStyle w:val="Normal"/>
        <w:jc w:val="both"/>
        <w:rPr/>
      </w:pPr>
      <w:r>
        <w:rPr>
          <w:szCs w:val="22"/>
        </w:rPr>
        <w:t>19.1.2</w:t>
        <w:tab/>
        <w:t>Clause 19.1.1 does not apply to a public announcement which is required to be made by Applicable Law or the rules of a relevant stock exchange.</w:t>
      </w:r>
    </w:p>
    <w:p>
      <w:pPr>
        <w:pStyle w:val="Normal"/>
        <w:jc w:val="both"/>
        <w:rPr>
          <w:szCs w:val="22"/>
        </w:rPr>
      </w:pPr>
      <w:r>
        <w:rPr>
          <w:szCs w:val="22"/>
        </w:rPr>
      </w:r>
    </w:p>
    <w:p>
      <w:pPr>
        <w:pStyle w:val="Normal"/>
        <w:jc w:val="both"/>
        <w:rPr/>
      </w:pPr>
      <w:r>
        <w:rPr>
          <w:szCs w:val="22"/>
        </w:rPr>
        <w:t>19.1.3</w:t>
        <w:tab/>
        <w:t>The PST Supplier shall not:</w:t>
      </w:r>
    </w:p>
    <w:p>
      <w:pPr>
        <w:pStyle w:val="Normal"/>
        <w:jc w:val="both"/>
        <w:rPr>
          <w:szCs w:val="22"/>
        </w:rPr>
      </w:pPr>
      <w:r>
        <w:rPr>
          <w:szCs w:val="22"/>
        </w:rPr>
      </w:r>
    </w:p>
    <w:p>
      <w:pPr>
        <w:pStyle w:val="Normal"/>
        <w:ind w:hanging="720" w:start="720" w:end="0"/>
        <w:jc w:val="both"/>
        <w:rPr/>
      </w:pPr>
      <w:bookmarkStart w:id="145" w:name="_Ref110877345"/>
      <w:r>
        <w:rPr>
          <w:szCs w:val="22"/>
        </w:rPr>
        <w:t>(a)</w:t>
        <w:tab/>
        <w:t>disclose the identity of any member of the EuroBank Group as a customer of the PST Supplier, or engage in any promotion that discloses the existence of this MSA or the relationship between the PST Supplier and the EuroBank Group; or</w:t>
      </w:r>
      <w:bookmarkEnd w:id="145"/>
    </w:p>
    <w:p>
      <w:pPr>
        <w:pStyle w:val="Normal"/>
        <w:ind w:hanging="720" w:start="720" w:end="0"/>
        <w:jc w:val="both"/>
        <w:rPr>
          <w:szCs w:val="22"/>
        </w:rPr>
      </w:pPr>
      <w:r>
        <w:rPr>
          <w:szCs w:val="22"/>
        </w:rPr>
      </w:r>
    </w:p>
    <w:p>
      <w:pPr>
        <w:pStyle w:val="Normal"/>
        <w:ind w:hanging="720" w:start="720" w:end="0"/>
        <w:jc w:val="both"/>
        <w:rPr/>
      </w:pPr>
      <w:r>
        <w:rPr>
          <w:szCs w:val="22"/>
        </w:rPr>
        <w:t>(b)</w:t>
        <w:tab/>
        <w:t>use any names or trade marks of the EuroBank Group,</w:t>
      </w:r>
    </w:p>
    <w:p>
      <w:pPr>
        <w:pStyle w:val="Normal"/>
        <w:jc w:val="both"/>
        <w:rPr>
          <w:szCs w:val="22"/>
        </w:rPr>
      </w:pPr>
      <w:r>
        <w:rPr>
          <w:szCs w:val="22"/>
        </w:rPr>
      </w:r>
    </w:p>
    <w:p>
      <w:pPr>
        <w:pStyle w:val="Normal"/>
        <w:jc w:val="both"/>
        <w:rPr>
          <w:szCs w:val="22"/>
        </w:rPr>
      </w:pPr>
      <w:r>
        <w:rPr>
          <w:szCs w:val="22"/>
        </w:rPr>
        <w:t>without EuroBank’s prior written consent, which may be withheld in its discretion or be given subject to any conditions it sees fit.</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bookmarkStart w:id="146" w:name="_Ref115147629"/>
      <w:r>
        <w:rPr>
          <w:b/>
          <w:szCs w:val="22"/>
        </w:rPr>
        <w:t>Non-solicitation</w:t>
      </w:r>
      <w:bookmarkEnd w:id="146"/>
    </w:p>
    <w:p>
      <w:pPr>
        <w:pStyle w:val="Normal"/>
        <w:jc w:val="both"/>
        <w:rPr/>
      </w:pPr>
      <w:bookmarkStart w:id="147" w:name="_Ref110877255"/>
      <w:r>
        <w:rPr>
          <w:szCs w:val="22"/>
        </w:rPr>
        <w:t>19.2.1</w:t>
        <w:tab/>
        <w:t>Subject to clause 19.2.2, the parties shall not, during the Term and for a period of 12 months thereafter, directly solicit the services of, or employ or offer to employ, any employee or former employee of the other party or its Affiliates who is then currently engaged in, or at the end of the Term was engaged in, performing the other party’s obligations under this MSA, without prior written consent of the other party.</w:t>
      </w:r>
      <w:bookmarkEnd w:id="147"/>
    </w:p>
    <w:p>
      <w:pPr>
        <w:pStyle w:val="Normal"/>
        <w:jc w:val="both"/>
        <w:rPr>
          <w:szCs w:val="22"/>
        </w:rPr>
      </w:pPr>
      <w:r>
        <w:rPr>
          <w:szCs w:val="22"/>
        </w:rPr>
      </w:r>
      <w:bookmarkStart w:id="148" w:name="_Ref110877241"/>
      <w:bookmarkStart w:id="149" w:name="_Ref110877241"/>
    </w:p>
    <w:p>
      <w:pPr>
        <w:pStyle w:val="Normal"/>
        <w:jc w:val="both"/>
        <w:rPr/>
      </w:pPr>
      <w:bookmarkStart w:id="150" w:name="_Ref110877241"/>
      <w:r>
        <w:rPr>
          <w:szCs w:val="22"/>
        </w:rPr>
        <w:t>19.2.2</w:t>
        <w:tab/>
        <w:t>Clause 19.2.1 shall not prevent a party or its Affiliates from soliciting the services of, or employing or offering to employ any person who responds to a genuine advertisement by that party or any of its Affiliates which is made generally available and is not directed at employees of the other party or its Affiliates.</w:t>
      </w:r>
      <w:bookmarkEnd w:id="150"/>
    </w:p>
    <w:p>
      <w:pPr>
        <w:pStyle w:val="Normal"/>
        <w:jc w:val="both"/>
        <w:rPr>
          <w:szCs w:val="22"/>
        </w:rPr>
      </w:pPr>
      <w:r>
        <w:rPr>
          <w:szCs w:val="22"/>
        </w:rPr>
      </w:r>
    </w:p>
    <w:p>
      <w:pPr>
        <w:pStyle w:val="Normal"/>
        <w:jc w:val="both"/>
        <w:rPr/>
      </w:pPr>
      <w:r>
        <w:rPr>
          <w:szCs w:val="22"/>
        </w:rPr>
        <w:t>19.2.3</w:t>
        <w:tab/>
        <w:t>If a party or any of its Affiliates breaches clause 19.2.1, then it shall, on demand, pay to the other party an amount equal to 25% of the net annual salary of that employee or former employee, calculated at the date that employee left the employment of the other party or its relevant Affiliate.  The parties acknowledge that this amount is a reasonable pre-estimate of the loss likely to be suffered by the other party (or its relevant Affiliate) as a result of the breach.</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No suspension (</w:t>
      </w:r>
      <w:r>
        <w:rPr>
          <w:b/>
          <w:i/>
          <w:szCs w:val="22"/>
        </w:rPr>
        <w:t>opschorting</w:t>
      </w:r>
      <w:r>
        <w:rPr>
          <w:b/>
          <w:szCs w:val="22"/>
        </w:rPr>
        <w:t>) or set off (</w:t>
      </w:r>
      <w:r>
        <w:rPr>
          <w:b/>
          <w:i/>
          <w:szCs w:val="22"/>
        </w:rPr>
        <w:t>verrekening</w:t>
      </w:r>
      <w:r>
        <w:rPr>
          <w:b/>
          <w:szCs w:val="22"/>
        </w:rPr>
        <w:t>)</w:t>
      </w:r>
    </w:p>
    <w:p>
      <w:pPr>
        <w:pStyle w:val="Normal"/>
        <w:jc w:val="both"/>
        <w:rPr/>
      </w:pPr>
      <w:bookmarkStart w:id="151" w:name="_Ref135807231"/>
      <w:r>
        <w:rPr>
          <w:szCs w:val="22"/>
        </w:rPr>
        <w:t>19.3.1</w:t>
        <w:tab/>
        <w:t>The PST Supplier shall only be permitted to suspend (opschorten) performance of any of its obligations under this MSA or any of the LSAs in the event that EuroBank has committed a material breach of this MSA, including in circumstances where EuroBank has failed to pay, or is late in paying, any Charges in due accordance with clause 8 and EuroBank has not remedied the same, after having been notified by the PST Supplier to do so in writing, giving EuroBank at least 25 Business Days to remedy the identified breach and warning of the intention of the PST Supplier to invoke its rights under this clause, provided that the PST Supplier may only exercise its rights under this clause 19.3.1 after first having obtained the order of a court of competent jurisdiction declaring that the PST Supplier is entitled to exercise its rights under this clause 19.3.1.</w:t>
      </w:r>
      <w:r>
        <w:rPr>
          <w:i/>
          <w:szCs w:val="22"/>
        </w:rPr>
      </w:r>
      <w:r>
        <w:rPr>
          <w:szCs w:val="22"/>
        </w:rPr>
      </w:r>
      <w:bookmarkEnd w:id="151"/>
    </w:p>
    <w:p>
      <w:pPr>
        <w:pStyle w:val="Normal"/>
        <w:jc w:val="both"/>
        <w:rPr>
          <w:szCs w:val="22"/>
        </w:rPr>
      </w:pPr>
      <w:r>
        <w:rPr>
          <w:szCs w:val="22"/>
        </w:rPr>
      </w:r>
    </w:p>
    <w:p>
      <w:pPr>
        <w:pStyle w:val="Normal"/>
        <w:jc w:val="both"/>
        <w:rPr/>
      </w:pPr>
      <w:r>
        <w:rPr>
          <w:szCs w:val="22"/>
        </w:rPr>
        <w:t>19.3.2</w:t>
        <w:tab/>
        <w:t>The PST Supplier shall not be permitted to set off (verrekenen) any amounts payable by EuroBank to the PST Supplier under this MSA, an LSA or any other agreement against any amounts payable by the PST Supplier to EuroBank under this MSA, a LSA or any other agreement, including in circumstances where EuroBank has failed to pay, or is late in paying, any Charges in accordance with clause 8.  Article 6:127 of the Dutch Civil Code is excluded.</w:t>
      </w:r>
      <w:r>
        <w:rPr>
          <w:i/>
          <w:szCs w:val="22"/>
        </w:rPr>
      </w:r>
      <w:r>
        <w:rPr>
          <w:szCs w:val="22"/>
        </w:rPr>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Force Majeure Event</w:t>
      </w:r>
    </w:p>
    <w:p>
      <w:pPr>
        <w:pStyle w:val="Normal"/>
        <w:jc w:val="both"/>
        <w:rPr/>
      </w:pPr>
      <w:r>
        <w:rPr>
          <w:szCs w:val="22"/>
        </w:rPr>
        <w:t>19.4.1</w:t>
        <w:tab/>
        <w:t>If a party is prevented from or delayed in performing any of its obligations under this MSA by a Force Majeure Event then:</w:t>
      </w:r>
    </w:p>
    <w:p>
      <w:pPr>
        <w:pStyle w:val="Normal"/>
        <w:jc w:val="both"/>
        <w:rPr>
          <w:szCs w:val="22"/>
        </w:rPr>
      </w:pPr>
      <w:r>
        <w:rPr>
          <w:szCs w:val="22"/>
        </w:rPr>
      </w:r>
      <w:bookmarkStart w:id="152" w:name="_Ref110877418"/>
      <w:bookmarkStart w:id="153" w:name="_Ref110877418"/>
    </w:p>
    <w:p>
      <w:pPr>
        <w:pStyle w:val="Normal"/>
        <w:ind w:hanging="720" w:start="720" w:end="0"/>
        <w:jc w:val="both"/>
        <w:rPr/>
      </w:pPr>
      <w:bookmarkStart w:id="154" w:name="_Ref110877418"/>
      <w:r>
        <w:rPr>
          <w:szCs w:val="22"/>
        </w:rPr>
        <w:t>(a)</w:t>
        <w:tab/>
        <w:t>the relevant obligations under this MSA shall be suspended for as long as the Force Majeure Event continues, but only to the extent that the party is prevented or delayed from performing them;</w:t>
      </w:r>
      <w:bookmarkEnd w:id="154"/>
    </w:p>
    <w:p>
      <w:pPr>
        <w:pStyle w:val="Normal"/>
        <w:ind w:hanging="720" w:start="720" w:end="0"/>
        <w:jc w:val="both"/>
        <w:rPr>
          <w:szCs w:val="22"/>
        </w:rPr>
      </w:pPr>
      <w:r>
        <w:rPr>
          <w:szCs w:val="22"/>
        </w:rPr>
      </w:r>
      <w:bookmarkStart w:id="155" w:name="_Ref110877398"/>
      <w:bookmarkStart w:id="156" w:name="_Ref110877398"/>
    </w:p>
    <w:p>
      <w:pPr>
        <w:pStyle w:val="Normal"/>
        <w:ind w:hanging="720" w:start="720" w:end="0"/>
        <w:jc w:val="both"/>
        <w:rPr/>
      </w:pPr>
      <w:bookmarkStart w:id="157" w:name="_Ref110877398"/>
      <w:r>
        <w:rPr>
          <w:szCs w:val="22"/>
        </w:rPr>
        <w:t>(b)</w:t>
        <w:tab/>
        <w:t>as soon as reasonably possible after the start of the Force Majeure Event, the party shall notify the other of the nature of the Force Majeure Event, the time at which the Force Majeure Event started and the likely effects of the Force Majeure Event on its ability to perform its obligations under this MSA;</w:t>
      </w:r>
      <w:bookmarkEnd w:id="157"/>
    </w:p>
    <w:p>
      <w:pPr>
        <w:pStyle w:val="Normal"/>
        <w:ind w:hanging="720" w:start="720" w:end="0"/>
        <w:jc w:val="both"/>
        <w:rPr>
          <w:szCs w:val="22"/>
        </w:rPr>
      </w:pPr>
      <w:r>
        <w:rPr>
          <w:szCs w:val="22"/>
        </w:rPr>
      </w:r>
    </w:p>
    <w:p>
      <w:pPr>
        <w:pStyle w:val="Normal"/>
        <w:ind w:hanging="720" w:start="720" w:end="0"/>
        <w:jc w:val="both"/>
        <w:rPr/>
      </w:pPr>
      <w:r>
        <w:rPr>
          <w:szCs w:val="22"/>
        </w:rPr>
        <w:t>(c)</w:t>
        <w:tab/>
        <w:t>if it does not comply with clause 19.4.1(b), then it shall forfeit its rights under clause 19.4.1(a);</w:t>
      </w:r>
    </w:p>
    <w:p>
      <w:pPr>
        <w:pStyle w:val="Normal"/>
        <w:ind w:hanging="720" w:start="720" w:end="0"/>
        <w:jc w:val="both"/>
        <w:rPr>
          <w:szCs w:val="22"/>
        </w:rPr>
      </w:pPr>
      <w:r>
        <w:rPr>
          <w:szCs w:val="22"/>
        </w:rPr>
      </w:r>
    </w:p>
    <w:p>
      <w:pPr>
        <w:pStyle w:val="Normal"/>
        <w:ind w:hanging="720" w:start="720" w:end="0"/>
        <w:jc w:val="both"/>
        <w:rPr/>
      </w:pPr>
      <w:r>
        <w:rPr>
          <w:szCs w:val="22"/>
        </w:rPr>
        <w:t>(d)</w:t>
        <w:tab/>
        <w:t>it shall use its best endeavours to mitigate the effects of the Force Majeure Event on the performance of its obligations under this MSA; and</w:t>
      </w:r>
    </w:p>
    <w:p>
      <w:pPr>
        <w:pStyle w:val="Normal"/>
        <w:ind w:hanging="720" w:start="720" w:end="0"/>
        <w:jc w:val="both"/>
        <w:rPr>
          <w:szCs w:val="22"/>
        </w:rPr>
      </w:pPr>
      <w:r>
        <w:rPr>
          <w:szCs w:val="22"/>
        </w:rPr>
      </w:r>
    </w:p>
    <w:p>
      <w:pPr>
        <w:pStyle w:val="Normal"/>
        <w:ind w:hanging="720" w:start="720" w:end="0"/>
        <w:jc w:val="both"/>
        <w:rPr/>
      </w:pPr>
      <w:r>
        <w:rPr>
          <w:szCs w:val="22"/>
        </w:rPr>
        <w:t>(e)</w:t>
        <w:tab/>
        <w:t>as soon as reasonably possible after the end of the Force Majeure Event, it shall notify the other party that the Force Majeure Event has ended, and shall resume performance of its obligations under this MSA.</w:t>
      </w:r>
    </w:p>
    <w:p>
      <w:pPr>
        <w:pStyle w:val="Normal"/>
        <w:jc w:val="both"/>
        <w:rPr>
          <w:szCs w:val="22"/>
        </w:rPr>
      </w:pPr>
      <w:r>
        <w:rPr>
          <w:szCs w:val="22"/>
        </w:rPr>
      </w:r>
    </w:p>
    <w:p>
      <w:pPr>
        <w:pStyle w:val="Normal"/>
        <w:jc w:val="both"/>
        <w:rPr/>
      </w:pPr>
      <w:r>
        <w:rPr>
          <w:szCs w:val="22"/>
        </w:rPr>
        <w:t>19.4.2</w:t>
        <w:tab/>
        <w:t>Where the majority of the Affected Personnel fail to transfer to the PST Supplier under this MSA otherwise than as a result of a breach by the PST Supplier and as a consequence of the failed transfer the PST Supplier is unable to fulfil its obligations to perform the Services then this shall be a Force Majeure Event and the provisions of this clause 19.4 shall apply, subject to the PST Supplier restoring the Services as soon as reasonably practicable and, to the extent reasonably practicable, EuroBank seeking to make the relevant Affected Personnel available to the PST Supplier for the purpose of providing the Services.</w:t>
      </w:r>
    </w:p>
    <w:p>
      <w:pPr>
        <w:pStyle w:val="Normal"/>
        <w:jc w:val="both"/>
        <w:rPr>
          <w:szCs w:val="22"/>
        </w:rPr>
      </w:pPr>
      <w:r>
        <w:rPr>
          <w:szCs w:val="22"/>
        </w:rPr>
      </w:r>
      <w:bookmarkStart w:id="158" w:name="_Ref126731998"/>
      <w:bookmarkStart w:id="159" w:name="_Ref126731998"/>
    </w:p>
    <w:p>
      <w:pPr>
        <w:pStyle w:val="Normal"/>
        <w:jc w:val="both"/>
        <w:rPr/>
      </w:pPr>
      <w:bookmarkStart w:id="160" w:name="_Ref126731998"/>
      <w:r>
        <w:rPr>
          <w:szCs w:val="22"/>
        </w:rPr>
        <w:t>19.4.3</w:t>
        <w:tab/>
        <w:t>The Charges shall be reduced fairly and equitably to reflect the extent to which the Services are not provided as a result of a Force Majeure Event. The reduction in the Charges shall be assessed and implemented under the Significant Change Control Procedure.</w:t>
      </w:r>
      <w:bookmarkEnd w:id="160"/>
      <w:r>
        <w:rPr>
          <w:szCs w:val="22"/>
        </w:rPr>
        <w:t xml:space="preserve"> </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Assignment and sub-contracting</w:t>
      </w:r>
    </w:p>
    <w:p>
      <w:pPr>
        <w:pStyle w:val="Normal"/>
        <w:jc w:val="both"/>
        <w:rPr/>
      </w:pPr>
      <w:r>
        <w:rPr>
          <w:szCs w:val="22"/>
        </w:rPr>
        <w:t>19.5.1</w:t>
        <w:tab/>
        <w:t>Subject to clause 19.5.2, neither party shall assign, transfer, charge or otherwise deal with any of its rights under this MSA or a LSA, nor grant, declare, create or dispose of any right or interest in them, without the prior written consent of the other party.</w:t>
      </w:r>
    </w:p>
    <w:p>
      <w:pPr>
        <w:pStyle w:val="Normal"/>
        <w:jc w:val="both"/>
        <w:rPr>
          <w:szCs w:val="22"/>
        </w:rPr>
      </w:pPr>
      <w:r>
        <w:rPr>
          <w:szCs w:val="22"/>
        </w:rPr>
      </w:r>
      <w:bookmarkStart w:id="161" w:name="_Ref110877442"/>
      <w:bookmarkStart w:id="162" w:name="_Ref110877442"/>
    </w:p>
    <w:p>
      <w:pPr>
        <w:pStyle w:val="Normal"/>
        <w:jc w:val="both"/>
        <w:rPr/>
      </w:pPr>
      <w:bookmarkStart w:id="163" w:name="_Ref110877442"/>
      <w:r>
        <w:rPr>
          <w:szCs w:val="22"/>
        </w:rPr>
        <w:t>19.5.2</w:t>
        <w:tab/>
        <w:t>Either party may transfer its rights and obligations under this MSA in whole</w:t>
      </w:r>
      <w:bookmarkEnd w:id="163"/>
      <w:r>
        <w:rPr>
          <w:szCs w:val="22"/>
        </w:rPr>
        <w:t xml:space="preserve"> to another member of its group of companies (provided the entity that the rights and obligations are transferred to is of at least equivalent financial standing) without obtaining the other party’s consent, but shall give notice to the other party before making the transfer. The transferring party warrants the proper performance by the receiving party of all its financial obligations under this MSA for a period of at least 5 years after the transfer and this obligation shall survive the transfer of this MSA. </w:t>
      </w:r>
    </w:p>
    <w:p>
      <w:pPr>
        <w:pStyle w:val="Normal"/>
        <w:jc w:val="both"/>
        <w:rPr>
          <w:szCs w:val="22"/>
        </w:rPr>
      </w:pPr>
      <w:r>
        <w:rPr>
          <w:szCs w:val="22"/>
        </w:rPr>
      </w:r>
    </w:p>
    <w:p>
      <w:pPr>
        <w:pStyle w:val="Normal"/>
        <w:jc w:val="both"/>
        <w:rPr>
          <w:szCs w:val="22"/>
        </w:rPr>
      </w:pPr>
      <w:r>
        <w:rPr>
          <w:szCs w:val="22"/>
        </w:rPr>
        <w:t>19.5.3</w:t>
        <w:tab/>
        <w:t xml:space="preserve">In the event that EuroBank withholds its consent to the PST Supplier’s request to transfer all of its rights and obligations under this MSA to any organisation of at least equivalent financial standing to the PST Supplier who acquires the business of the PST Supplier and the PST Supplier assigns the MSA despite this, then EuroBank may terminate this MSA  for convenience pursuant to clause 16.3, provided that (where such termination takes effect prior to the fifth anniversary of the Effective Date only) EuroBank shall only be obliged to pay PST Supplier’s Irrecoverable Costs arising from the termination plus 50% of the applicable Termination Charges. No such payment by EuroBank shall be due in case EuroBank withholds its consent to the assignment because the situation as described in 16.4.1.b(iv) exists. </w:t>
      </w:r>
    </w:p>
    <w:p>
      <w:pPr>
        <w:pStyle w:val="Normal"/>
        <w:jc w:val="both"/>
        <w:rPr>
          <w:szCs w:val="22"/>
        </w:rPr>
      </w:pPr>
      <w:r>
        <w:rPr>
          <w:szCs w:val="22"/>
        </w:rPr>
      </w:r>
    </w:p>
    <w:p>
      <w:pPr>
        <w:pStyle w:val="Normal"/>
        <w:jc w:val="both"/>
        <w:rPr/>
      </w:pPr>
      <w:r>
        <w:rPr>
          <w:szCs w:val="22"/>
        </w:rPr>
        <w:t>19.5.4</w:t>
        <w:tab/>
        <w:t>In addition to its rights under clause 1.4.1(d), EuroBank may from time to time appoint any person or organisation to manage all or any part of this MSA on behalf of EuroBank without obtaining the PST Supplier’s consent, but shall give notice to the PST Supplier before making the appointment. If clause 19.5.2 applies, then the parties shall, on request, promptly enter into a transfer agreement (in a form to be reasonably determined by the parties), which provides for the transferee to assume the rights and obligations of the other party under this MSA, and such party to cease to be a party to this MSA (or relevant parts of it), but makes no other substantial provision.</w:t>
      </w:r>
    </w:p>
    <w:p>
      <w:pPr>
        <w:pStyle w:val="Normal"/>
        <w:jc w:val="both"/>
        <w:rPr>
          <w:szCs w:val="22"/>
        </w:rPr>
      </w:pPr>
      <w:r>
        <w:rPr>
          <w:szCs w:val="22"/>
        </w:rPr>
      </w:r>
    </w:p>
    <w:p>
      <w:pPr>
        <w:pStyle w:val="Normal"/>
        <w:jc w:val="both"/>
        <w:rPr>
          <w:szCs w:val="22"/>
        </w:rPr>
      </w:pPr>
      <w:bookmarkStart w:id="164" w:name="_Ref110877491"/>
      <w:r>
        <w:rPr>
          <w:szCs w:val="22"/>
        </w:rPr>
        <w:t>19.5.5</w:t>
        <w:tab/>
        <w:t>The PST Supplier shall not sub-contract any of its obligations under this MSA without EuroBank’s prior written consent, which may not be unreasonably withheld. EuroBank shall be deemed to have approved the PST Supplier’s sub-contracting to the entities listed in Exhibit 28 (Approved Sub-contractors and Agents).</w:t>
      </w:r>
      <w:bookmarkEnd w:id="164"/>
      <w:r>
        <w:rPr>
          <w:szCs w:val="22"/>
        </w:rPr>
      </w:r>
      <w:r>
        <w:rPr>
          <w:i/>
          <w:szCs w:val="22"/>
        </w:rPr>
      </w:r>
      <w:r>
        <w:rPr>
          <w:szCs w:val="22"/>
        </w:rPr>
      </w:r>
    </w:p>
    <w:p>
      <w:pPr>
        <w:pStyle w:val="Normal"/>
        <w:jc w:val="both"/>
        <w:rPr>
          <w:szCs w:val="22"/>
        </w:rPr>
      </w:pPr>
      <w:r>
        <w:rPr>
          <w:szCs w:val="22"/>
        </w:rPr>
      </w:r>
    </w:p>
    <w:p>
      <w:pPr>
        <w:pStyle w:val="Normal"/>
        <w:jc w:val="both"/>
        <w:rPr/>
      </w:pPr>
      <w:r>
        <w:rPr>
          <w:szCs w:val="22"/>
        </w:rPr>
        <w:t>19.5.6</w:t>
        <w:tab/>
        <w:t>The appointment by the PST Supplier of any Sub-Contractor approved under clause 19.5.4 shall not limit or reduce the PST Supplier Group’s liability to the EuroBank Group under this MSA.  The PST Supplier shall procure that the Sub-Contractors comply with its obligations under this MSA, and shall be responsible for the Sub-Contractors’ acts or omissions as if they were its own acts or omissions.</w:t>
      </w:r>
    </w:p>
    <w:p>
      <w:pPr>
        <w:pStyle w:val="Normal"/>
        <w:jc w:val="both"/>
        <w:rPr>
          <w:szCs w:val="22"/>
        </w:rPr>
      </w:pPr>
      <w:r>
        <w:rPr>
          <w:szCs w:val="22"/>
        </w:rPr>
      </w:r>
      <w:bookmarkStart w:id="165" w:name="_Ref115147643"/>
      <w:bookmarkStart w:id="166" w:name="_Ref115147643"/>
    </w:p>
    <w:p>
      <w:pPr>
        <w:pStyle w:val="Normal"/>
        <w:numPr>
          <w:ilvl w:val="1"/>
          <w:numId w:val="8"/>
        </w:numPr>
        <w:tabs>
          <w:tab w:val="clear" w:pos="720"/>
        </w:tabs>
        <w:spacing w:before="120" w:after="120"/>
        <w:ind w:hanging="24" w:start="0" w:end="0"/>
        <w:jc w:val="both"/>
        <w:rPr>
          <w:b/>
          <w:szCs w:val="22"/>
        </w:rPr>
      </w:pPr>
      <w:bookmarkStart w:id="167" w:name="_Ref115147643"/>
      <w:r>
        <w:rPr>
          <w:b/>
          <w:szCs w:val="22"/>
        </w:rPr>
        <w:t>Further assurance</w:t>
      </w:r>
      <w:bookmarkEnd w:id="167"/>
    </w:p>
    <w:p>
      <w:pPr>
        <w:pStyle w:val="Normal"/>
        <w:jc w:val="both"/>
        <w:rPr/>
      </w:pPr>
      <w:r>
        <w:rPr>
          <w:szCs w:val="22"/>
        </w:rPr>
        <w:t>19.6.1</w:t>
        <w:tab/>
        <w:t>Each party shall perform, or procure the performance of, all further acts and things, and shall deliver, or procure the execution and delivery of further documents which are required by Applicable Law or are necessary or reasonably desirable to implement the terms of this MSA and the other Transaction Documents.</w:t>
      </w:r>
    </w:p>
    <w:p>
      <w:pPr>
        <w:pStyle w:val="Normal"/>
        <w:jc w:val="both"/>
        <w:rPr>
          <w:szCs w:val="22"/>
        </w:rPr>
      </w:pPr>
      <w:r>
        <w:rPr>
          <w:szCs w:val="22"/>
        </w:rPr>
      </w:r>
    </w:p>
    <w:p>
      <w:pPr>
        <w:pStyle w:val="Normal"/>
        <w:jc w:val="both"/>
        <w:rPr/>
      </w:pPr>
      <w:r>
        <w:rPr>
          <w:szCs w:val="22"/>
        </w:rPr>
        <w:t>19.6.2</w:t>
        <w:tab/>
        <w:t>Each party shall be responsible for all of its own costs and expenses (including those of its Affiliates) incurred in giving effect to the provisions of this clause.</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Entire agreement</w:t>
      </w:r>
    </w:p>
    <w:p>
      <w:pPr>
        <w:pStyle w:val="Normal"/>
        <w:jc w:val="both"/>
        <w:rPr/>
      </w:pPr>
      <w:r>
        <w:rPr>
          <w:szCs w:val="22"/>
        </w:rPr>
        <w:t>19.7.1</w:t>
        <w:tab/>
        <w:t>This MSA and the other Transaction Documents set out the entire agreement and understanding between the parties in connection with the outsourcing transaction contemplated by them.</w:t>
      </w:r>
    </w:p>
    <w:p>
      <w:pPr>
        <w:pStyle w:val="Normal"/>
        <w:jc w:val="both"/>
        <w:rPr>
          <w:szCs w:val="22"/>
        </w:rPr>
      </w:pPr>
      <w:r>
        <w:rPr>
          <w:szCs w:val="22"/>
        </w:rPr>
      </w:r>
    </w:p>
    <w:p>
      <w:pPr>
        <w:pStyle w:val="Normal"/>
        <w:jc w:val="both"/>
        <w:rPr/>
      </w:pPr>
      <w:r>
        <w:rPr>
          <w:szCs w:val="22"/>
        </w:rPr>
        <w:t>19.7.2</w:t>
        <w:tab/>
        <w:t>Neither party has entered into this MSA in reliance on any representation, warranty or undertaking of the other party, except as expressly referred to in this MSA.  This clause shall not exclude any liability for, or remedy for, error (</w:t>
      </w:r>
      <w:r>
        <w:rPr>
          <w:i/>
          <w:szCs w:val="22"/>
        </w:rPr>
        <w:t>dwaling</w:t>
      </w:r>
      <w:r>
        <w:rPr>
          <w:szCs w:val="22"/>
        </w:rPr>
        <w:t>) or fraudulent misrepresentation (</w:t>
      </w:r>
      <w:r>
        <w:rPr>
          <w:i/>
          <w:szCs w:val="22"/>
        </w:rPr>
        <w:t>bedrog</w:t>
      </w:r>
      <w:r>
        <w:rPr>
          <w:szCs w:val="22"/>
        </w:rPr>
        <w:t>) by a party.</w:t>
      </w:r>
    </w:p>
    <w:p>
      <w:pPr>
        <w:pStyle w:val="Normal"/>
        <w:jc w:val="both"/>
        <w:rPr>
          <w:szCs w:val="22"/>
        </w:rPr>
      </w:pPr>
      <w:r>
        <w:rPr>
          <w:szCs w:val="22"/>
        </w:rPr>
      </w:r>
    </w:p>
    <w:p>
      <w:pPr>
        <w:pStyle w:val="Normal"/>
        <w:jc w:val="both"/>
        <w:rPr/>
      </w:pPr>
      <w:r>
        <w:rPr>
          <w:szCs w:val="22"/>
        </w:rPr>
        <w:t>19.7.3</w:t>
        <w:tab/>
        <w:t>The general terms and conditions (algemene voorwaarden) of EuroBank and the PST Supplier shall not form part of this MSA or any LSAs, and shall not apply to the Services.</w:t>
      </w:r>
      <w:r>
        <w:rPr>
          <w:i/>
          <w:szCs w:val="22"/>
        </w:rPr>
      </w:r>
      <w:r>
        <w:rPr>
          <w:szCs w:val="22"/>
        </w:rPr>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Costs</w:t>
      </w:r>
    </w:p>
    <w:p>
      <w:pPr>
        <w:pStyle w:val="Normal"/>
        <w:jc w:val="both"/>
        <w:rPr>
          <w:szCs w:val="22"/>
        </w:rPr>
      </w:pPr>
      <w:r>
        <w:rPr>
          <w:szCs w:val="22"/>
        </w:rPr>
        <w:t>Except as otherwise provided in this MSA or a LSA, each party shall pay the costs, charges and other expenses incurred by it and its Affiliates in connection with the negotiation, preparation, signing and performance of this MSA and other Transaction Documents.</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bookmarkStart w:id="168" w:name="_Ref115147647"/>
      <w:r>
        <w:rPr>
          <w:b/>
          <w:szCs w:val="22"/>
        </w:rPr>
        <w:t>Conduct of claims</w:t>
      </w:r>
      <w:bookmarkEnd w:id="168"/>
    </w:p>
    <w:p>
      <w:pPr>
        <w:pStyle w:val="Normal"/>
        <w:jc w:val="both"/>
        <w:rPr/>
      </w:pPr>
      <w:r>
        <w:rPr>
          <w:szCs w:val="22"/>
        </w:rPr>
        <w:t>19.9.1</w:t>
        <w:tab/>
        <w:t>Any loss or damage which is suffered by a party’s Affiliate (or in the case of EuroBank, each EuroBank Group member) under this MSA shall be recoverable by that party (Claiming Party) against the other party on behalf of its Affiliate (or in the case of EuroBank, each EuroBank Group member) to the extent that the loss or damage:</w:t>
      </w:r>
      <w:r>
        <w:rPr>
          <w:b/>
          <w:i/>
          <w:szCs w:val="22"/>
        </w:rPr>
      </w:r>
      <w:r>
        <w:rPr>
          <w:szCs w:val="22"/>
        </w:rPr>
      </w:r>
    </w:p>
    <w:p>
      <w:pPr>
        <w:pStyle w:val="Normal"/>
        <w:jc w:val="both"/>
        <w:rPr>
          <w:szCs w:val="22"/>
        </w:rPr>
      </w:pPr>
      <w:r>
        <w:rPr>
          <w:szCs w:val="22"/>
        </w:rPr>
      </w:r>
    </w:p>
    <w:p>
      <w:pPr>
        <w:pStyle w:val="Normal"/>
        <w:ind w:hanging="720" w:start="720" w:end="0"/>
        <w:jc w:val="both"/>
        <w:rPr/>
      </w:pPr>
      <w:r>
        <w:rPr>
          <w:szCs w:val="22"/>
        </w:rPr>
        <w:t>(a)</w:t>
        <w:tab/>
        <w:t>is directly caused by the other party’s breach of this MSA (or a breach by the other party’s Affiliates);</w:t>
      </w:r>
    </w:p>
    <w:p>
      <w:pPr>
        <w:pStyle w:val="Normal"/>
        <w:ind w:hanging="720" w:start="720" w:end="0"/>
        <w:jc w:val="both"/>
        <w:rPr>
          <w:szCs w:val="22"/>
        </w:rPr>
      </w:pPr>
      <w:r>
        <w:rPr>
          <w:szCs w:val="22"/>
        </w:rPr>
      </w:r>
    </w:p>
    <w:p>
      <w:pPr>
        <w:pStyle w:val="Normal"/>
        <w:ind w:hanging="720" w:start="720" w:end="0"/>
        <w:jc w:val="both"/>
        <w:rPr/>
      </w:pPr>
      <w:r>
        <w:rPr>
          <w:szCs w:val="22"/>
        </w:rPr>
        <w:t>(b)</w:t>
        <w:tab/>
        <w:t>would be recoverable by the Claiming Party under this MSA as if the Claiming Party had suffered the loss or damage; and</w:t>
      </w:r>
    </w:p>
    <w:p>
      <w:pPr>
        <w:pStyle w:val="Normal"/>
        <w:ind w:hanging="720" w:start="720" w:end="0"/>
        <w:jc w:val="both"/>
        <w:rPr>
          <w:szCs w:val="22"/>
        </w:rPr>
      </w:pPr>
      <w:r>
        <w:rPr>
          <w:szCs w:val="22"/>
        </w:rPr>
      </w:r>
    </w:p>
    <w:p>
      <w:pPr>
        <w:pStyle w:val="Normal"/>
        <w:ind w:hanging="720" w:start="720" w:end="0"/>
        <w:jc w:val="both"/>
        <w:rPr/>
      </w:pPr>
      <w:r>
        <w:rPr>
          <w:szCs w:val="22"/>
        </w:rPr>
        <w:t>(c)</w:t>
        <w:tab/>
        <w:t>is not excluded or falls outside the limits under clause 13.</w:t>
      </w:r>
    </w:p>
    <w:p>
      <w:pPr>
        <w:pStyle w:val="Normal"/>
        <w:jc w:val="both"/>
        <w:rPr>
          <w:szCs w:val="22"/>
        </w:rPr>
      </w:pPr>
      <w:r>
        <w:rPr>
          <w:szCs w:val="22"/>
        </w:rPr>
      </w:r>
      <w:bookmarkStart w:id="169" w:name="_Ref110877559"/>
      <w:bookmarkStart w:id="170" w:name="_Ref110877559"/>
    </w:p>
    <w:p>
      <w:pPr>
        <w:pStyle w:val="Normal"/>
        <w:jc w:val="both"/>
        <w:rPr/>
      </w:pPr>
      <w:bookmarkStart w:id="171" w:name="_Ref110877559"/>
      <w:r>
        <w:rPr>
          <w:szCs w:val="22"/>
        </w:rPr>
        <w:t>19.9.2</w:t>
        <w:tab/>
        <w:t>If either party or any of their respective Affiliates wishes to make a claim under this MSA or a LSA, then the parties agree, for themselves and as agent for their respective Affiliates, that:</w:t>
      </w:r>
      <w:bookmarkEnd w:id="171"/>
    </w:p>
    <w:p>
      <w:pPr>
        <w:pStyle w:val="Normal"/>
        <w:jc w:val="both"/>
        <w:rPr>
          <w:szCs w:val="22"/>
        </w:rPr>
      </w:pPr>
      <w:r>
        <w:rPr>
          <w:szCs w:val="22"/>
        </w:rPr>
      </w:r>
    </w:p>
    <w:p>
      <w:pPr>
        <w:pStyle w:val="Normal"/>
        <w:ind w:hanging="720" w:start="720" w:end="0"/>
        <w:jc w:val="both"/>
        <w:rPr/>
      </w:pPr>
      <w:r>
        <w:rPr>
          <w:szCs w:val="22"/>
        </w:rPr>
        <w:t>(a)</w:t>
        <w:tab/>
        <w:t>the claim shall only be made by the Claiming Party (for itself and/or as agent for an Affiliate) in accordance with the Dispute Resolution Procedure; and</w:t>
      </w:r>
    </w:p>
    <w:p>
      <w:pPr>
        <w:pStyle w:val="Normal"/>
        <w:ind w:hanging="720" w:start="720" w:end="0"/>
        <w:jc w:val="both"/>
        <w:rPr>
          <w:szCs w:val="22"/>
        </w:rPr>
      </w:pPr>
      <w:r>
        <w:rPr>
          <w:szCs w:val="22"/>
        </w:rPr>
      </w:r>
    </w:p>
    <w:p>
      <w:pPr>
        <w:pStyle w:val="Normal"/>
        <w:ind w:hanging="720" w:start="720" w:end="0"/>
        <w:jc w:val="both"/>
        <w:rPr/>
      </w:pPr>
      <w:r>
        <w:rPr>
          <w:szCs w:val="22"/>
        </w:rPr>
        <w:t>(b)</w:t>
        <w:tab/>
        <w:t>the other party shall not raise any defence or objection to the claim on the basis that it is made in the name of the Claiming Party acting as agent for an Affiliate, and shall not be entitled to raise any defence or objection to the claim on this basis.</w:t>
      </w:r>
    </w:p>
    <w:p>
      <w:pPr>
        <w:pStyle w:val="Normal"/>
        <w:jc w:val="both"/>
        <w:rPr>
          <w:szCs w:val="22"/>
        </w:rPr>
      </w:pPr>
      <w:r>
        <w:rPr>
          <w:szCs w:val="22"/>
        </w:rPr>
      </w:r>
    </w:p>
    <w:p>
      <w:pPr>
        <w:pStyle w:val="Normal"/>
        <w:jc w:val="both"/>
        <w:rPr/>
      </w:pPr>
      <w:r>
        <w:rPr>
          <w:szCs w:val="22"/>
        </w:rPr>
        <w:t>19.9.3</w:t>
        <w:tab/>
        <w:t>Where a claim cannot, under Applicable Law, be made by the Claiming Party in its own name as agent for one or more Affiliates under clause 19.9.2, then the Claiming Party shall procure that the claim is assigned by the relevant Affiliate(s) to it.</w:t>
      </w:r>
    </w:p>
    <w:p>
      <w:pPr>
        <w:pStyle w:val="Normal"/>
        <w:jc w:val="both"/>
        <w:rPr>
          <w:szCs w:val="22"/>
        </w:rPr>
      </w:pPr>
      <w:r>
        <w:rPr>
          <w:szCs w:val="22"/>
        </w:rPr>
      </w:r>
    </w:p>
    <w:p>
      <w:pPr>
        <w:pStyle w:val="Normal"/>
        <w:jc w:val="both"/>
        <w:rPr/>
      </w:pPr>
      <w:r>
        <w:rPr>
          <w:szCs w:val="22"/>
        </w:rPr>
        <w:t>19.9.4</w:t>
        <w:tab/>
        <w:t>A Claiming Party shall:</w:t>
      </w:r>
    </w:p>
    <w:p>
      <w:pPr>
        <w:pStyle w:val="Normal"/>
        <w:jc w:val="both"/>
        <w:rPr>
          <w:szCs w:val="22"/>
        </w:rPr>
      </w:pPr>
      <w:r>
        <w:rPr>
          <w:szCs w:val="22"/>
        </w:rPr>
      </w:r>
    </w:p>
    <w:p>
      <w:pPr>
        <w:pStyle w:val="Normal"/>
        <w:ind w:hanging="720" w:start="720" w:end="0"/>
        <w:jc w:val="both"/>
        <w:rPr/>
      </w:pPr>
      <w:r>
        <w:rPr>
          <w:szCs w:val="22"/>
        </w:rPr>
        <w:t>(a)</w:t>
        <w:tab/>
        <w:t>indemnify the other party and its Affiliates on demand for any loss or damage suffered or incurred by any of them as a result of an Affiliate of the Claiming Party making any claim against the other party or its Affiliates other than in accordance with this clause (</w:t>
      </w:r>
      <w:r>
        <w:rPr>
          <w:b/>
          <w:i/>
          <w:szCs w:val="22"/>
        </w:rPr>
        <w:t>Non-Compliant Claim</w:t>
      </w:r>
      <w:r>
        <w:rPr>
          <w:szCs w:val="22"/>
        </w:rPr>
        <w:t xml:space="preserve">); and </w:t>
      </w:r>
    </w:p>
    <w:p>
      <w:pPr>
        <w:pStyle w:val="Normal"/>
        <w:ind w:hanging="720" w:start="720" w:end="0"/>
        <w:jc w:val="both"/>
        <w:rPr>
          <w:szCs w:val="22"/>
        </w:rPr>
      </w:pPr>
      <w:r>
        <w:rPr>
          <w:szCs w:val="22"/>
        </w:rPr>
      </w:r>
    </w:p>
    <w:p>
      <w:pPr>
        <w:pStyle w:val="Normal"/>
        <w:ind w:hanging="720" w:start="720" w:end="0"/>
        <w:jc w:val="both"/>
        <w:rPr/>
      </w:pPr>
      <w:r>
        <w:rPr>
          <w:szCs w:val="22"/>
        </w:rPr>
        <w:t>(b)</w:t>
        <w:tab/>
        <w:t>procure that its relevant Affiliate immediately discontinues and withdraws a Non-Compliant Claim.</w:t>
      </w:r>
    </w:p>
    <w:p>
      <w:pPr>
        <w:pStyle w:val="Normal"/>
        <w:jc w:val="both"/>
        <w:rPr>
          <w:szCs w:val="22"/>
        </w:rPr>
      </w:pPr>
      <w:r>
        <w:rPr>
          <w:szCs w:val="22"/>
        </w:rPr>
      </w:r>
      <w:bookmarkStart w:id="172" w:name="_Ref115147697"/>
      <w:bookmarkStart w:id="173" w:name="_Ref110877679"/>
      <w:bookmarkStart w:id="174" w:name="_Ref115147697"/>
      <w:bookmarkStart w:id="175" w:name="_Ref110877679"/>
    </w:p>
    <w:p>
      <w:pPr>
        <w:pStyle w:val="Normal"/>
        <w:numPr>
          <w:ilvl w:val="1"/>
          <w:numId w:val="8"/>
        </w:numPr>
        <w:tabs>
          <w:tab w:val="clear" w:pos="720"/>
        </w:tabs>
        <w:spacing w:before="120" w:after="120"/>
        <w:ind w:hanging="24" w:start="0" w:end="0"/>
        <w:jc w:val="both"/>
        <w:rPr>
          <w:b/>
          <w:szCs w:val="22"/>
        </w:rPr>
      </w:pPr>
      <w:bookmarkStart w:id="176" w:name="_Ref115147697"/>
      <w:bookmarkStart w:id="177" w:name="_Ref110877679"/>
      <w:r>
        <w:rPr>
          <w:b/>
          <w:szCs w:val="22"/>
        </w:rPr>
        <w:t>Notices</w:t>
      </w:r>
      <w:bookmarkEnd w:id="176"/>
      <w:bookmarkEnd w:id="177"/>
      <w:r>
        <w:rPr>
          <w:b/>
          <w:szCs w:val="22"/>
        </w:rPr>
        <w:t xml:space="preserve"> </w:t>
      </w:r>
    </w:p>
    <w:p>
      <w:pPr>
        <w:pStyle w:val="Normal"/>
        <w:jc w:val="both"/>
        <w:rPr/>
      </w:pPr>
      <w:r>
        <w:rPr>
          <w:szCs w:val="22"/>
        </w:rPr>
        <w:t>19.10.1</w:t>
        <w:tab/>
        <w:t>Except where the parties agree otherwise, any notice or other communication to be given by a party under this MSA shall:</w:t>
      </w:r>
    </w:p>
    <w:p>
      <w:pPr>
        <w:pStyle w:val="Normal"/>
        <w:jc w:val="both"/>
        <w:rPr>
          <w:szCs w:val="22"/>
        </w:rPr>
      </w:pPr>
      <w:r>
        <w:rPr>
          <w:szCs w:val="22"/>
        </w:rPr>
      </w:r>
    </w:p>
    <w:p>
      <w:pPr>
        <w:pStyle w:val="Normal"/>
        <w:ind w:hanging="720" w:start="720" w:end="0"/>
        <w:jc w:val="both"/>
        <w:rPr/>
      </w:pPr>
      <w:r>
        <w:rPr>
          <w:szCs w:val="22"/>
        </w:rPr>
        <w:t>(a)</w:t>
        <w:tab/>
        <w:t>be in writing and signed by or on behalf of the party giving it;</w:t>
      </w:r>
    </w:p>
    <w:p>
      <w:pPr>
        <w:pStyle w:val="Normal"/>
        <w:ind w:hanging="720" w:start="720" w:end="0"/>
        <w:jc w:val="both"/>
        <w:rPr>
          <w:szCs w:val="22"/>
        </w:rPr>
      </w:pPr>
      <w:r>
        <w:rPr>
          <w:szCs w:val="22"/>
        </w:rPr>
      </w:r>
    </w:p>
    <w:p>
      <w:pPr>
        <w:pStyle w:val="Normal"/>
        <w:ind w:hanging="720" w:start="720" w:end="0"/>
        <w:jc w:val="both"/>
        <w:rPr/>
      </w:pPr>
      <w:r>
        <w:rPr>
          <w:szCs w:val="22"/>
        </w:rPr>
        <w:t>(b)</w:t>
        <w:tab/>
        <w:t>be served by sending it by fax to the number set out in clause 19.10.2, or delivering it by hand, or sending it by pre paid recorded delivery, special delivery or registered post, to the address set out in clause 19.10.2, and in each case marked for the attention of the relevant party set out in this clause (or as otherwise notified from time to time in accordance with the provisions of clause 19.10.2);</w:t>
      </w:r>
    </w:p>
    <w:p>
      <w:pPr>
        <w:pStyle w:val="Normal"/>
        <w:ind w:hanging="720" w:start="720" w:end="0"/>
        <w:jc w:val="both"/>
        <w:rPr>
          <w:szCs w:val="22"/>
        </w:rPr>
      </w:pPr>
      <w:r>
        <w:rPr>
          <w:szCs w:val="22"/>
        </w:rPr>
      </w:r>
    </w:p>
    <w:p>
      <w:pPr>
        <w:pStyle w:val="Normal"/>
        <w:ind w:hanging="720" w:start="720" w:end="0"/>
        <w:jc w:val="both"/>
        <w:rPr/>
      </w:pPr>
      <w:r>
        <w:rPr>
          <w:szCs w:val="22"/>
        </w:rPr>
        <w:t>(c)</w:t>
        <w:tab/>
        <w:t>if (b) is followed, be deemed to have been served on the other party:</w:t>
      </w:r>
    </w:p>
    <w:p>
      <w:pPr>
        <w:pStyle w:val="Normal"/>
        <w:ind w:hanging="720" w:start="720" w:end="0"/>
        <w:jc w:val="both"/>
        <w:rPr>
          <w:szCs w:val="22"/>
        </w:rPr>
      </w:pPr>
      <w:r>
        <w:rPr>
          <w:szCs w:val="22"/>
        </w:rPr>
      </w:r>
    </w:p>
    <w:p>
      <w:pPr>
        <w:pStyle w:val="Normal"/>
        <w:ind w:hanging="720" w:start="1440" w:end="0"/>
        <w:jc w:val="both"/>
        <w:rPr/>
      </w:pPr>
      <w:r>
        <w:rPr>
          <w:szCs w:val="22"/>
        </w:rPr>
        <w:t>(i)</w:t>
        <w:tab/>
        <w:t>in the case of delivery by hand, when delivered;</w:t>
      </w:r>
    </w:p>
    <w:p>
      <w:pPr>
        <w:pStyle w:val="Normal"/>
        <w:ind w:hanging="720" w:start="1440" w:end="0"/>
        <w:jc w:val="both"/>
        <w:rPr>
          <w:szCs w:val="22"/>
        </w:rPr>
      </w:pPr>
      <w:r>
        <w:rPr>
          <w:szCs w:val="22"/>
        </w:rPr>
      </w:r>
    </w:p>
    <w:p>
      <w:pPr>
        <w:pStyle w:val="Normal"/>
        <w:ind w:hanging="720" w:start="1440" w:end="0"/>
        <w:jc w:val="both"/>
        <w:rPr/>
      </w:pPr>
      <w:r>
        <w:rPr>
          <w:szCs w:val="22"/>
        </w:rPr>
        <w:t>(ii)</w:t>
        <w:tab/>
        <w:t>in the case of fax, at the time of transmission; or</w:t>
      </w:r>
    </w:p>
    <w:p>
      <w:pPr>
        <w:pStyle w:val="Normal"/>
        <w:ind w:hanging="720" w:start="1440" w:end="0"/>
        <w:jc w:val="both"/>
        <w:rPr>
          <w:szCs w:val="22"/>
        </w:rPr>
      </w:pPr>
      <w:r>
        <w:rPr>
          <w:szCs w:val="22"/>
        </w:rPr>
      </w:r>
    </w:p>
    <w:p>
      <w:pPr>
        <w:pStyle w:val="Normal"/>
        <w:ind w:hanging="720" w:start="1440" w:end="0"/>
        <w:jc w:val="both"/>
        <w:rPr/>
      </w:pPr>
      <w:r>
        <w:rPr>
          <w:szCs w:val="22"/>
        </w:rPr>
        <w:t>(iii)</w:t>
        <w:tab/>
        <w:t>in the case of prepaid recorded delivery, special delivery or registered post, at 10am on the second Business Day following the date of posting,</w:t>
      </w:r>
    </w:p>
    <w:p>
      <w:pPr>
        <w:pStyle w:val="Normal"/>
        <w:ind w:hanging="720" w:start="720" w:end="0"/>
        <w:jc w:val="both"/>
        <w:rPr>
          <w:szCs w:val="22"/>
        </w:rPr>
      </w:pPr>
      <w:r>
        <w:rPr>
          <w:szCs w:val="22"/>
        </w:rPr>
      </w:r>
    </w:p>
    <w:p>
      <w:pPr>
        <w:pStyle w:val="Normal"/>
        <w:ind w:start="720" w:end="0"/>
        <w:jc w:val="both"/>
        <w:rPr>
          <w:szCs w:val="22"/>
        </w:rPr>
      </w:pPr>
      <w:r>
        <w:rPr>
          <w:szCs w:val="22"/>
        </w:rPr>
        <w:t>provided that where delivery by hand or by fax occurs after 6pm on a Business Day, or on a day which is not a Business Day, service shall be deemed to occur at 9am on the following Business Day. References to time in this clause are to local time at the address to which the relevant notice is sent; and</w:t>
      </w:r>
    </w:p>
    <w:p>
      <w:pPr>
        <w:pStyle w:val="Normal"/>
        <w:ind w:hanging="720" w:start="720" w:end="0"/>
        <w:jc w:val="both"/>
        <w:rPr>
          <w:szCs w:val="22"/>
        </w:rPr>
      </w:pPr>
      <w:r>
        <w:rPr>
          <w:szCs w:val="22"/>
        </w:rPr>
      </w:r>
    </w:p>
    <w:p>
      <w:pPr>
        <w:pStyle w:val="Normal"/>
        <w:ind w:hanging="720" w:start="720" w:end="0"/>
        <w:jc w:val="both"/>
        <w:rPr/>
      </w:pPr>
      <w:r>
        <w:rPr>
          <w:szCs w:val="22"/>
        </w:rPr>
        <w:t>(d)</w:t>
        <w:tab/>
        <w:t>be in the English language or, if in any other language, accompanied by a translation into English.  If there is a conflict between the English text and the text in any other language, then the English text shall prevail.</w:t>
      </w:r>
    </w:p>
    <w:p>
      <w:pPr>
        <w:pStyle w:val="Normal"/>
        <w:jc w:val="both"/>
        <w:rPr>
          <w:szCs w:val="22"/>
        </w:rPr>
      </w:pPr>
      <w:r>
        <w:rPr>
          <w:szCs w:val="22"/>
        </w:rPr>
      </w:r>
      <w:bookmarkStart w:id="178" w:name="_Ref110877593"/>
      <w:bookmarkStart w:id="179" w:name="_Ref110877593"/>
    </w:p>
    <w:p>
      <w:pPr>
        <w:pStyle w:val="Normal"/>
        <w:jc w:val="both"/>
        <w:rPr/>
      </w:pPr>
      <w:bookmarkStart w:id="180" w:name="_Ref110877593"/>
      <w:r>
        <w:rPr>
          <w:szCs w:val="22"/>
        </w:rPr>
        <w:t>19.10.2</w:t>
        <w:tab/>
        <w:t>The addresses and fax numbers of the parties for the purpose of this clause are as follows:</w:t>
      </w:r>
      <w:bookmarkEnd w:id="180"/>
    </w:p>
    <w:p>
      <w:pPr>
        <w:pStyle w:val="Normal"/>
        <w:jc w:val="both"/>
        <w:rPr>
          <w:szCs w:val="22"/>
        </w:rPr>
      </w:pPr>
      <w:r>
        <w:rPr>
          <w:szCs w:val="22"/>
        </w:rPr>
      </w:r>
    </w:p>
    <w:p>
      <w:pPr>
        <w:pStyle w:val="Normal"/>
        <w:jc w:val="both"/>
        <w:rPr>
          <w:szCs w:val="22"/>
          <w:u w:val="single"/>
        </w:rPr>
      </w:pPr>
      <w:r>
        <w:rPr>
          <w:szCs w:val="22"/>
          <w:u w:val="single"/>
        </w:rPr>
        <w:t>The PST Supplier</w:t>
      </w:r>
    </w:p>
    <w:p>
      <w:pPr>
        <w:pStyle w:val="Normal"/>
        <w:jc w:val="both"/>
        <w:rPr>
          <w:szCs w:val="22"/>
          <w:u w:val="single"/>
        </w:rPr>
      </w:pPr>
      <w:r>
        <w:rPr>
          <w:szCs w:val="22"/>
          <w:u w:val="single"/>
        </w:rPr>
      </w:r>
    </w:p>
    <w:p>
      <w:pPr>
        <w:pStyle w:val="Normal"/>
        <w:jc w:val="both"/>
        <w:rPr>
          <w:szCs w:val="22"/>
        </w:rPr>
      </w:pPr>
      <w:r>
        <w:rPr>
          <w:szCs w:val="22"/>
        </w:rPr>
        <w:t>Address:</w:t>
        <w:tab/>
        <w:tab/>
        <w:t>[●]</w:t>
      </w:r>
    </w:p>
    <w:p>
      <w:pPr>
        <w:pStyle w:val="Normal"/>
        <w:jc w:val="both"/>
        <w:rPr>
          <w:szCs w:val="22"/>
        </w:rPr>
      </w:pPr>
      <w:r>
        <w:rPr>
          <w:szCs w:val="22"/>
        </w:rPr>
      </w:r>
    </w:p>
    <w:p>
      <w:pPr>
        <w:pStyle w:val="Normal"/>
        <w:jc w:val="both"/>
        <w:rPr>
          <w:szCs w:val="22"/>
        </w:rPr>
      </w:pPr>
      <w:r>
        <w:rPr>
          <w:szCs w:val="22"/>
        </w:rPr>
        <w:t>Fax:</w:t>
        <w:tab/>
        <w:tab/>
        <w:tab/>
        <w:t>[●]</w:t>
      </w:r>
    </w:p>
    <w:p>
      <w:pPr>
        <w:pStyle w:val="Normal"/>
        <w:jc w:val="both"/>
        <w:rPr>
          <w:szCs w:val="22"/>
        </w:rPr>
      </w:pPr>
      <w:r>
        <w:rPr>
          <w:szCs w:val="22"/>
        </w:rPr>
      </w:r>
    </w:p>
    <w:p>
      <w:pPr>
        <w:pStyle w:val="Normal"/>
        <w:jc w:val="both"/>
        <w:rPr>
          <w:szCs w:val="22"/>
        </w:rPr>
      </w:pPr>
      <w:r>
        <w:rPr>
          <w:szCs w:val="22"/>
        </w:rPr>
        <w:t>For the attention of:</w:t>
        <w:tab/>
        <w:t>[●]</w:t>
      </w:r>
    </w:p>
    <w:p>
      <w:pPr>
        <w:pStyle w:val="Normal"/>
        <w:jc w:val="both"/>
        <w:rPr>
          <w:szCs w:val="22"/>
        </w:rPr>
      </w:pPr>
      <w:r>
        <w:rPr>
          <w:szCs w:val="22"/>
        </w:rPr>
      </w:r>
    </w:p>
    <w:p>
      <w:pPr>
        <w:pStyle w:val="Normal"/>
        <w:jc w:val="both"/>
        <w:rPr>
          <w:szCs w:val="22"/>
          <w:u w:val="single"/>
        </w:rPr>
      </w:pPr>
      <w:r>
        <w:rPr>
          <w:szCs w:val="22"/>
          <w:u w:val="single"/>
        </w:rPr>
        <w:t>EuroBank</w:t>
      </w:r>
    </w:p>
    <w:p>
      <w:pPr>
        <w:pStyle w:val="Normal"/>
        <w:jc w:val="both"/>
        <w:rPr>
          <w:szCs w:val="22"/>
          <w:u w:val="single"/>
        </w:rPr>
      </w:pPr>
      <w:r>
        <w:rPr>
          <w:szCs w:val="22"/>
          <w:u w:val="single"/>
        </w:rPr>
      </w:r>
    </w:p>
    <w:p>
      <w:pPr>
        <w:pStyle w:val="Normal"/>
        <w:jc w:val="both"/>
        <w:rPr>
          <w:szCs w:val="22"/>
        </w:rPr>
      </w:pPr>
      <w:r>
        <w:rPr>
          <w:szCs w:val="22"/>
        </w:rPr>
        <w:t>Address:</w:t>
        <w:tab/>
        <w:tab/>
        <w:t>Ops&amp;IT Banking</w:t>
      </w:r>
    </w:p>
    <w:p>
      <w:pPr>
        <w:pStyle w:val="Normal"/>
        <w:ind w:start="2160" w:end="0"/>
        <w:jc w:val="both"/>
        <w:rPr/>
      </w:pPr>
      <w:r>
        <w:rPr>
          <w:szCs w:val="22"/>
        </w:rPr>
        <w:t>7</w:t>
      </w:r>
      <w:r>
        <w:rPr>
          <w:szCs w:val="22"/>
          <w:vertAlign w:val="superscript"/>
        </w:rPr>
        <w:t>th</w:t>
      </w:r>
      <w:r>
        <w:rPr>
          <w:szCs w:val="22"/>
        </w:rPr>
        <w:t xml:space="preserve"> Floor</w:t>
      </w:r>
    </w:p>
    <w:p>
      <w:pPr>
        <w:pStyle w:val="Normal"/>
        <w:ind w:start="2160" w:end="0"/>
        <w:jc w:val="both"/>
        <w:rPr>
          <w:szCs w:val="22"/>
        </w:rPr>
      </w:pPr>
      <w:r>
        <w:rPr>
          <w:szCs w:val="22"/>
        </w:rPr>
        <w:t>Acanthus Building C</w:t>
      </w:r>
    </w:p>
    <w:p>
      <w:pPr>
        <w:pStyle w:val="Normal"/>
        <w:ind w:start="2160" w:end="0"/>
        <w:jc w:val="both"/>
        <w:rPr>
          <w:szCs w:val="22"/>
        </w:rPr>
      </w:pPr>
      <w:r>
        <w:rPr>
          <w:szCs w:val="22"/>
        </w:rPr>
        <w:t>Bijlmerdreef 24, 1102 CT, Amsterdam</w:t>
      </w:r>
    </w:p>
    <w:p>
      <w:pPr>
        <w:pStyle w:val="Normal"/>
        <w:ind w:start="2160" w:end="0"/>
        <w:jc w:val="both"/>
        <w:rPr>
          <w:szCs w:val="22"/>
          <w:lang w:val="nl-NL"/>
        </w:rPr>
      </w:pPr>
      <w:r>
        <w:rPr>
          <w:szCs w:val="22"/>
          <w:lang w:val="nl-NL"/>
        </w:rPr>
        <w:t>P.O. 1800, 1000 BV Amsterdam</w:t>
      </w:r>
    </w:p>
    <w:p>
      <w:pPr>
        <w:pStyle w:val="Normal"/>
        <w:jc w:val="both"/>
        <w:rPr>
          <w:szCs w:val="22"/>
          <w:lang w:val="nl-NL"/>
        </w:rPr>
      </w:pPr>
      <w:r>
        <w:rPr>
          <w:szCs w:val="22"/>
          <w:lang w:val="nl-NL"/>
        </w:rPr>
      </w:r>
    </w:p>
    <w:p>
      <w:pPr>
        <w:pStyle w:val="Normal"/>
        <w:jc w:val="both"/>
        <w:rPr>
          <w:szCs w:val="22"/>
          <w:lang w:val="nl-NL"/>
        </w:rPr>
      </w:pPr>
      <w:r>
        <w:rPr>
          <w:szCs w:val="22"/>
          <w:lang w:val="nl-NL"/>
        </w:rPr>
        <w:t>Fax:</w:t>
        <w:tab/>
        <w:tab/>
        <w:tab/>
        <w:t>+31 2057 67008</w:t>
      </w:r>
    </w:p>
    <w:p>
      <w:pPr>
        <w:pStyle w:val="Normal"/>
        <w:jc w:val="both"/>
        <w:rPr>
          <w:szCs w:val="22"/>
          <w:lang w:val="nl-NL"/>
        </w:rPr>
      </w:pPr>
      <w:r>
        <w:rPr>
          <w:szCs w:val="22"/>
          <w:lang w:val="nl-NL"/>
        </w:rPr>
      </w:r>
    </w:p>
    <w:p>
      <w:pPr>
        <w:pStyle w:val="Normal"/>
        <w:jc w:val="both"/>
        <w:rPr>
          <w:szCs w:val="22"/>
        </w:rPr>
      </w:pPr>
      <w:r>
        <w:rPr>
          <w:szCs w:val="22"/>
        </w:rPr>
        <w:t>For the attention of:</w:t>
        <w:tab/>
      </w:r>
      <w:r>
        <w:rPr>
          <w:b/>
          <w:szCs w:val="22"/>
        </w:rPr>
        <w:t>MSP/SWS Contract Manager</w:t>
      </w:r>
    </w:p>
    <w:p>
      <w:pPr>
        <w:pStyle w:val="Normal"/>
        <w:jc w:val="both"/>
        <w:rPr>
          <w:szCs w:val="22"/>
        </w:rPr>
      </w:pPr>
      <w:r>
        <w:rPr>
          <w:szCs w:val="22"/>
        </w:rPr>
      </w:r>
    </w:p>
    <w:p>
      <w:pPr>
        <w:pStyle w:val="Normal"/>
        <w:jc w:val="both"/>
        <w:rPr>
          <w:szCs w:val="22"/>
          <w:u w:val="single"/>
        </w:rPr>
      </w:pPr>
      <w:r>
        <w:rPr>
          <w:szCs w:val="22"/>
        </w:rPr>
        <w:t>With a copy to: EuroBank’s General Counsel</w:t>
      </w:r>
      <w:r>
        <w:rPr>
          <w:szCs w:val="22"/>
          <w:u w:val="single"/>
        </w:rPr>
      </w:r>
    </w:p>
    <w:p>
      <w:pPr>
        <w:pStyle w:val="Normal"/>
        <w:jc w:val="both"/>
        <w:rPr>
          <w:szCs w:val="22"/>
          <w:u w:val="single"/>
        </w:rPr>
      </w:pPr>
      <w:r>
        <w:rPr>
          <w:szCs w:val="22"/>
          <w:u w:val="single"/>
        </w:rPr>
      </w:r>
    </w:p>
    <w:p>
      <w:pPr>
        <w:pStyle w:val="Normal"/>
        <w:jc w:val="both"/>
        <w:rPr>
          <w:szCs w:val="22"/>
          <w:u w:val="single"/>
        </w:rPr>
      </w:pPr>
      <w:r>
        <w:rPr>
          <w:szCs w:val="22"/>
          <w:u w:val="single"/>
        </w:rPr>
        <w:t>Address:</w:t>
        <w:tab/>
        <w:tab/>
        <w:t>EuroBank House,</w:t>
      </w:r>
    </w:p>
    <w:p>
      <w:pPr>
        <w:pStyle w:val="Normal"/>
        <w:ind w:firstLine="720" w:start="1440" w:end="0"/>
        <w:jc w:val="both"/>
        <w:rPr>
          <w:szCs w:val="22"/>
          <w:u w:val="single"/>
        </w:rPr>
      </w:pPr>
      <w:r>
        <w:rPr>
          <w:szCs w:val="22"/>
          <w:u w:val="single"/>
        </w:rPr>
        <w:t>Keizersgracht 100</w:t>
      </w:r>
    </w:p>
    <w:p>
      <w:pPr>
        <w:pStyle w:val="Normal"/>
        <w:ind w:firstLine="720" w:start="1440" w:end="0"/>
        <w:jc w:val="both"/>
        <w:rPr>
          <w:szCs w:val="22"/>
          <w:u w:val="single"/>
        </w:rPr>
      </w:pPr>
      <w:r>
        <w:rPr>
          <w:szCs w:val="22"/>
          <w:u w:val="single"/>
        </w:rPr>
        <w:t>1081 KL Amsterdam</w:t>
      </w:r>
    </w:p>
    <w:p>
      <w:pPr>
        <w:pStyle w:val="Normal"/>
        <w:jc w:val="both"/>
        <w:rPr>
          <w:szCs w:val="22"/>
          <w:u w:val="single"/>
        </w:rPr>
      </w:pPr>
      <w:r>
        <w:rPr>
          <w:szCs w:val="22"/>
          <w:u w:val="single"/>
        </w:rPr>
      </w:r>
    </w:p>
    <w:p>
      <w:pPr>
        <w:pStyle w:val="Normal"/>
        <w:jc w:val="both"/>
        <w:rPr>
          <w:szCs w:val="22"/>
        </w:rPr>
      </w:pPr>
      <w:r>
        <w:rPr>
          <w:szCs w:val="22"/>
        </w:rPr>
        <w:t>Fax:</w:t>
        <w:tab/>
        <w:tab/>
        <w:tab/>
      </w:r>
      <w:r>
        <w:rPr>
          <w:color w:val="000080"/>
          <w:szCs w:val="22"/>
        </w:rPr>
        <w:t>+31 20 541 8723</w:t>
      </w:r>
    </w:p>
    <w:p>
      <w:pPr>
        <w:pStyle w:val="Normal"/>
        <w:jc w:val="both"/>
        <w:rPr>
          <w:szCs w:val="22"/>
        </w:rPr>
      </w:pPr>
      <w:r>
        <w:rPr>
          <w:szCs w:val="22"/>
        </w:rPr>
      </w:r>
    </w:p>
    <w:p>
      <w:pPr>
        <w:pStyle w:val="Normal"/>
        <w:jc w:val="both"/>
        <w:rPr>
          <w:szCs w:val="22"/>
        </w:rPr>
      </w:pPr>
      <w:r>
        <w:rPr>
          <w:szCs w:val="22"/>
        </w:rPr>
        <w:t>For the attention of:</w:t>
        <w:tab/>
        <w:t>EuroBank General Counsel</w:t>
      </w:r>
      <w:r>
        <w:rPr>
          <w:b/>
          <w:szCs w:val="22"/>
        </w:rPr>
      </w:r>
    </w:p>
    <w:p>
      <w:pPr>
        <w:pStyle w:val="Normal"/>
        <w:jc w:val="both"/>
        <w:rPr>
          <w:szCs w:val="22"/>
        </w:rPr>
      </w:pPr>
      <w:r>
        <w:rPr>
          <w:szCs w:val="22"/>
        </w:rPr>
      </w:r>
    </w:p>
    <w:p>
      <w:pPr>
        <w:pStyle w:val="Normal"/>
        <w:jc w:val="both"/>
        <w:rPr>
          <w:szCs w:val="22"/>
        </w:rPr>
      </w:pPr>
      <w:r>
        <w:rPr>
          <w:szCs w:val="22"/>
        </w:rPr>
      </w:r>
    </w:p>
    <w:p>
      <w:pPr>
        <w:pStyle w:val="Normal"/>
        <w:jc w:val="both"/>
        <w:rPr/>
      </w:pPr>
      <w:r>
        <w:rPr>
          <w:szCs w:val="22"/>
        </w:rPr>
        <w:t>19.10.3</w:t>
        <w:tab/>
        <w:t>A party shall notify the other of a change to its name, relevant addressee, address or fax number for the purposes of this clause 19.10.  Its notice shall only be effective on:</w:t>
      </w:r>
    </w:p>
    <w:p>
      <w:pPr>
        <w:pStyle w:val="Normal"/>
        <w:jc w:val="both"/>
        <w:rPr>
          <w:szCs w:val="22"/>
        </w:rPr>
      </w:pPr>
      <w:r>
        <w:rPr>
          <w:szCs w:val="22"/>
        </w:rPr>
      </w:r>
    </w:p>
    <w:p>
      <w:pPr>
        <w:pStyle w:val="Normal"/>
        <w:ind w:hanging="720" w:start="720" w:end="0"/>
        <w:jc w:val="both"/>
        <w:rPr/>
      </w:pPr>
      <w:r>
        <w:rPr>
          <w:szCs w:val="22"/>
        </w:rPr>
        <w:t>(a)</w:t>
        <w:tab/>
        <w:t>the date specified in the notice as the date on which the change is to take place; or</w:t>
      </w:r>
    </w:p>
    <w:p>
      <w:pPr>
        <w:pStyle w:val="Normal"/>
        <w:ind w:hanging="720" w:start="720" w:end="0"/>
        <w:jc w:val="both"/>
        <w:rPr>
          <w:szCs w:val="22"/>
        </w:rPr>
      </w:pPr>
      <w:r>
        <w:rPr>
          <w:szCs w:val="22"/>
        </w:rPr>
      </w:r>
    </w:p>
    <w:p>
      <w:pPr>
        <w:pStyle w:val="Normal"/>
        <w:ind w:hanging="720" w:start="720" w:end="0"/>
        <w:jc w:val="both"/>
        <w:rPr>
          <w:szCs w:val="22"/>
        </w:rPr>
      </w:pPr>
      <w:r>
        <w:rPr>
          <w:szCs w:val="22"/>
        </w:rPr>
        <w:t>(b)</w:t>
        <w:tab/>
        <w:t>if no date is specified or the date specified is less than 5 Business Days after the date on which notice is given, the date following 5 Business Days after notice of any change has been given.</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Waiver and remedies</w:t>
      </w:r>
    </w:p>
    <w:p>
      <w:pPr>
        <w:pStyle w:val="Normal"/>
        <w:jc w:val="both"/>
        <w:rPr/>
      </w:pPr>
      <w:r>
        <w:rPr>
          <w:szCs w:val="22"/>
        </w:rPr>
        <w:t>19.11.1</w:t>
        <w:tab/>
        <w:t>No failure or delay by a party in exercising any right or remedy provided by law or under this MSA or any Transaction Document shall impair the right or remedy, or operate as a waiver or variation of it, or preclude its exercise at any subsequent time.  No single or partial exercise of any right or remedy shall preclude any further exercise of the right or remedy or the exercise of any other right or remedy.</w:t>
      </w:r>
    </w:p>
    <w:p>
      <w:pPr>
        <w:pStyle w:val="Normal"/>
        <w:jc w:val="both"/>
        <w:rPr>
          <w:szCs w:val="22"/>
        </w:rPr>
      </w:pPr>
      <w:r>
        <w:rPr>
          <w:szCs w:val="22"/>
        </w:rPr>
      </w:r>
    </w:p>
    <w:p>
      <w:pPr>
        <w:pStyle w:val="Normal"/>
        <w:jc w:val="both"/>
        <w:rPr/>
      </w:pPr>
      <w:r>
        <w:rPr>
          <w:szCs w:val="22"/>
        </w:rPr>
        <w:t>19.11.2</w:t>
        <w:tab/>
        <w:t>The rights of the parties under this MSA and under other Transaction Documents are cumulative, may be exercised as often as the relevant party considers appropriate and are in addition to their respective rights under general law.</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Variation</w:t>
      </w:r>
    </w:p>
    <w:p>
      <w:pPr>
        <w:pStyle w:val="Normal"/>
        <w:jc w:val="both"/>
        <w:rPr>
          <w:szCs w:val="22"/>
        </w:rPr>
      </w:pPr>
      <w:r>
        <w:rPr>
          <w:szCs w:val="22"/>
        </w:rPr>
        <w:t>19.12.1</w:t>
        <w:tab/>
        <w:t>No amendment, variation or waiver of this MSA or of any other Transaction Document shall be valid unless in writing and duly executed by or on behalf of all of the parties to it.</w:t>
      </w:r>
    </w:p>
    <w:p>
      <w:pPr>
        <w:pStyle w:val="Normal"/>
        <w:jc w:val="both"/>
        <w:rPr>
          <w:szCs w:val="22"/>
        </w:rPr>
      </w:pPr>
      <w:r>
        <w:rPr>
          <w:szCs w:val="22"/>
        </w:rPr>
      </w:r>
    </w:p>
    <w:p>
      <w:pPr>
        <w:pStyle w:val="Normal"/>
        <w:jc w:val="both"/>
        <w:rPr/>
      </w:pPr>
      <w:r>
        <w:rPr>
          <w:szCs w:val="22"/>
        </w:rPr>
        <w:t>19.12.2</w:t>
        <w:tab/>
        <w:t xml:space="preserve">No variation shall constitute a general waiver of any provision of this MSA or of any Transaction Document, nor shall it affect any rights or obligations under this MSA or any other Transaction Document which has already accrued up to the date of variation, and the rights and obligations of the parties under this MSA or other Transaction Documents shall remain in full force and effect, except and only to the extent that they are so varied. </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Severability</w:t>
      </w:r>
    </w:p>
    <w:p>
      <w:pPr>
        <w:pStyle w:val="Normal"/>
        <w:jc w:val="both"/>
        <w:rPr>
          <w:szCs w:val="22"/>
        </w:rPr>
      </w:pPr>
      <w:r>
        <w:rPr>
          <w:szCs w:val="22"/>
        </w:rPr>
        <w:t>Each of the provisions of this MSA and the other Transaction Documents is severable.  If a provision is held to be or becomes illegal, invalid or unenforceable in any respect under the law of any jurisdiction, then:</w:t>
      </w:r>
    </w:p>
    <w:p>
      <w:pPr>
        <w:pStyle w:val="Normal"/>
        <w:jc w:val="both"/>
        <w:rPr>
          <w:szCs w:val="22"/>
        </w:rPr>
      </w:pPr>
      <w:r>
        <w:rPr>
          <w:szCs w:val="22"/>
        </w:rPr>
      </w:r>
    </w:p>
    <w:p>
      <w:pPr>
        <w:pStyle w:val="Normal"/>
        <w:jc w:val="both"/>
        <w:rPr/>
      </w:pPr>
      <w:r>
        <w:rPr>
          <w:szCs w:val="22"/>
        </w:rPr>
        <w:t>(a)</w:t>
        <w:tab/>
        <w:t>to the extent that it is illegal, invalid or unenforceable, it shall be deemed not to be included in this MSA or the relevant Transaction Document, it shall not affect or impair the legality, validity or enforceability in that jurisdiction of the other provisions of this MSA or that other Transaction Document, or of that or any provisions of this MSA or that other Transaction Document in any other jurisdiction; and</w:t>
      </w:r>
    </w:p>
    <w:p>
      <w:pPr>
        <w:pStyle w:val="Normal"/>
        <w:jc w:val="both"/>
        <w:rPr>
          <w:szCs w:val="22"/>
        </w:rPr>
      </w:pPr>
      <w:r>
        <w:rPr>
          <w:szCs w:val="22"/>
        </w:rPr>
      </w:r>
    </w:p>
    <w:p>
      <w:pPr>
        <w:pStyle w:val="Normal"/>
        <w:jc w:val="both"/>
        <w:rPr>
          <w:szCs w:val="22"/>
        </w:rPr>
      </w:pPr>
      <w:r>
        <w:rPr>
          <w:szCs w:val="22"/>
        </w:rPr>
        <w:t>(b)</w:t>
        <w:tab/>
        <w:t>the parties shall use all reasonable endeavours to replace it with a valid and enforceable substitute provision or provisions, with an effect as close as possible to the intended effect of the illegal, invalid or unenforceable provision.</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No partnership</w:t>
      </w:r>
    </w:p>
    <w:p>
      <w:pPr>
        <w:pStyle w:val="Normal"/>
        <w:jc w:val="both"/>
        <w:rPr>
          <w:szCs w:val="22"/>
        </w:rPr>
      </w:pPr>
      <w:r>
        <w:rPr>
          <w:szCs w:val="22"/>
        </w:rPr>
        <w:t>No provision of this MSA creates a partnership between the parties or makes a party the agent of the other party for any purpose.  A party has no authority to bind, to contract in the name of, or to create a liability for the other party in any way or for any purpose</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bookmarkStart w:id="181" w:name="_Ref120344824"/>
      <w:r>
        <w:rPr>
          <w:b/>
          <w:szCs w:val="22"/>
        </w:rPr>
        <w:t>Escalation Procedure</w:t>
      </w:r>
      <w:bookmarkEnd w:id="181"/>
    </w:p>
    <w:p>
      <w:pPr>
        <w:pStyle w:val="Normal"/>
        <w:jc w:val="both"/>
        <w:rPr>
          <w:szCs w:val="22"/>
        </w:rPr>
      </w:pPr>
      <w:r>
        <w:rPr>
          <w:szCs w:val="22"/>
        </w:rPr>
        <w:t>In the event of any dispute, controversy or claim arising in connection with this MSA or further contracts resulting therefrom, the Escalation Procedure set out in Exhibit 6 (</w:t>
      </w:r>
      <w:r>
        <w:rPr>
          <w:i/>
          <w:szCs w:val="22"/>
        </w:rPr>
        <w:t>Governance</w:t>
      </w:r>
      <w:r>
        <w:rPr>
          <w:szCs w:val="22"/>
        </w:rPr>
        <w:t>) shall apply.</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bookmarkStart w:id="182" w:name="_Ref115147656"/>
      <w:r>
        <w:rPr>
          <w:b/>
          <w:szCs w:val="22"/>
        </w:rPr>
        <w:t>Governing law, jurisdiction and service of process</w:t>
      </w:r>
      <w:bookmarkEnd w:id="182"/>
    </w:p>
    <w:p>
      <w:pPr>
        <w:pStyle w:val="Normal"/>
        <w:jc w:val="both"/>
        <w:rPr/>
      </w:pPr>
      <w:r>
        <w:rPr>
          <w:szCs w:val="22"/>
        </w:rPr>
        <w:t>19.16.1</w:t>
        <w:tab/>
        <w:t>All disputes, controversies or claims between the parties arising out of or in connection with this MSA and/or any further contracts resulting therefrom shall, after exhaustion of the Escalation Procedure described in Exhibit 6 (</w:t>
      </w:r>
      <w:r>
        <w:rPr>
          <w:i/>
          <w:szCs w:val="22"/>
        </w:rPr>
        <w:t>Governance</w:t>
      </w:r>
      <w:r>
        <w:rPr>
          <w:szCs w:val="22"/>
        </w:rPr>
        <w:t>), be finally settled by an arbitral tribunal; in accordance with the Arbitration Rules of the Netherlands Arbitration Institute (</w:t>
      </w:r>
      <w:r>
        <w:rPr>
          <w:b/>
          <w:i/>
          <w:szCs w:val="22"/>
        </w:rPr>
        <w:t>NAI</w:t>
      </w:r>
      <w:r>
        <w:rPr>
          <w:szCs w:val="22"/>
        </w:rPr>
        <w:t>). The arbitral tribunal shall decide in accordance with the rules of law (</w:t>
      </w:r>
      <w:r>
        <w:rPr>
          <w:i/>
          <w:szCs w:val="22"/>
        </w:rPr>
        <w:t>regelen des rechts</w:t>
      </w:r>
      <w:r>
        <w:rPr>
          <w:szCs w:val="22"/>
        </w:rPr>
        <w:t>), and not as amiable compositors. The place of arbitration shall be Amsterdam, the Netherlands and the arbitration shall be conducted in the English language.</w:t>
      </w:r>
    </w:p>
    <w:p>
      <w:pPr>
        <w:pStyle w:val="Normal"/>
        <w:jc w:val="both"/>
        <w:rPr>
          <w:szCs w:val="22"/>
        </w:rPr>
      </w:pPr>
      <w:r>
        <w:rPr>
          <w:szCs w:val="22"/>
        </w:rPr>
      </w:r>
    </w:p>
    <w:p>
      <w:pPr>
        <w:pStyle w:val="Normal"/>
        <w:jc w:val="both"/>
        <w:rPr/>
      </w:pPr>
      <w:r>
        <w:rPr>
          <w:szCs w:val="22"/>
        </w:rPr>
        <w:t>19.16.2</w:t>
        <w:tab/>
        <w:t>Without prejudice to the Escalation Procedure set out in Exhibit 6 (</w:t>
      </w:r>
      <w:r>
        <w:rPr>
          <w:i/>
          <w:szCs w:val="22"/>
        </w:rPr>
        <w:t>Governance</w:t>
      </w:r>
      <w:r>
        <w:rPr>
          <w:szCs w:val="22"/>
        </w:rPr>
        <w:t>) to this MSA, parties retain the right to obtain preliminary relief, by means of summary proceedings (</w:t>
      </w:r>
      <w:r>
        <w:rPr>
          <w:i/>
          <w:szCs w:val="22"/>
        </w:rPr>
        <w:t>kort geding</w:t>
      </w:r>
      <w:r>
        <w:rPr>
          <w:szCs w:val="22"/>
        </w:rPr>
        <w:t xml:space="preserve">) at all times. </w:t>
      </w:r>
    </w:p>
    <w:p>
      <w:pPr>
        <w:pStyle w:val="Normal"/>
        <w:jc w:val="both"/>
        <w:rPr>
          <w:szCs w:val="22"/>
        </w:rPr>
      </w:pPr>
      <w:r>
        <w:rPr>
          <w:szCs w:val="22"/>
        </w:rPr>
      </w:r>
    </w:p>
    <w:p>
      <w:pPr>
        <w:pStyle w:val="Normal"/>
        <w:jc w:val="both"/>
        <w:rPr/>
      </w:pPr>
      <w:r>
        <w:rPr>
          <w:szCs w:val="22"/>
        </w:rPr>
        <w:t>19.16.3</w:t>
        <w:tab/>
        <w:t>Information that is not in the public domain concerning (a) the existence of any dispute and/or any arbitration, (b) any arguments raised by any of the parties in relation to a dispute and/or arbitration, (c) the evidence, briefs or documents submitted in relation to a dispute and/or arbitration, (d) the outcome or award of a dispute and/or arbitration, may not be unilaterally disclosed by a party to any third party unless it is required to do so by law or by a competent regulatory body, or to the extent that the information is required to be produced in arbitration related court proceedings, and then only:</w:t>
      </w:r>
    </w:p>
    <w:p>
      <w:pPr>
        <w:pStyle w:val="Normal"/>
        <w:jc w:val="both"/>
        <w:rPr>
          <w:szCs w:val="22"/>
        </w:rPr>
      </w:pPr>
      <w:r>
        <w:rPr>
          <w:szCs w:val="22"/>
        </w:rPr>
      </w:r>
    </w:p>
    <w:p>
      <w:pPr>
        <w:pStyle w:val="Normal"/>
        <w:ind w:hanging="720" w:start="1440" w:end="0"/>
        <w:jc w:val="both"/>
        <w:rPr/>
      </w:pPr>
      <w:r>
        <w:rPr>
          <w:szCs w:val="22"/>
        </w:rPr>
        <w:t>(i)</w:t>
        <w:tab/>
        <w:t>by disclosing no more than what is legally required; and</w:t>
      </w:r>
    </w:p>
    <w:p>
      <w:pPr>
        <w:pStyle w:val="Normal"/>
        <w:ind w:hanging="720" w:start="1440" w:end="0"/>
        <w:jc w:val="both"/>
        <w:rPr>
          <w:szCs w:val="22"/>
        </w:rPr>
      </w:pPr>
      <w:r>
        <w:rPr>
          <w:szCs w:val="22"/>
        </w:rPr>
      </w:r>
    </w:p>
    <w:p>
      <w:pPr>
        <w:pStyle w:val="Normal"/>
        <w:ind w:hanging="720" w:start="1440" w:end="0"/>
        <w:jc w:val="both"/>
        <w:rPr/>
      </w:pPr>
      <w:r>
        <w:rPr>
          <w:szCs w:val="22"/>
        </w:rPr>
        <w:t>(ii)</w:t>
        <w:tab/>
        <w:t xml:space="preserve">by furnishing to the arbitral tribunal and to the other party (if the disclosure takes place during the arbitration) or to the other party alone (if the disclosure takes place after the  termination of the arbitration) details of the disclosure and an explanation of the reason for it. </w:t>
      </w:r>
    </w:p>
    <w:p>
      <w:pPr>
        <w:pStyle w:val="Normal"/>
        <w:jc w:val="both"/>
        <w:rPr>
          <w:szCs w:val="22"/>
        </w:rPr>
      </w:pPr>
      <w:r>
        <w:rPr>
          <w:szCs w:val="22"/>
        </w:rPr>
      </w:r>
    </w:p>
    <w:p>
      <w:pPr>
        <w:pStyle w:val="Normal"/>
        <w:jc w:val="both"/>
        <w:rPr/>
      </w:pPr>
      <w:r>
        <w:rPr>
          <w:szCs w:val="22"/>
        </w:rPr>
        <w:t>19.16.4</w:t>
        <w:tab/>
        <w:t>This MSA and the relationship between the parties shall be governed by, and interpreted in accordance with, the laws of the Netherlands.</w:t>
      </w:r>
    </w:p>
    <w:p>
      <w:pPr>
        <w:pStyle w:val="Normal"/>
        <w:jc w:val="both"/>
        <w:rPr>
          <w:szCs w:val="22"/>
        </w:rPr>
      </w:pPr>
      <w:r>
        <w:rPr>
          <w:szCs w:val="22"/>
        </w:rPr>
      </w:r>
    </w:p>
    <w:p>
      <w:pPr>
        <w:pStyle w:val="Normal"/>
        <w:numPr>
          <w:ilvl w:val="1"/>
          <w:numId w:val="8"/>
        </w:numPr>
        <w:tabs>
          <w:tab w:val="clear" w:pos="720"/>
        </w:tabs>
        <w:spacing w:before="120" w:after="120"/>
        <w:ind w:hanging="0" w:start="0" w:end="0"/>
        <w:jc w:val="both"/>
        <w:rPr>
          <w:b/>
          <w:szCs w:val="22"/>
        </w:rPr>
      </w:pPr>
      <w:r>
        <w:rPr>
          <w:b/>
          <w:szCs w:val="22"/>
        </w:rPr>
        <w:t>Counterparts</w:t>
      </w:r>
    </w:p>
    <w:p>
      <w:pPr>
        <w:pStyle w:val="Normal"/>
        <w:jc w:val="both"/>
        <w:rPr>
          <w:szCs w:val="22"/>
        </w:rPr>
      </w:pPr>
      <w:r>
        <w:rPr>
          <w:szCs w:val="22"/>
        </w:rPr>
        <w:t>This MSA may be executed in any number of counterparts and by the parties to it on separate counterparts, each of which is an original but all of which taken together shall constitute one and the same instrument.</w:t>
      </w:r>
    </w:p>
    <w:p>
      <w:pPr>
        <w:pStyle w:val="Normal"/>
        <w:jc w:val="both"/>
        <w:rPr>
          <w:szCs w:val="22"/>
        </w:rPr>
      </w:pPr>
      <w:r>
        <w:rPr>
          <w:szCs w:val="22"/>
        </w:rPr>
      </w:r>
    </w:p>
    <w:p>
      <w:pPr>
        <w:pStyle w:val="Normal"/>
        <w:jc w:val="both"/>
        <w:rPr>
          <w:szCs w:val="22"/>
        </w:rPr>
      </w:pPr>
      <w:r>
        <w:rPr>
          <w:szCs w:val="22"/>
        </w:rPr>
        <w:t>EXECUTED by the parties</w:t>
        <w:tab/>
        <w:tab/>
        <w:tab/>
        <w:tab/>
        <w:t>)</w:t>
        <w:br/>
        <w:t>Signed by</w:t>
        <w:tab/>
        <w:tab/>
        <w:tab/>
        <w:tab/>
        <w:tab/>
        <w:tab/>
        <w:t>)</w:t>
        <w:br/>
        <w:t xml:space="preserve">a duly authorised </w:t>
        <w:tab/>
        <w:tab/>
        <w:tab/>
        <w:tab/>
        <w:tab/>
        <w:t>)</w:t>
        <w:br/>
        <w:t>representative of</w:t>
        <w:tab/>
        <w:tab/>
        <w:tab/>
        <w:tab/>
        <w:tab/>
        <w:t>)</w:t>
        <w:br/>
        <w:t>[EuroBank]:</w:t>
        <w:tab/>
        <w:tab/>
        <w:tab/>
        <w:tab/>
        <w:tab/>
        <w:tab/>
        <w:tab/>
        <w:t>)</w:t>
      </w:r>
    </w:p>
    <w:p>
      <w:pPr>
        <w:pStyle w:val="Normal"/>
        <w:jc w:val="both"/>
        <w:rPr>
          <w:szCs w:val="22"/>
        </w:rPr>
      </w:pPr>
      <w:r>
        <w:rPr>
          <w:szCs w:val="22"/>
        </w:rPr>
        <w:tab/>
      </w:r>
    </w:p>
    <w:p>
      <w:pPr>
        <w:pStyle w:val="Normal"/>
        <w:jc w:val="both"/>
        <w:rPr/>
      </w:pPr>
      <w:r>
        <w:rPr>
          <w:szCs w:val="22"/>
        </w:rPr>
        <w:t>_________________________</w:t>
        <w:tab/>
        <w:tab/>
        <w:tab/>
        <w:t>Signature</w:t>
      </w:r>
    </w:p>
    <w:p>
      <w:pPr>
        <w:pStyle w:val="Normal"/>
        <w:jc w:val="both"/>
        <w:rPr>
          <w:szCs w:val="22"/>
        </w:rPr>
      </w:pPr>
      <w:r>
        <w:rPr>
          <w:szCs w:val="22"/>
        </w:rPr>
      </w:r>
    </w:p>
    <w:p>
      <w:pPr>
        <w:pStyle w:val="Normal"/>
        <w:jc w:val="both"/>
        <w:rPr>
          <w:szCs w:val="22"/>
        </w:rPr>
      </w:pPr>
      <w:r>
        <w:rPr>
          <w:szCs w:val="22"/>
        </w:rPr>
      </w:r>
    </w:p>
    <w:p>
      <w:pPr>
        <w:pStyle w:val="Normal"/>
        <w:jc w:val="both"/>
        <w:rPr/>
      </w:pPr>
      <w:r>
        <w:rPr>
          <w:szCs w:val="22"/>
        </w:rPr>
        <w:t>EXECUTED by the parties</w:t>
        <w:tab/>
        <w:tab/>
        <w:tab/>
        <w:tab/>
        <w:t>)</w:t>
        <w:br/>
        <w:t>Signed by</w:t>
        <w:tab/>
        <w:tab/>
        <w:tab/>
        <w:tab/>
        <w:tab/>
        <w:tab/>
        <w:t>)</w:t>
        <w:br/>
        <w:t xml:space="preserve">a duly authorised </w:t>
        <w:tab/>
        <w:tab/>
        <w:tab/>
        <w:tab/>
        <w:tab/>
        <w:t>)</w:t>
        <w:br/>
        <w:t>representative of</w:t>
        <w:tab/>
        <w:tab/>
        <w:tab/>
        <w:tab/>
        <w:tab/>
        <w:t>)</w:t>
        <w:br/>
        <w:t>[EuroBank]:</w:t>
        <w:tab/>
        <w:tab/>
        <w:tab/>
        <w:tab/>
        <w:tab/>
        <w:tab/>
        <w:tab/>
        <w:t>)</w:t>
      </w:r>
    </w:p>
    <w:p>
      <w:pPr>
        <w:pStyle w:val="Normal"/>
        <w:jc w:val="both"/>
        <w:rPr/>
      </w:pPr>
      <w:r>
        <w:rPr>
          <w:szCs w:val="22"/>
        </w:rPr>
        <w:t>_________________________</w:t>
        <w:tab/>
        <w:tab/>
        <w:tab/>
        <w:t>Signature</w:t>
      </w:r>
    </w:p>
    <w:p>
      <w:pPr>
        <w:pStyle w:val="Normal"/>
        <w:jc w:val="both"/>
        <w:rPr>
          <w:szCs w:val="22"/>
        </w:rPr>
      </w:pPr>
      <w:r>
        <w:rPr>
          <w:szCs w:val="22"/>
        </w:rPr>
      </w:r>
    </w:p>
    <w:p>
      <w:pPr>
        <w:pStyle w:val="Normal"/>
        <w:jc w:val="both"/>
        <w:rPr>
          <w:szCs w:val="22"/>
        </w:rPr>
      </w:pPr>
      <w:r>
        <w:rPr>
          <w:szCs w:val="22"/>
        </w:rPr>
      </w:r>
    </w:p>
    <w:p>
      <w:pPr>
        <w:pStyle w:val="Normal"/>
        <w:jc w:val="both"/>
        <w:rPr/>
      </w:pPr>
      <w:r>
        <w:rPr>
          <w:szCs w:val="22"/>
        </w:rPr>
        <w:t>Signed by</w:t>
        <w:tab/>
        <w:tab/>
        <w:tab/>
        <w:tab/>
        <w:tab/>
        <w:tab/>
        <w:t>)</w:t>
        <w:br/>
        <w:t xml:space="preserve">a duly authorised </w:t>
        <w:tab/>
        <w:tab/>
        <w:tab/>
        <w:tab/>
        <w:tab/>
        <w:t>)</w:t>
        <w:br/>
        <w:t>representative of</w:t>
        <w:tab/>
        <w:tab/>
        <w:tab/>
        <w:tab/>
        <w:tab/>
        <w:t>)</w:t>
        <w:br/>
        <w:t>[insert name of PST Supplier]</w:t>
        <w:tab/>
        <w:tab/>
        <w:tab/>
        <w:tab/>
        <w:t>)</w:t>
      </w:r>
    </w:p>
    <w:p>
      <w:pPr>
        <w:pStyle w:val="Normal"/>
        <w:jc w:val="both"/>
        <w:rPr/>
      </w:pPr>
      <w:r>
        <w:rPr>
          <w:szCs w:val="22"/>
        </w:rPr>
        <w:t>_________________________</w:t>
        <w:tab/>
        <w:tab/>
        <w:tab/>
        <w:t>Signature</w:t>
      </w:r>
    </w:p>
    <w:p>
      <w:pPr>
        <w:pStyle w:val="Normal"/>
        <w:jc w:val="both"/>
        <w:rPr>
          <w:szCs w:val="22"/>
        </w:rPr>
      </w:pPr>
      <w:r>
        <w:rPr>
          <w:szCs w:val="22"/>
        </w:rPr>
      </w:r>
    </w:p>
    <w:sectPr>
      <w:headerReference w:type="default" r:id="rId8"/>
      <w:headerReference w:type="first" r:id="rId9"/>
      <w:footerReference w:type="default" r:id="rId10"/>
      <w:footerReference w:type="first" r:id="rId11"/>
      <w:type w:val="nextPage"/>
      <w:pgSz w:w="11906" w:h="16838"/>
      <w:pgMar w:left="1797" w:right="1797" w:gutter="0" w:header="720" w:top="1440" w:footer="720"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Arial Unicode MS">
    <w:charset w:val="80"/>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200" w:leader="none"/>
        <w:tab w:val="right" w:pos="8280" w:leader="none"/>
      </w:tabs>
      <w:ind w:end="32"/>
      <w:rPr/>
    </w:pPr>
    <w:r>
      <w:rPr/>
      <w:t>Ops &amp; IT Banking Confidential</w:t>
      <w:tab/>
      <w:tab/>
      <w:t>12/12/06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200" w:leader="none"/>
        <w:tab w:val="right" w:pos="8280" w:leader="none"/>
      </w:tabs>
      <w:ind w:end="32"/>
      <w:rPr/>
    </w:pPr>
    <w:r>
      <w:rPr/>
      <w:t>Ops &amp; IT Banking Confidential</w:t>
      <w:tab/>
      <w:tab/>
      <w:t>12/12/06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200" w:leader="none"/>
        <w:tab w:val="right" w:pos="8280" w:leader="none"/>
      </w:tabs>
      <w:ind w:end="32"/>
      <w:rPr/>
    </w:pPr>
    <w:r>
      <w:rPr/>
      <w:t>Ops &amp; 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48</w:t>
    </w:r>
    <w:r>
      <w:rPr>
        <w:rStyle w:val="PageNumber"/>
      </w:rPr>
      <w:fldChar w:fldCharType="end"/>
    </w:r>
    <w:r>
      <w:rPr/>
      <w:tab/>
      <w:t>12/12/06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200" w:leader="none"/>
        <w:tab w:val="right" w:pos="8280" w:leader="none"/>
      </w:tabs>
      <w:jc w:val="start"/>
      <w:rPr/>
    </w:pPr>
    <w:r>
      <w:rPr/>
      <w:drawing>
        <wp:inline distT="0" distB="0" distL="0" distR="0">
          <wp:extent cx="1149985" cy="34417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MSA GEN Final v3.3.DOC</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200" w:leader="none"/>
        <w:tab w:val="right" w:pos="8280" w:leader="none"/>
      </w:tabs>
      <w:jc w:val="start"/>
      <w:rPr/>
    </w:pPr>
    <w:r>
      <w:rPr/>
      <w:drawing>
        <wp:inline distT="0" distB="0" distL="0" distR="0">
          <wp:extent cx="1149985" cy="34417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MSA GEN Final v3.3.DOC</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200" w:leader="none"/>
        <w:tab w:val="right" w:pos="8280" w:leader="none"/>
      </w:tabs>
      <w:jc w:val="start"/>
      <w:rPr/>
    </w:pPr>
    <w:r>
      <w:rPr/>
      <w:drawing>
        <wp:inline distT="0" distB="0" distL="0" distR="0">
          <wp:extent cx="1149985" cy="34417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MSA GEN Final v3.3.DOC</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8">
    <w:lvl w:ilvl="0">
      <w:start w:val="19"/>
      <w:numFmt w:val="decimal"/>
      <w:lvlText w:val="%1"/>
      <w:lvlJc w:val="start"/>
      <w:pPr>
        <w:tabs>
          <w:tab w:val="num" w:pos="384"/>
        </w:tabs>
        <w:ind w:start="384" w:hanging="384"/>
      </w:pPr>
      <w:rPr/>
    </w:lvl>
    <w:lvl w:ilvl="1">
      <w:start w:val="1"/>
      <w:numFmt w:val="decimal"/>
      <w:lvlText w:val="%1.%2"/>
      <w:lvlJc w:val="start"/>
      <w:pPr>
        <w:tabs>
          <w:tab w:val="num" w:pos="384"/>
        </w:tabs>
        <w:ind w:start="384" w:hanging="384"/>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9">
    <w:lvl w:ilvl="0">
      <w:start w:val="5"/>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10">
    <w:lvl w:ilvl="0">
      <w:start w:val="1"/>
      <w:numFmt w:val="decimal"/>
      <w:lvlText w:val="(%1)"/>
      <w:lvlJc w:val="start"/>
      <w:pPr>
        <w:tabs>
          <w:tab w:val="num" w:pos="720"/>
        </w:tabs>
        <w:ind w:start="720" w:hanging="720"/>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1">
    <w:lvl w:ilvl="0">
      <w:start w:val="9"/>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12">
    <w:lvl w:ilvl="0">
      <w:start w:val="1"/>
      <w:numFmt w:val="decimal"/>
      <w:lvlText w:val="%1."/>
      <w:lvlJc w:val="start"/>
      <w:pPr>
        <w:tabs>
          <w:tab w:val="num" w:pos="720"/>
        </w:tabs>
        <w:ind w:start="720" w:hanging="72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Letter"/>
      <w:lvlText w:val="(%3)"/>
      <w:lvlJc w:val="start"/>
      <w:pPr>
        <w:tabs>
          <w:tab w:val="num" w:pos="1411"/>
        </w:tabs>
        <w:ind w:start="1411" w:hanging="720"/>
      </w:pPr>
      <w:rPr>
        <w:smallCaps w:val="false"/>
        <w:caps w:val="false"/>
        <w:sz w:val="24"/>
        <w:i w:val="false"/>
        <w:u w:val="none"/>
        <w:b w:val="false"/>
        <w:rFonts w:ascii="Times New Roman" w:hAnsi="Times New Roman" w:cs="Times New Roman"/>
        <w:color w:val="000000"/>
      </w:rPr>
    </w:lvl>
    <w:lvl w:ilvl="3">
      <w:start w:val="1"/>
      <w:numFmt w:val="lowerRoman"/>
      <w:lvlText w:val="(%4)"/>
      <w:lvlJc w:val="start"/>
      <w:pPr>
        <w:tabs>
          <w:tab w:val="num" w:pos="2102"/>
        </w:tabs>
        <w:ind w:start="2117" w:hanging="706"/>
      </w:pPr>
      <w:rPr>
        <w:smallCaps w:val="false"/>
        <w:caps w:val="false"/>
        <w:sz w:val="24"/>
        <w:i w:val="false"/>
        <w:u w:val="none"/>
        <w:b w:val="false"/>
        <w:rFonts w:ascii="Times New Roman" w:hAnsi="Times New Roman" w:cs="Times New Roman"/>
        <w:color w:val="000000"/>
      </w:rPr>
    </w:lvl>
    <w:lvl w:ilvl="4">
      <w:start w:val="1"/>
      <w:numFmt w:val="upperLetter"/>
      <w:lvlText w:val="(%5)"/>
      <w:lvlJc w:val="start"/>
      <w:pPr>
        <w:tabs>
          <w:tab w:val="num" w:pos="2822"/>
        </w:tabs>
        <w:ind w:start="2837" w:hanging="720"/>
      </w:pPr>
      <w:rPr>
        <w:smallCaps w:val="false"/>
        <w:caps w:val="false"/>
        <w:sz w:val="24"/>
        <w:i w:val="false"/>
        <w:u w:val="none"/>
        <w:b w:val="false"/>
        <w:rFonts w:ascii="Times New Roman" w:hAnsi="Times New Roman" w:cs="Times New Roman"/>
        <w:color w:val="000000"/>
      </w:rPr>
    </w:lvl>
    <w:lvl w:ilvl="5">
      <w:start w:val="1"/>
      <w:numFmt w:val="upperRoman"/>
      <w:lvlText w:val="(%6)"/>
      <w:lvlJc w:val="start"/>
      <w:pPr>
        <w:tabs>
          <w:tab w:val="num" w:pos="3672"/>
        </w:tabs>
        <w:ind w:start="3686" w:hanging="849"/>
      </w:pPr>
      <w:rPr>
        <w:smallCaps w:val="false"/>
        <w:caps w:val="false"/>
        <w:sz w:val="24"/>
        <w:i w:val="false"/>
        <w:u w:val="none"/>
        <w:b w:val="false"/>
        <w:rFonts w:ascii="Times New Roman" w:hAnsi="Times New Roman" w:cs="Times New Roman"/>
        <w:color w:val="000000"/>
      </w:rPr>
    </w:lvl>
    <w:lvl w:ilvl="6">
      <w:start w:val="27"/>
      <w:numFmt w:val="lowerLetter"/>
      <w:lvlText w:val="(%7)"/>
      <w:lvlJc w:val="start"/>
      <w:pPr>
        <w:tabs>
          <w:tab w:val="num" w:pos="4507"/>
        </w:tabs>
        <w:ind w:start="4522" w:hanging="850"/>
      </w:pPr>
      <w:rPr>
        <w:smallCaps w:val="false"/>
        <w:caps w:val="false"/>
        <w:sz w:val="24"/>
        <w:i w:val="false"/>
        <w:u w:val="none"/>
        <w:b w:val="false"/>
        <w:rFonts w:ascii="Times New Roman" w:hAnsi="Times New Roman" w:cs="Times New Roman"/>
        <w:color w:val="000000"/>
      </w:rPr>
    </w:lvl>
    <w:lvl w:ilvl="7">
      <w:start w:val="1"/>
      <w:numFmt w:val="decimal"/>
      <w:lvlText w:val="(%8)"/>
      <w:lvlJc w:val="start"/>
      <w:pPr>
        <w:tabs>
          <w:tab w:val="num" w:pos="5242"/>
        </w:tabs>
        <w:ind w:start="5242" w:hanging="720"/>
      </w:pPr>
      <w:rPr>
        <w:smallCaps w:val="false"/>
        <w:caps w:val="false"/>
        <w:sz w:val="24"/>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z w:val="24"/>
        <w:i w:val="false"/>
        <w:u w:val="none"/>
        <w:b w:val="false"/>
        <w:rFonts w:ascii="Times New Roman" w:hAnsi="Times New Roman" w:cs="Times New Roman"/>
        <w:color w:val="000000"/>
      </w:rPr>
    </w:lvl>
  </w:abstractNum>
  <w:abstractNum w:abstractNumId="13">
    <w:lvl w:ilvl="0">
      <w:start w:val="8"/>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14">
    <w:lvl w:ilvl="0">
      <w:start w:val="1"/>
      <w:numFmt w:val="decimal"/>
      <w:lvlText w:val="%1"/>
      <w:lvlJc w:val="start"/>
      <w:pPr>
        <w:tabs>
          <w:tab w:val="num" w:pos="360"/>
        </w:tabs>
        <w:ind w:start="360" w:hanging="360"/>
      </w:pPr>
      <w:rPr/>
    </w:lvl>
    <w:lvl w:ilvl="1">
      <w:start w:val="1"/>
      <w:numFmt w:val="decimal"/>
      <w:lvlText w:val="10.%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15">
    <w:lvl w:ilvl="0">
      <w:start w:val="1"/>
      <w:numFmt w:val="decimal"/>
      <w:lvlText w:val="%1."/>
      <w:lvlJc w:val="start"/>
      <w:pPr>
        <w:tabs>
          <w:tab w:val="num" w:pos="720"/>
        </w:tabs>
        <w:ind w:start="0" w:hanging="0"/>
      </w:pPr>
      <w:rPr>
        <w:smallCaps w:val="false"/>
        <w:caps w:val="false"/>
        <w:i w:val="false"/>
        <w:u w:val="none"/>
        <w:b w:val="false"/>
        <w:rFonts w:ascii="Times New Roman" w:hAnsi="Times New Roman" w:cs="Times New Roman"/>
        <w:color w:val="000000"/>
      </w:rPr>
    </w:lvl>
    <w:lvl w:ilvl="1">
      <w:start w:val="1"/>
      <w:numFmt w:val="lowerLetter"/>
      <w:lvlText w:val="(%2)"/>
      <w:lvlJc w:val="start"/>
      <w:pPr>
        <w:tabs>
          <w:tab w:val="num" w:pos="720"/>
        </w:tabs>
        <w:ind w:start="720" w:hanging="720"/>
      </w:pPr>
      <w:rPr>
        <w:smallCaps w:val="false"/>
        <w:caps w:val="false"/>
        <w:i w:val="false"/>
        <w:u w:val="none"/>
        <w:b w:val="false"/>
        <w:rFonts w:ascii="Times New Roman" w:hAnsi="Times New Roman" w:cs="Times New Roman"/>
        <w:color w:val="000000"/>
      </w:rPr>
    </w:lvl>
    <w:lvl w:ilvl="2">
      <w:start w:val="1"/>
      <w:numFmt w:val="lowerRoman"/>
      <w:lvlText w:val="(%3)"/>
      <w:lvlJc w:val="end"/>
      <w:pPr>
        <w:tabs>
          <w:tab w:val="num" w:pos="1440"/>
        </w:tabs>
        <w:ind w:start="1440" w:hanging="216"/>
      </w:pPr>
      <w:rPr>
        <w:smallCaps w:val="false"/>
        <w:caps w:val="false"/>
        <w:i w:val="false"/>
        <w:u w:val="none"/>
        <w:b w:val="false"/>
        <w:rFonts w:ascii="Times New Roman" w:hAnsi="Times New Roman" w:cs="Times New Roman"/>
        <w:color w:val="000000"/>
      </w:rPr>
    </w:lvl>
    <w:lvl w:ilvl="3">
      <w:start w:val="1"/>
      <w:numFmt w:val="upperLetter"/>
      <w:lvlText w:val="(%4)"/>
      <w:lvlJc w:val="start"/>
      <w:pPr>
        <w:tabs>
          <w:tab w:val="num" w:pos="2160"/>
        </w:tabs>
        <w:ind w:start="2160" w:hanging="720"/>
      </w:pPr>
      <w:rPr>
        <w:smallCaps w:val="false"/>
        <w:caps w:val="false"/>
        <w:i w:val="false"/>
        <w:u w:val="none"/>
        <w:b w:val="false"/>
        <w:rFonts w:ascii="Times New Roman" w:hAnsi="Times New Roman" w:cs="Times New Roman"/>
        <w:color w:val="000000"/>
      </w:rPr>
    </w:lvl>
    <w:lvl w:ilvl="4">
      <w:start w:val="1"/>
      <w:numFmt w:val="upperRoman"/>
      <w:lvlText w:val="(%5)"/>
      <w:lvlJc w:val="end"/>
      <w:pPr>
        <w:tabs>
          <w:tab w:val="num" w:pos="2880"/>
        </w:tabs>
        <w:ind w:start="2880" w:hanging="216"/>
      </w:pPr>
      <w:rPr>
        <w:smallCaps w:val="false"/>
        <w:caps w:val="false"/>
        <w:i w:val="false"/>
        <w:u w:val="none"/>
        <w:b w:val="false"/>
        <w:rFonts w:ascii="Times New Roman" w:hAnsi="Times New Roman" w:cs="Times New Roman"/>
        <w:color w:val="000000"/>
      </w:rPr>
    </w:lvl>
    <w:lvl w:ilvl="5">
      <w:start w:val="27"/>
      <w:numFmt w:val="lowerLetter"/>
      <w:lvlText w:val="(%6)"/>
      <w:lvlJc w:val="start"/>
      <w:pPr>
        <w:tabs>
          <w:tab w:val="num" w:pos="3600"/>
        </w:tabs>
        <w:ind w:start="3600" w:hanging="720"/>
      </w:pPr>
      <w:rPr>
        <w:smallCaps w:val="false"/>
        <w:caps w:val="false"/>
        <w:i w:val="false"/>
        <w:u w:val="none"/>
        <w:b w:val="false"/>
        <w:rFonts w:ascii="Times New Roman" w:hAnsi="Times New Roman" w:cs="Times New Roman"/>
        <w:color w:val="000000"/>
      </w:rPr>
    </w:lvl>
    <w:lvl w:ilvl="6">
      <w:start w:val="1"/>
      <w:numFmt w:val="decimal"/>
      <w:lvlText w:val="(%7)"/>
      <w:lvlJc w:val="start"/>
      <w:pPr>
        <w:tabs>
          <w:tab w:val="num" w:pos="4320"/>
        </w:tabs>
        <w:ind w:start="4320" w:hanging="720"/>
      </w:pPr>
      <w:rPr>
        <w:smallCaps w:val="false"/>
        <w:caps w:val="false"/>
        <w:i w:val="false"/>
        <w:u w:val="none"/>
        <w:b w:val="false"/>
        <w:rFonts w:ascii="Times New Roman" w:hAnsi="Times New Roman" w:cs="Times New Roman"/>
        <w:color w:val="000000"/>
      </w:rPr>
    </w:lvl>
    <w:lvl w:ilvl="7">
      <w:start w:val="1"/>
      <w:numFmt w:val="lowerRoman"/>
      <w:lvlText w:val="%8."/>
      <w:lvlJc w:val="start"/>
      <w:pPr>
        <w:tabs>
          <w:tab w:val="num" w:pos="5760"/>
        </w:tabs>
        <w:ind w:start="0" w:firstLine="5040"/>
      </w:pPr>
      <w:rPr>
        <w:smallCaps w:val="false"/>
        <w:caps w:val="false"/>
        <w:i w:val="false"/>
        <w:u w:val="none"/>
        <w:b w:val="false"/>
        <w:rFonts w:ascii="Times New Roman" w:hAnsi="Times New Roman" w:cs="Times New Roman"/>
        <w:color w:val="000000"/>
      </w:rPr>
    </w:lvl>
    <w:lvl w:ilvl="8">
      <w:start w:val="1"/>
      <w:numFmt w:val="decimal"/>
      <w:lvlText w:val="%9."/>
      <w:lvlJc w:val="start"/>
      <w:pPr>
        <w:tabs>
          <w:tab w:val="num" w:pos="6480"/>
        </w:tabs>
        <w:ind w:start="0" w:firstLine="5760"/>
      </w:pPr>
      <w:rPr>
        <w:smallCaps w:val="false"/>
        <w:caps w:val="false"/>
        <w:i w:val="false"/>
        <w:u w:val="none"/>
        <w:b w:val="false"/>
        <w:rFonts w:ascii="Times New Roman" w:hAnsi="Times New Roman" w:cs="Times New Roman"/>
        <w:color w:val="000000"/>
      </w:rPr>
    </w:lvl>
  </w:abstractNum>
  <w:abstractNum w:abstractNumId="16">
    <w:lvl w:ilvl="0">
      <w:start w:val="7"/>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17">
    <w:lvl w:ilvl="0">
      <w:start w:val="1"/>
      <w:numFmt w:val="decimal"/>
      <w:lvlText w:val="%1"/>
      <w:lvlJc w:val="start"/>
      <w:pPr>
        <w:tabs>
          <w:tab w:val="num" w:pos="360"/>
        </w:tabs>
        <w:ind w:start="360" w:hanging="360"/>
      </w:pPr>
      <w:rPr/>
    </w:lvl>
    <w:lvl w:ilvl="1">
      <w:start w:val="1"/>
      <w:numFmt w:val="decimal"/>
      <w:lvlText w:val="13.%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18">
    <w:lvl w:ilvl="0">
      <w:start w:val="16"/>
      <w:numFmt w:val="decimal"/>
      <w:lvlText w:val="%1"/>
      <w:lvlJc w:val="start"/>
      <w:pPr>
        <w:tabs>
          <w:tab w:val="num" w:pos="384"/>
        </w:tabs>
        <w:ind w:start="384" w:hanging="384"/>
      </w:pPr>
      <w:rPr/>
    </w:lvl>
    <w:lvl w:ilvl="1">
      <w:start w:val="3"/>
      <w:numFmt w:val="decimal"/>
      <w:lvlText w:val="%1.%2"/>
      <w:lvlJc w:val="start"/>
      <w:pPr>
        <w:tabs>
          <w:tab w:val="num" w:pos="384"/>
        </w:tabs>
        <w:ind w:start="384" w:hanging="384"/>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19">
    <w:lvl w:ilvl="0">
      <w:start w:val="4"/>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20">
    <w:lvl w:ilvl="0">
      <w:start w:val="1"/>
      <w:numFmt w:val="decimal"/>
      <w:lvlText w:val="%1"/>
      <w:lvlJc w:val="start"/>
      <w:pPr>
        <w:tabs>
          <w:tab w:val="num" w:pos="360"/>
        </w:tabs>
        <w:ind w:start="360" w:hanging="360"/>
      </w:pPr>
      <w:rPr/>
    </w:lvl>
    <w:lvl w:ilvl="1">
      <w:start w:val="1"/>
      <w:numFmt w:val="decimal"/>
      <w:lvlText w:val="1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21">
    <w:lvl w:ilvl="0">
      <w:start w:val="1"/>
      <w:numFmt w:val="decimal"/>
      <w:lvlText w:val="%1."/>
      <w:lvlJc w:val="start"/>
      <w:pPr>
        <w:tabs>
          <w:tab w:val="num" w:pos="720"/>
        </w:tabs>
        <w:ind w:start="0" w:hanging="0"/>
      </w:pPr>
      <w:rPr>
        <w:smallCaps w:val="false"/>
        <w:caps w:val="false"/>
        <w:sz w:val="22"/>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2"/>
        <w:i w:val="false"/>
        <w:u w:val="none"/>
        <w:b/>
        <w:rFonts w:ascii="Times New Roman" w:hAnsi="Times New Roman" w:cs="Times New Roman"/>
        <w:color w:val="000000"/>
      </w:rPr>
    </w:lvl>
    <w:lvl w:ilvl="2">
      <w:start w:val="1"/>
      <w:numFmt w:val="decimal"/>
      <w:lvlText w:val="%1.%2.1"/>
      <w:lvlJc w:val="start"/>
      <w:pPr>
        <w:tabs>
          <w:tab w:val="num" w:pos="840"/>
        </w:tabs>
        <w:ind w:start="120" w:hanging="0"/>
      </w:pPr>
      <w:rPr>
        <w:smallCaps w:val="false"/>
        <w:caps w:val="false"/>
        <w:sz w:val="22"/>
        <w:i w:val="false"/>
        <w:u w:val="none"/>
        <w:b w:val="false"/>
        <w:rFonts w:ascii="Times New Roman" w:hAnsi="Times New Roman" w:cs="Times New Roman"/>
        <w:color w:val="000000"/>
      </w:rPr>
    </w:lvl>
    <w:lvl w:ilvl="3">
      <w:start w:val="1"/>
      <w:numFmt w:val="bullet"/>
      <w:lvlText w:val=""/>
      <w:lvlJc w:val="start"/>
      <w:pPr>
        <w:tabs>
          <w:tab w:val="num" w:pos="360"/>
        </w:tabs>
        <w:ind w:start="360" w:hanging="360"/>
      </w:pPr>
      <w:rPr>
        <w:rFonts w:ascii="Symbol" w:hAnsi="Symbol" w:cs="Symbol" w:hint="default"/>
        <w:smallCaps w:val="false"/>
        <w:caps w:val="false"/>
        <w:sz w:val="22"/>
        <w:i w:val="false"/>
        <w:u w:val="none"/>
        <w:b/>
        <w:color w:val="000000"/>
      </w:rPr>
    </w:lvl>
    <w:lvl w:ilvl="4">
      <w:start w:val="1"/>
      <w:numFmt w:val="lowerRoman"/>
      <w:lvlText w:val="(%5)"/>
      <w:lvlJc w:val="end"/>
      <w:pPr>
        <w:tabs>
          <w:tab w:val="num" w:pos="1440"/>
        </w:tabs>
        <w:ind w:start="1440" w:hanging="216"/>
      </w:pPr>
      <w:rPr>
        <w:smallCaps w:val="false"/>
        <w:caps w:val="false"/>
        <w:sz w:val="22"/>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2"/>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2"/>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2"/>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2"/>
        <w:i w:val="false"/>
        <w:u w:val="none"/>
        <w:b w:val="false"/>
        <w:rFonts w:ascii="Times New Roman" w:hAnsi="Times New Roman" w:cs="Times New Roman"/>
        <w:color w:val="000000"/>
      </w:rPr>
    </w:lvl>
  </w:abstractNum>
  <w:abstractNum w:abstractNumId="22">
    <w:lvl w:ilvl="0">
      <w:start w:val="1"/>
      <w:numFmt w:val="lowerLetter"/>
      <w:lvlText w:val="(%1)"/>
      <w:lvlJc w:val="start"/>
      <w:pPr>
        <w:tabs>
          <w:tab w:val="num" w:pos="1080"/>
        </w:tabs>
        <w:ind w:start="1080" w:hanging="720"/>
      </w:pPr>
      <w:rPr/>
    </w:lvl>
    <w:lvl w:ilvl="1">
      <w:start w:val="2"/>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23">
    <w:lvl w:ilvl="0">
      <w:start w:val="3"/>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24">
    <w:lvl w:ilvl="0">
      <w:start w:val="1"/>
      <w:numFmt w:val="lowerLetter"/>
      <w:lvlText w:val="(%1)"/>
      <w:lvlJc w:val="start"/>
      <w:pPr>
        <w:tabs>
          <w:tab w:val="num" w:pos="1080"/>
        </w:tabs>
        <w:ind w:start="1080" w:hanging="720"/>
      </w:pPr>
      <w:rPr/>
    </w:lvl>
  </w:abstractNum>
  <w:abstractNum w:abstractNumId="2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6">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dstrike w:val="false"/>
        <w:strike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27">
    <w:lvl w:ilvl="0">
      <w:start w:val="1"/>
      <w:numFmt w:val="decimal"/>
      <w:lvlText w:val="%1"/>
      <w:lvlJc w:val="start"/>
      <w:pPr>
        <w:tabs>
          <w:tab w:val="num" w:pos="360"/>
        </w:tabs>
        <w:ind w:start="360" w:hanging="360"/>
      </w:pPr>
      <w:rPr/>
    </w:lvl>
    <w:lvl w:ilvl="1">
      <w:start w:val="1"/>
      <w:numFmt w:val="decimal"/>
      <w:lvlText w:val="14.%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28">
    <w:lvl w:ilvl="0">
      <w:start w:val="2"/>
      <w:numFmt w:val="upperLetter"/>
      <w:lvlText w:val="(%1)"/>
      <w:lvlJc w:val="start"/>
      <w:pPr>
        <w:tabs>
          <w:tab w:val="num" w:pos="1080"/>
        </w:tabs>
        <w:ind w:start="1080" w:hanging="720"/>
      </w:pPr>
      <w:rPr/>
    </w:lvl>
  </w:abstractNum>
  <w:abstractNum w:abstractNumId="29">
    <w:lvl w:ilvl="0">
      <w:start w:val="1"/>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30">
    <w:lvl w:ilvl="0">
      <w:start w:val="1"/>
      <w:numFmt w:val="decimal"/>
      <w:lvlText w:val="%1"/>
      <w:lvlJc w:val="start"/>
      <w:pPr>
        <w:tabs>
          <w:tab w:val="num" w:pos="360"/>
        </w:tabs>
        <w:ind w:start="360" w:hanging="360"/>
      </w:pPr>
      <w:rPr/>
    </w:lvl>
    <w:lvl w:ilvl="1">
      <w:start w:val="1"/>
      <w:numFmt w:val="decimal"/>
      <w:lvlText w:val="12.%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31">
    <w:lvl w:ilvl="0">
      <w:start w:val="1"/>
      <w:numFmt w:val="decimal"/>
      <w:lvlText w:val="%1."/>
      <w:lvlJc w:val="start"/>
      <w:pPr>
        <w:tabs>
          <w:tab w:val="num" w:pos="720"/>
        </w:tabs>
        <w:ind w:start="360" w:hanging="360"/>
      </w:pPr>
    </w:lvl>
    <w:lvl w:ilvl="1">
      <w:start w:val="1"/>
      <w:numFmt w:val="decimal"/>
      <w:lvlText w:val="%1.%2."/>
      <w:lvlJc w:val="start"/>
      <w:pPr>
        <w:tabs>
          <w:tab w:val="num" w:pos="1440"/>
        </w:tabs>
        <w:ind w:start="792" w:hanging="432"/>
      </w:pPr>
    </w:lvl>
    <w:lvl w:ilvl="2">
      <w:start w:val="1"/>
      <w:numFmt w:val="decimal"/>
      <w:lvlText w:val="%1.%2.%3."/>
      <w:lvlJc w:val="start"/>
      <w:pPr>
        <w:tabs>
          <w:tab w:val="num" w:pos="2160"/>
        </w:tabs>
        <w:ind w:start="1224" w:hanging="504"/>
      </w:pPr>
    </w:lvl>
    <w:lvl w:ilvl="3">
      <w:start w:val="1"/>
      <w:numFmt w:val="decimal"/>
      <w:lvlText w:val="%1.%2.%3.%4."/>
      <w:lvlJc w:val="start"/>
      <w:pPr>
        <w:tabs>
          <w:tab w:val="num" w:pos="2880"/>
        </w:tabs>
        <w:ind w:start="1728" w:hanging="648"/>
      </w:pPr>
    </w:lvl>
    <w:lvl w:ilvl="4">
      <w:start w:val="1"/>
      <w:numFmt w:val="decimal"/>
      <w:lvlText w:val="%1.%2.%3.%4.%5."/>
      <w:lvlJc w:val="start"/>
      <w:pPr>
        <w:tabs>
          <w:tab w:val="num" w:pos="3600"/>
        </w:tabs>
        <w:ind w:start="2232" w:hanging="792"/>
      </w:pPr>
    </w:lvl>
    <w:lvl w:ilvl="5">
      <w:start w:val="1"/>
      <w:numFmt w:val="decimal"/>
      <w:lvlText w:val="%1.%2.%3.%4.%5.%6."/>
      <w:lvlJc w:val="start"/>
      <w:pPr>
        <w:tabs>
          <w:tab w:val="num" w:pos="4680"/>
        </w:tabs>
        <w:ind w:start="2736" w:hanging="936"/>
      </w:pPr>
    </w:lvl>
    <w:lvl w:ilvl="6">
      <w:start w:val="1"/>
      <w:numFmt w:val="decimal"/>
      <w:lvlText w:val="%1.%2.%3.%4.%5.%6.%7."/>
      <w:lvlJc w:val="start"/>
      <w:pPr>
        <w:tabs>
          <w:tab w:val="num" w:pos="5400"/>
        </w:tabs>
        <w:ind w:start="3240" w:hanging="1080"/>
      </w:pPr>
    </w:lvl>
    <w:lvl w:ilvl="7">
      <w:start w:val="1"/>
      <w:numFmt w:val="decimal"/>
      <w:lvlText w:val="%1.%2.%3.%4.%5.%6.%7.%8."/>
      <w:lvlJc w:val="start"/>
      <w:pPr>
        <w:tabs>
          <w:tab w:val="num" w:pos="6120"/>
        </w:tabs>
        <w:ind w:start="3744" w:hanging="1224"/>
      </w:pPr>
    </w:lvl>
    <w:lvl w:ilvl="8">
      <w:start w:val="1"/>
      <w:numFmt w:val="decimal"/>
      <w:lvlText w:val="%1.%2.%3.%4.%5.%6.%7.%8.%9."/>
      <w:lvlJc w:val="start"/>
      <w:pPr>
        <w:tabs>
          <w:tab w:val="num" w:pos="6840"/>
        </w:tabs>
        <w:ind w:start="4320" w:hanging="1440"/>
      </w:pPr>
    </w:lvl>
  </w:abstractNum>
  <w:abstractNum w:abstractNumId="32">
    <w:lvl w:ilvl="0">
      <w:start w:val="1"/>
      <w:numFmt w:val="upperLetter"/>
      <w:lvlText w:val="(%1)"/>
      <w:lvlJc w:val="start"/>
      <w:pPr>
        <w:tabs>
          <w:tab w:val="num" w:pos="360"/>
        </w:tabs>
        <w:ind w:start="0" w:hanging="0"/>
      </w:pPr>
      <w:rPr/>
    </w:lvl>
  </w:abstractNum>
  <w:abstractNum w:abstractNumId="33">
    <w:lvl w:ilvl="0">
      <w:start w:val="6"/>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Mark Parsons"/>
    <w:docVar w:name="authEmail" w:val="mark.parsons@freshfields.com"/>
    <w:docVar w:name="authExtension" w:val="4651"/>
    <w:docVar w:name="authFax" w:val="44 20 7108 4651"/>
    <w:docVar w:name="authId" w:val="MXPARSONS"/>
    <w:docVar w:name="authInitials" w:val="MP"/>
    <w:docVar w:name="authLocation" w:val="London"/>
    <w:docVar w:name="authName" w:val="Parsons, Mark"/>
    <w:docVar w:name="authPhone" w:val="44 20 7716 4651"/>
    <w:docVar w:name="ClientNum" w:val="80750"/>
    <w:docVar w:name="docClass" w:val="-NONE-"/>
    <w:docVar w:name="docClient" w:val="104955"/>
    <w:docVar w:name="docCliMat" w:val="104955-0076"/>
    <w:docVar w:name="docDesc" w:val="ING/SWS - PST Supplier MSA (26.06.2006)"/>
    <w:docVar w:name="docGroup" w:val="document"/>
    <w:docVar w:name="docId" w:val="LC1495567"/>
    <w:docVar w:name="docIdVer" w:val="LC1495567/9"/>
    <w:docVar w:name="docLangId" w:val="2057"/>
    <w:docVar w:name="docLanguage" w:val="EN(UK)"/>
    <w:docVar w:name="docMatter" w:val="0076"/>
    <w:docVar w:name="DocName" w:val="MOUN OTC 28062006 MARKED UP VERSION TRI RESPONSE 29 june"/>
    <w:docVar w:name="DocRef" w:val="AMIP:53413.1"/>
    <w:docVar w:name="docTemplate" w:val="document_english_portrait_a4.xml"/>
    <w:docVar w:name="docType" w:val="New Document"/>
    <w:docVar w:name="docVersion" w:val="9"/>
    <w:docVar w:name="HeadingStyles" w:val="||Heading|3|3|0|1|0|41||1|0|32||1|0|32||1|0|32||1|0|32||1|0|32||1|0|32||1|0|32||1|0|49||"/>
    <w:docVar w:name="MatterNum" w:val="00002"/>
    <w:docVar w:name="operClass" w:val="Fee Earner"/>
    <w:docVar w:name="operCorresp" w:val="Julia Best"/>
    <w:docVar w:name="operEmail" w:val="julia.best@freshfields.com"/>
    <w:docVar w:name="operExtension" w:val="3023"/>
    <w:docVar w:name="operFax" w:val="44 20 7108 3023"/>
    <w:docVar w:name="operId" w:val="JBEST"/>
    <w:docVar w:name="operInitials" w:val="JMB"/>
    <w:docVar w:name="operLocation" w:val="London"/>
    <w:docVar w:name="operName" w:val="Best, Julia"/>
    <w:docVar w:name="operPhone" w:val="44 20 7427 3023"/>
    <w:docVar w:name="zzmpFixedCurScheme" w:val="FWOut"/>
    <w:docVar w:name="zzmpFixedCurScheme_9.0" w:val="2zzmpFWOut"/>
    <w:docVar w:name="zzmpFWB" w:val="||FW Body Text|2|3|0|1|0|49||1|0|32||1|0|32||1|0|32||1|0|32||1|0|32||1|0|32||1|0|32||mpNA||"/>
    <w:docVar w:name="zzmpFWOut" w:val="||FW Outsourcing|2|3|0|1|2|41||1|2|33||1|0|32||1|0|32||1|0|32||1|0|32||1|0|32||1|0|32||1|0|32||"/>
    <w:docVar w:name="zzmpLTFontsClean" w:val="True"/>
    <w:docVar w:name="zzmpnSession" w:val="0.97538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Times New Roman Bold;Times New Roman" w:hAnsi="Times New Roman Bold;Times New Roman" w:cs="Times New Roman Bold;Times New Roman"/>
      <w:b/>
      <w:i w:val="false"/>
      <w:sz w:val="22"/>
      <w:szCs w:val="22"/>
    </w:rPr>
  </w:style>
  <w:style w:type="character" w:styleId="WW8Num6z2">
    <w:name w:val="WW8Num6z2"/>
    <w:qFormat/>
    <w:rPr>
      <w:rFonts w:ascii="Times New Roman" w:hAnsi="Times New Roman" w:cs="Times New Roman"/>
      <w:b/>
      <w:i w:val="false"/>
      <w:sz w:val="24"/>
    </w:rPr>
  </w:style>
  <w:style w:type="character" w:styleId="WW8Num6z3">
    <w:name w:val="WW8Num6z3"/>
    <w:qFormat/>
    <w:rPr>
      <w:rFonts w:ascii="Times New Roman Bold;Times New Roman" w:hAnsi="Times New Roman Bold;Times New Roman" w:cs="Times New Roman Bold;Times New Roman"/>
      <w:b/>
      <w:i w:val="false"/>
      <w:sz w:val="24"/>
    </w:rPr>
  </w:style>
  <w:style w:type="character" w:styleId="WW8Num6z4">
    <w:name w:val="WW8Num6z4"/>
    <w:qFormat/>
    <w:rPr>
      <w:rFonts w:ascii="Times New Roman" w:hAnsi="Times New Roman" w:cs="Times New Roman"/>
      <w:b w:val="false"/>
      <w:i w:val="false"/>
      <w:sz w:val="22"/>
    </w:rPr>
  </w:style>
  <w:style w:type="character" w:styleId="WW8Num6z8">
    <w:name w:val="WW8Num6z8"/>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rFonts w:ascii="Times New Roman" w:hAnsi="Times New Roman" w:cs="Times New Roman"/>
      <w:b/>
      <w:i w:val="false"/>
      <w:caps w:val="false"/>
      <w:smallCaps w:val="false"/>
      <w:color w:val="000000"/>
      <w:sz w:val="24"/>
      <w:u w:val="none"/>
    </w:rPr>
  </w:style>
  <w:style w:type="character" w:styleId="WW8Num13z1">
    <w:name w:val="WW8Num13z1"/>
    <w:qFormat/>
    <w:rPr>
      <w:rFonts w:ascii="Times New Roman" w:hAnsi="Times New Roman" w:cs="Times New Roman"/>
      <w:b w:val="false"/>
      <w:i w:val="false"/>
      <w:caps w:val="false"/>
      <w:smallCaps w:val="false"/>
      <w:color w:val="000000"/>
      <w:sz w:val="24"/>
      <w:u w:val="none"/>
    </w:rPr>
  </w:style>
  <w:style w:type="character" w:styleId="WW8Num14z0">
    <w:name w:val="WW8Num14z0"/>
    <w:qFormat/>
    <w:rPr/>
  </w:style>
  <w:style w:type="character" w:styleId="WW8Num15z0">
    <w:name w:val="WW8Num15z0"/>
    <w:qFormat/>
    <w:rPr/>
  </w:style>
  <w:style w:type="character" w:styleId="WW8Num16z0">
    <w:name w:val="WW8Num16z0"/>
    <w:qFormat/>
    <w:rPr>
      <w:rFonts w:ascii="Times New Roman" w:hAnsi="Times New Roman" w:cs="Times New Roman"/>
      <w:b w:val="false"/>
      <w:i w:val="false"/>
      <w:caps w:val="false"/>
      <w:smallCaps w:val="false"/>
      <w:color w:val="000000"/>
      <w:u w:val="none"/>
    </w:rPr>
  </w:style>
  <w:style w:type="character" w:styleId="WW8Num17z0">
    <w:name w:val="WW8Num17z0"/>
    <w:qFormat/>
    <w:rPr>
      <w:rFonts w:ascii="Times New Roman" w:hAnsi="Times New Roman" w:cs="Times New Roman"/>
      <w:b/>
      <w:i w:val="false"/>
      <w:caps w:val="false"/>
      <w:smallCaps w:val="false"/>
      <w:color w:val="000000"/>
      <w:sz w:val="22"/>
      <w:u w:val="none"/>
    </w:rPr>
  </w:style>
  <w:style w:type="character" w:styleId="WW8Num17z2">
    <w:name w:val="WW8Num17z2"/>
    <w:qFormat/>
    <w:rPr>
      <w:rFonts w:ascii="Times New Roman" w:hAnsi="Times New Roman" w:cs="Times New Roman"/>
      <w:b w:val="false"/>
      <w:i w:val="false"/>
      <w:caps w:val="false"/>
      <w:smallCaps w:val="false"/>
      <w:color w:val="000000"/>
      <w:sz w:val="22"/>
      <w:u w:val="none"/>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rFonts w:ascii="Times New Roman" w:hAnsi="Times New Roman" w:cs="Times New Roman"/>
      <w:b/>
      <w:i w:val="false"/>
      <w:caps w:val="false"/>
      <w:smallCaps w:val="false"/>
      <w:color w:val="000000"/>
      <w:sz w:val="22"/>
      <w:u w:val="none"/>
    </w:rPr>
  </w:style>
  <w:style w:type="character" w:styleId="WW8Num25z2">
    <w:name w:val="WW8Num25z2"/>
    <w:qFormat/>
    <w:rPr>
      <w:rFonts w:ascii="Times New Roman" w:hAnsi="Times New Roman" w:cs="Times New Roman"/>
      <w:b w:val="false"/>
      <w:i w:val="false"/>
      <w:caps w:val="false"/>
      <w:smallCaps w:val="false"/>
      <w:color w:val="000000"/>
      <w:sz w:val="22"/>
      <w:u w:val="none"/>
    </w:rPr>
  </w:style>
  <w:style w:type="character" w:styleId="WW8Num25z3">
    <w:name w:val="WW8Num25z3"/>
    <w:qFormat/>
    <w:rPr>
      <w:rFonts w:ascii="Symbol" w:hAnsi="Symbol" w:cs="Symbol"/>
      <w:b/>
      <w:i w:val="false"/>
      <w:caps w:val="false"/>
      <w:smallCaps w:val="false"/>
      <w:color w:val="000000"/>
      <w:sz w:val="22"/>
      <w:u w:val="none"/>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Times New Roman" w:hAnsi="Times New Roman" w:cs="Times New Roman"/>
      <w:b w:val="false"/>
      <w:i w:val="false"/>
      <w:color w:val="000000"/>
      <w:sz w:val="22"/>
    </w:rPr>
  </w:style>
  <w:style w:type="character" w:styleId="WW8Num30z1">
    <w:name w:val="WW8Num30z1"/>
    <w:qFormat/>
    <w:rPr>
      <w:rFonts w:ascii="Times New Roman" w:hAnsi="Times New Roman" w:cs="Times New Roman"/>
      <w:b w:val="false"/>
      <w:i w:val="false"/>
      <w:sz w:val="22"/>
    </w:rPr>
  </w:style>
  <w:style w:type="character" w:styleId="WW8Num30z4">
    <w:name w:val="WW8Num30z4"/>
    <w:qFormat/>
    <w:rPr/>
  </w:style>
  <w:style w:type="character" w:styleId="WW8Num31z0">
    <w:name w:val="WW8Num31z0"/>
    <w:qFormat/>
    <w:rPr>
      <w:rFonts w:ascii="Times New Roman" w:hAnsi="Times New Roman" w:cs="Times New Roman"/>
      <w:b/>
      <w:i w:val="false"/>
      <w:caps w:val="false"/>
      <w:smallCaps w:val="false"/>
      <w:color w:val="000000"/>
      <w:u w:val="none"/>
    </w:rPr>
  </w:style>
  <w:style w:type="character" w:styleId="WW8Num31z1">
    <w:name w:val="WW8Num31z1"/>
    <w:qFormat/>
    <w:rPr>
      <w:rFonts w:ascii="Times New Roman" w:hAnsi="Times New Roman" w:cs="Times New Roman"/>
      <w:b w:val="false"/>
      <w:i w:val="false"/>
      <w:caps w:val="false"/>
      <w:smallCaps w:val="false"/>
      <w:color w:val="000000"/>
      <w:u w:val="none"/>
    </w:rPr>
  </w:style>
  <w:style w:type="character" w:styleId="WW8Num31z2">
    <w:name w:val="WW8Num31z2"/>
    <w:qFormat/>
    <w:rPr>
      <w:rFonts w:ascii="Times New Roman" w:hAnsi="Times New Roman" w:cs="Times New Roman"/>
      <w:b w:val="false"/>
      <w:i w:val="false"/>
      <w:caps w:val="false"/>
      <w:smallCaps w:val="false"/>
      <w:strike w:val="false"/>
      <w:dstrike w:val="false"/>
      <w:color w:val="000000"/>
      <w:u w:val="none"/>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6z0">
    <w:name w:val="WW8Num36z0"/>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0z2">
    <w:name w:val="WW8Num40z2"/>
    <w:qFormat/>
    <w:rPr>
      <w:sz w:val="22"/>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character" w:styleId="CommentReference">
    <w:name w:val="Comment Reference"/>
    <w:basedOn w:val="DefaultParagraphFont"/>
    <w:qFormat/>
    <w:rPr>
      <w:sz w:val="16"/>
      <w:szCs w:val="16"/>
    </w:rPr>
  </w:style>
  <w:style w:type="character" w:styleId="DeltaViewInsertion">
    <w:name w:val="DeltaView Insertion"/>
    <w:qFormat/>
    <w:rPr>
      <w:color w:val="0000FF"/>
      <w:spacing w:val="0"/>
      <w:u w:val="double"/>
    </w:rPr>
  </w:style>
  <w:style w:type="character" w:styleId="Strong">
    <w:name w:val="Strong"/>
    <w:basedOn w:val="DefaultParagraphFont"/>
    <w:qFormat/>
    <w:rPr>
      <w:b/>
      <w:bCs/>
    </w:rPr>
  </w:style>
  <w:style w:type="character" w:styleId="FWOutCont1Char">
    <w:name w:val="FWOut Cont 1 Char"/>
    <w:basedOn w:val="DefaultParagraphFont"/>
    <w:qFormat/>
    <w:rPr>
      <w:sz w:val="22"/>
      <w:lang w:val="en-GB" w:bidi="ar-SA"/>
    </w:rPr>
  </w:style>
  <w:style w:type="character" w:styleId="FWOutCont2Char">
    <w:name w:val="FWOut Cont 2 Char"/>
    <w:basedOn w:val="FWOutCont1Char"/>
    <w:qFormat/>
    <w:rPr/>
  </w:style>
  <w:style w:type="character" w:styleId="FWOutCont3Char">
    <w:name w:val="FWOut Cont 3 Char"/>
    <w:basedOn w:val="FWOutCont2Char"/>
    <w:qFormat/>
    <w:rPr/>
  </w:style>
  <w:style w:type="character" w:styleId="FWOutCont4Char">
    <w:name w:val="FWOut Cont 4 Char"/>
    <w:basedOn w:val="FWOutCont3Char"/>
    <w:qFormat/>
    <w:rPr/>
  </w:style>
  <w:style w:type="character" w:styleId="FWBL1Char">
    <w:name w:val="FWB_L1 Char"/>
    <w:basedOn w:val="DefaultParagraphFont"/>
    <w:qFormat/>
    <w:rPr>
      <w:b/>
      <w:smallCaps/>
      <w:sz w:val="22"/>
      <w:lang w:val="en-GB" w:bidi="ar-SA"/>
    </w:rPr>
  </w:style>
  <w:style w:type="character" w:styleId="FWBL2Char">
    <w:name w:val="FWB_L2 Char"/>
    <w:basedOn w:val="FWBL1Char"/>
    <w:qFormat/>
    <w:rPr/>
  </w:style>
  <w:style w:type="character" w:styleId="FWBL1Char1">
    <w:name w:val="FWB_L1 Char1"/>
    <w:basedOn w:val="DefaultParagraphFont"/>
    <w:qFormat/>
    <w:rPr>
      <w:b/>
      <w:smallCaps/>
      <w:sz w:val="22"/>
      <w:lang w:val="en-GB" w:bidi="ar-SA"/>
    </w:rPr>
  </w:style>
  <w:style w:type="character" w:styleId="FWBL2Char1">
    <w:name w:val="FWB_L2 Char1"/>
    <w:basedOn w:val="FWBL1Char1"/>
    <w:qFormat/>
    <w:rPr/>
  </w:style>
  <w:style w:type="character" w:styleId="FWBL3Char">
    <w:name w:val="FWB_L3 Char"/>
    <w:basedOn w:val="FWBL2Char1"/>
    <w:qFormat/>
    <w:rPr/>
  </w:style>
  <w:style w:type="character" w:styleId="FWBL4Char">
    <w:name w:val="FWB_L4 Char"/>
    <w:basedOn w:val="FWBL3Char"/>
    <w:qFormat/>
    <w:rPr/>
  </w:style>
  <w:style w:type="character" w:styleId="FWOutCont1Char1">
    <w:name w:val="FWOut Cont 1 Char1"/>
    <w:basedOn w:val="DefaultParagraphFont"/>
    <w:qFormat/>
    <w:rPr>
      <w:sz w:val="22"/>
      <w:lang w:val="en-GB" w:bidi="ar-SA"/>
    </w:rPr>
  </w:style>
  <w:style w:type="character" w:styleId="FWOutCont2Char1">
    <w:name w:val="FWOut Cont 2 Char1"/>
    <w:basedOn w:val="FWOutCont1Char1"/>
    <w:qFormat/>
    <w:rPr/>
  </w:style>
  <w:style w:type="character" w:styleId="FWOutCont3Char1">
    <w:name w:val="FWOut Cont 3 Char1"/>
    <w:basedOn w:val="FWOutCont2Char1"/>
    <w:qFormat/>
    <w:rPr/>
  </w:style>
  <w:style w:type="character" w:styleId="FWOutCont4Char1">
    <w:name w:val="FWOut Cont 4 Char1"/>
    <w:basedOn w:val="FWOutCont3Char1"/>
    <w:qFormat/>
    <w:rPr/>
  </w:style>
  <w:style w:type="character" w:styleId="FWOutL1Char">
    <w:name w:val="FWOut_L1 Char"/>
    <w:basedOn w:val="DefaultParagraphFont"/>
    <w:qFormat/>
    <w:rPr>
      <w:b/>
      <w:caps/>
      <w:sz w:val="22"/>
      <w:lang w:val="en-GB" w:bidi="ar-SA"/>
    </w:rPr>
  </w:style>
  <w:style w:type="character" w:styleId="FWOutL2Char">
    <w:name w:val="FWOut_L2 Char"/>
    <w:basedOn w:val="FWOutL1Char"/>
    <w:qFormat/>
    <w:rPr/>
  </w:style>
  <w:style w:type="character" w:styleId="FWOutL3Char">
    <w:name w:val="FWOut_L3 Char"/>
    <w:basedOn w:val="FWOutL2Char"/>
    <w:qFormat/>
    <w:rPr/>
  </w:style>
  <w:style w:type="paragraph" w:styleId="Heading">
    <w:name w:val="Heading"/>
    <w:basedOn w:val="Normal"/>
    <w:next w:val="BodyText"/>
    <w:qFormat/>
    <w:pPr>
      <w:spacing w:before="240" w:after="240"/>
      <w:jc w:val="center"/>
      <w:outlineLvl w:val="0"/>
    </w:pPr>
    <w:rPr>
      <w:rFonts w:cs="Arial"/>
      <w:b/>
      <w:bCs/>
      <w:caps/>
      <w:kern w:val="2"/>
      <w:sz w:val="32"/>
      <w:szCs w:val="32"/>
      <w:lang w:val="en-US"/>
    </w:rPr>
  </w:style>
  <w:style w:type="paragraph" w:styleId="BodyText">
    <w:name w:val="Body Text"/>
    <w:basedOn w:val="Normal"/>
    <w:pPr>
      <w:spacing w:before="0" w:after="240"/>
      <w:jc w:val="both"/>
    </w:pPr>
    <w:rPr>
      <w:sz w:val="22"/>
    </w:rPr>
  </w:style>
  <w:style w:type="paragraph" w:styleId="List">
    <w:name w:val="List"/>
    <w:basedOn w:val="Normal"/>
    <w:pPr>
      <w:ind w:hanging="283" w:start="283"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10"/>
      </w:numPr>
    </w:pPr>
    <w:rPr/>
  </w:style>
  <w:style w:type="paragraph" w:styleId="FWRecital">
    <w:name w:val="FWRecital"/>
    <w:basedOn w:val="BodyText"/>
    <w:qFormat/>
    <w:pPr>
      <w:numPr>
        <w:ilvl w:val="0"/>
        <w:numId w:val="32"/>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clear" w:pos="720"/>
        <w:tab w:val="left" w:pos="357" w:leader="none"/>
        <w:tab w:val="right" w:pos="8307" w:leader="dot"/>
      </w:tabs>
      <w:spacing w:before="120" w:after="0"/>
      <w:ind w:hanging="1077" w:start="1434"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1">
    <w:name w:val="List Bullet 21"/>
    <w:basedOn w:val="Normal"/>
    <w:qFormat/>
    <w:pPr>
      <w:numPr>
        <w:ilvl w:val="0"/>
        <w:numId w:val="5"/>
      </w:numPr>
    </w:pPr>
    <w:rPr/>
  </w:style>
  <w:style w:type="paragraph" w:styleId="ListBullet31">
    <w:name w:val="List Bullet 31"/>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rFonts w:ascii="Arial" w:hAnsi="Arial" w:cs="Arial"/>
      <w:b/>
      <w:color w:val="FF0000"/>
      <w:sz w:val="36"/>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26"/>
      </w:numPr>
      <w:spacing w:before="0" w:after="240"/>
      <w:outlineLvl w:val="0"/>
    </w:pPr>
    <w:rPr>
      <w:b/>
      <w:smallCaps/>
      <w:szCs w:val="20"/>
    </w:rPr>
  </w:style>
  <w:style w:type="paragraph" w:styleId="FWBL2">
    <w:name w:val="FWB_L2"/>
    <w:basedOn w:val="FWBL1"/>
    <w:qFormat/>
    <w:pPr>
      <w:keepNext w:val="false"/>
      <w:keepLines w:val="false"/>
      <w:numPr>
        <w:ilvl w:val="0"/>
        <w:numId w:val="26"/>
      </w:numPr>
      <w:jc w:val="both"/>
      <w:outlineLvl w:val="9"/>
    </w:pPr>
    <w:rPr>
      <w:b w:val="false"/>
      <w:caps w:val="false"/>
      <w:smallCaps w:val="false"/>
    </w:rPr>
  </w:style>
  <w:style w:type="paragraph" w:styleId="FWBL3">
    <w:name w:val="FWB_L3"/>
    <w:basedOn w:val="FWBL2"/>
    <w:qFormat/>
    <w:pPr>
      <w:numPr>
        <w:ilvl w:val="0"/>
        <w:numId w:val="26"/>
      </w:numPr>
    </w:pPr>
    <w:rPr/>
  </w:style>
  <w:style w:type="paragraph" w:styleId="FWBL4">
    <w:name w:val="FWB_L4"/>
    <w:basedOn w:val="FWBL3"/>
    <w:qFormat/>
    <w:pPr>
      <w:numPr>
        <w:ilvl w:val="0"/>
        <w:numId w:val="26"/>
      </w:numPr>
    </w:pPr>
    <w:rPr/>
  </w:style>
  <w:style w:type="paragraph" w:styleId="FWBL5">
    <w:name w:val="FWB_L5"/>
    <w:basedOn w:val="FWBL4"/>
    <w:qFormat/>
    <w:pPr>
      <w:numPr>
        <w:ilvl w:val="0"/>
        <w:numId w:val="26"/>
      </w:numPr>
    </w:pPr>
    <w:rPr/>
  </w:style>
  <w:style w:type="paragraph" w:styleId="FWBL6">
    <w:name w:val="FWB_L6"/>
    <w:basedOn w:val="FWBL5"/>
    <w:qFormat/>
    <w:pPr>
      <w:numPr>
        <w:ilvl w:val="0"/>
        <w:numId w:val="26"/>
      </w:numPr>
    </w:pPr>
    <w:rPr/>
  </w:style>
  <w:style w:type="paragraph" w:styleId="FWBL7">
    <w:name w:val="FWB_L7"/>
    <w:basedOn w:val="FWBL6"/>
    <w:qFormat/>
    <w:pPr>
      <w:numPr>
        <w:ilvl w:val="0"/>
        <w:numId w:val="26"/>
      </w:numPr>
    </w:pPr>
    <w:rPr/>
  </w:style>
  <w:style w:type="paragraph" w:styleId="FWBL8">
    <w:name w:val="FWB_L8"/>
    <w:basedOn w:val="FWBL7"/>
    <w:qFormat/>
    <w:pPr>
      <w:numPr>
        <w:ilvl w:val="0"/>
        <w:numId w:val="26"/>
      </w:numPr>
    </w:pPr>
    <w:rPr/>
  </w:style>
  <w:style w:type="paragraph" w:styleId="FWOutCont1">
    <w:name w:val="FWOut Cont 1"/>
    <w:basedOn w:val="Normal"/>
    <w:qFormat/>
    <w:pPr>
      <w:spacing w:before="0" w:after="240"/>
      <w:jc w:val="both"/>
    </w:pPr>
    <w:rPr>
      <w:szCs w:val="20"/>
    </w:rPr>
  </w:style>
  <w:style w:type="paragraph" w:styleId="FWOutCont2">
    <w:name w:val="FWOut Cont 2"/>
    <w:basedOn w:val="FWOutCont1"/>
    <w:qFormat/>
    <w:pPr/>
    <w:rPr/>
  </w:style>
  <w:style w:type="paragraph" w:styleId="FWOutCont3">
    <w:name w:val="FWOut Cont 3"/>
    <w:basedOn w:val="FWOutCont2"/>
    <w:qFormat/>
    <w:pPr/>
    <w:rPr/>
  </w:style>
  <w:style w:type="paragraph" w:styleId="FWOutCont4">
    <w:name w:val="FWOut Cont 4"/>
    <w:basedOn w:val="FWOutCont3"/>
    <w:qFormat/>
    <w:pPr>
      <w:ind w:hanging="0" w:start="720" w:end="0"/>
    </w:pPr>
    <w:rPr/>
  </w:style>
  <w:style w:type="paragraph" w:styleId="FWOutCont5">
    <w:name w:val="FWOut Cont 5"/>
    <w:basedOn w:val="FWOutCont4"/>
    <w:qFormat/>
    <w:pPr>
      <w:ind w:hanging="0" w:start="1440" w:end="0"/>
    </w:pPr>
    <w:rPr/>
  </w:style>
  <w:style w:type="paragraph" w:styleId="FWOutCont6">
    <w:name w:val="FWOut Cont 6"/>
    <w:basedOn w:val="FWOutCont5"/>
    <w:qFormat/>
    <w:pPr>
      <w:ind w:hanging="0" w:start="2160" w:end="0"/>
    </w:pPr>
    <w:rPr/>
  </w:style>
  <w:style w:type="paragraph" w:styleId="FWOutCont7">
    <w:name w:val="FWOut Cont 7"/>
    <w:basedOn w:val="FWOutCont6"/>
    <w:qFormat/>
    <w:pPr>
      <w:ind w:hanging="0" w:start="2880" w:end="0"/>
    </w:pPr>
    <w:rPr/>
  </w:style>
  <w:style w:type="paragraph" w:styleId="FWOutCont8">
    <w:name w:val="FWOut Cont 8"/>
    <w:basedOn w:val="FWOutCont7"/>
    <w:qFormat/>
    <w:pPr>
      <w:ind w:hanging="0" w:start="3600" w:end="0"/>
    </w:pPr>
    <w:rPr/>
  </w:style>
  <w:style w:type="paragraph" w:styleId="FWOutCont9">
    <w:name w:val="FWOut Cont 9"/>
    <w:basedOn w:val="FWOutCont8"/>
    <w:qFormat/>
    <w:pPr>
      <w:ind w:hanging="0" w:start="4320" w:end="0"/>
    </w:pPr>
    <w:rPr/>
  </w:style>
  <w:style w:type="paragraph" w:styleId="FWOutL1">
    <w:name w:val="FWOut_L1"/>
    <w:basedOn w:val="Normal"/>
    <w:next w:val="FWOutL2"/>
    <w:qFormat/>
    <w:pPr>
      <w:keepNext w:val="true"/>
      <w:keepLines/>
      <w:numPr>
        <w:ilvl w:val="0"/>
        <w:numId w:val="21"/>
      </w:numPr>
      <w:spacing w:before="0" w:after="240"/>
      <w:jc w:val="center"/>
      <w:outlineLvl w:val="0"/>
    </w:pPr>
    <w:rPr>
      <w:b/>
      <w:caps/>
      <w:szCs w:val="20"/>
    </w:rPr>
  </w:style>
  <w:style w:type="paragraph" w:styleId="FWOutL2">
    <w:name w:val="FWOut_L2"/>
    <w:basedOn w:val="FWOutL1"/>
    <w:qFormat/>
    <w:pPr>
      <w:numPr>
        <w:ilvl w:val="0"/>
        <w:numId w:val="21"/>
      </w:numPr>
      <w:jc w:val="start"/>
      <w:outlineLvl w:val="1"/>
    </w:pPr>
    <w:rPr>
      <w:caps w:val="false"/>
      <w:smallCaps w:val="false"/>
    </w:rPr>
  </w:style>
  <w:style w:type="paragraph" w:styleId="FWOutL3">
    <w:name w:val="FWOut_L3"/>
    <w:basedOn w:val="FWOutL2"/>
    <w:qFormat/>
    <w:pPr>
      <w:keepNext w:val="false"/>
      <w:keepLines w:val="false"/>
      <w:numPr>
        <w:ilvl w:val="0"/>
        <w:numId w:val="21"/>
      </w:numPr>
      <w:jc w:val="both"/>
      <w:outlineLvl w:val="9"/>
    </w:pPr>
    <w:rPr>
      <w:b w:val="false"/>
    </w:rPr>
  </w:style>
  <w:style w:type="paragraph" w:styleId="FWOutL4">
    <w:name w:val="FWOut_L4"/>
    <w:basedOn w:val="FWOutL3"/>
    <w:qFormat/>
    <w:pPr>
      <w:numPr>
        <w:ilvl w:val="0"/>
        <w:numId w:val="21"/>
      </w:numPr>
    </w:pPr>
    <w:rPr/>
  </w:style>
  <w:style w:type="paragraph" w:styleId="FWOutL5">
    <w:name w:val="FWOut_L5"/>
    <w:basedOn w:val="FWOutL4"/>
    <w:qFormat/>
    <w:pPr>
      <w:numPr>
        <w:ilvl w:val="0"/>
        <w:numId w:val="21"/>
      </w:numPr>
    </w:pPr>
    <w:rPr/>
  </w:style>
  <w:style w:type="paragraph" w:styleId="FWOutL6">
    <w:name w:val="FWOut_L6"/>
    <w:basedOn w:val="FWOutL5"/>
    <w:qFormat/>
    <w:pPr>
      <w:numPr>
        <w:ilvl w:val="0"/>
        <w:numId w:val="21"/>
      </w:numPr>
    </w:pPr>
    <w:rPr/>
  </w:style>
  <w:style w:type="paragraph" w:styleId="FWOutL7">
    <w:name w:val="FWOut_L7"/>
    <w:basedOn w:val="FWOutL6"/>
    <w:qFormat/>
    <w:pPr>
      <w:numPr>
        <w:ilvl w:val="0"/>
        <w:numId w:val="21"/>
      </w:numPr>
    </w:pPr>
    <w:rPr/>
  </w:style>
  <w:style w:type="paragraph" w:styleId="FWOutL8">
    <w:name w:val="FWOut_L8"/>
    <w:basedOn w:val="FWOutL7"/>
    <w:qFormat/>
    <w:pPr>
      <w:numPr>
        <w:ilvl w:val="0"/>
        <w:numId w:val="21"/>
      </w:numPr>
    </w:pPr>
    <w:rPr/>
  </w:style>
  <w:style w:type="paragraph" w:styleId="FWOutL9">
    <w:name w:val="FWOut_L9"/>
    <w:basedOn w:val="FWOutL8"/>
    <w:qFormat/>
    <w:pPr>
      <w:numPr>
        <w:ilvl w:val="0"/>
        <w:numId w:val="21"/>
      </w:numPr>
    </w:pPr>
    <w:rPr/>
  </w:style>
  <w:style w:type="paragraph" w:styleId="NormalWeb">
    <w:name w:val="Normal (Web)"/>
    <w:basedOn w:val="Normal"/>
    <w:qFormat/>
    <w:pPr>
      <w:spacing w:before="100" w:after="100"/>
    </w:pPr>
    <w:rPr>
      <w:rFonts w:ascii="Arial Unicode MS" w:hAnsi="Arial Unicode MS" w:eastAsia="Arial Unicode MS" w:cs="Arial Unicode MS"/>
      <w:sz w:val="24"/>
    </w:rPr>
  </w:style>
  <w:style w:type="paragraph" w:styleId="TableLevel1Numbered">
    <w:name w:val="Table Level 1 Numbered"/>
    <w:basedOn w:val="Normal"/>
    <w:qFormat/>
    <w:pPr>
      <w:numPr>
        <w:ilvl w:val="0"/>
        <w:numId w:val="25"/>
      </w:numPr>
      <w:spacing w:before="120" w:after="120"/>
    </w:pPr>
    <w:rPr>
      <w:bCs/>
      <w:lang w:val="en-US"/>
    </w:rPr>
  </w:style>
  <w:style w:type="paragraph" w:styleId="TableLevel2Numbered">
    <w:name w:val="Table Level 2 Numbered"/>
    <w:basedOn w:val="Normal"/>
    <w:qFormat/>
    <w:pPr>
      <w:numPr>
        <w:ilvl w:val="0"/>
        <w:numId w:val="25"/>
      </w:numPr>
      <w:spacing w:before="120" w:after="120"/>
    </w:pPr>
    <w:rPr>
      <w:bCs/>
      <w:lang w:val="en-US"/>
    </w:rPr>
  </w:style>
  <w:style w:type="paragraph" w:styleId="TableLevel3Numbered">
    <w:name w:val="Table Level 3 Numbered"/>
    <w:basedOn w:val="Normal"/>
    <w:qFormat/>
    <w:pPr>
      <w:numPr>
        <w:ilvl w:val="0"/>
        <w:numId w:val="25"/>
      </w:numPr>
      <w:spacing w:before="120" w:after="120"/>
    </w:pPr>
    <w:rPr>
      <w:lang w:val="en-US"/>
    </w:rPr>
  </w:style>
  <w:style w:type="paragraph" w:styleId="TableLevel4Numbered">
    <w:name w:val="Table Level 4 Numbered"/>
    <w:basedOn w:val="Normal"/>
    <w:qFormat/>
    <w:pPr>
      <w:numPr>
        <w:ilvl w:val="0"/>
        <w:numId w:val="25"/>
      </w:numPr>
      <w:spacing w:before="120" w:after="120"/>
    </w:pPr>
    <w:rPr>
      <w:lang w:val="en-US"/>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AMBodyTextL1">
    <w:name w:val="AMBodyText_L1"/>
    <w:basedOn w:val="Normal"/>
    <w:next w:val="AMBodyTextL2"/>
    <w:qFormat/>
    <w:pPr>
      <w:keepNext w:val="true"/>
      <w:keepLines/>
      <w:numPr>
        <w:ilvl w:val="0"/>
        <w:numId w:val="12"/>
      </w:numPr>
      <w:spacing w:before="0" w:after="240"/>
      <w:outlineLvl w:val="0"/>
    </w:pPr>
    <w:rPr>
      <w:b/>
      <w:smallCaps/>
      <w:sz w:val="24"/>
      <w:szCs w:val="20"/>
    </w:rPr>
  </w:style>
  <w:style w:type="paragraph" w:styleId="AMBodyTextL2">
    <w:name w:val="AMBodyText_L2"/>
    <w:basedOn w:val="AMBodyTextL1"/>
    <w:qFormat/>
    <w:pPr>
      <w:keepNext w:val="false"/>
      <w:keepLines w:val="false"/>
      <w:numPr>
        <w:ilvl w:val="0"/>
        <w:numId w:val="12"/>
      </w:numPr>
      <w:jc w:val="both"/>
      <w:outlineLvl w:val="9"/>
    </w:pPr>
    <w:rPr>
      <w:b w:val="false"/>
      <w:caps w:val="false"/>
      <w:smallCaps w:val="false"/>
    </w:rPr>
  </w:style>
  <w:style w:type="paragraph" w:styleId="AMBodyTextL3">
    <w:name w:val="AMBodyText_L3"/>
    <w:basedOn w:val="AMBodyTextL2"/>
    <w:qFormat/>
    <w:pPr>
      <w:numPr>
        <w:ilvl w:val="0"/>
        <w:numId w:val="12"/>
      </w:numPr>
    </w:pPr>
    <w:rPr/>
  </w:style>
  <w:style w:type="paragraph" w:styleId="AMBodyTextL4">
    <w:name w:val="AMBodyText_L4"/>
    <w:basedOn w:val="AMBodyTextL3"/>
    <w:qFormat/>
    <w:pPr>
      <w:numPr>
        <w:ilvl w:val="0"/>
        <w:numId w:val="12"/>
      </w:numPr>
    </w:pPr>
    <w:rPr/>
  </w:style>
  <w:style w:type="paragraph" w:styleId="AMBodyTextL5">
    <w:name w:val="AMBodyText_L5"/>
    <w:basedOn w:val="AMBodyTextL4"/>
    <w:qFormat/>
    <w:pPr>
      <w:numPr>
        <w:ilvl w:val="0"/>
        <w:numId w:val="12"/>
      </w:numPr>
    </w:pPr>
    <w:rPr/>
  </w:style>
  <w:style w:type="paragraph" w:styleId="AMBodyTextL6">
    <w:name w:val="AMBodyText_L6"/>
    <w:basedOn w:val="AMBodyTextL5"/>
    <w:qFormat/>
    <w:pPr>
      <w:numPr>
        <w:ilvl w:val="0"/>
        <w:numId w:val="12"/>
      </w:numPr>
    </w:pPr>
    <w:rPr/>
  </w:style>
  <w:style w:type="paragraph" w:styleId="AMBodyTextL7">
    <w:name w:val="AMBodyText_L7"/>
    <w:basedOn w:val="AMBodyTextL6"/>
    <w:qFormat/>
    <w:pPr>
      <w:numPr>
        <w:ilvl w:val="0"/>
        <w:numId w:val="12"/>
      </w:numPr>
    </w:pPr>
    <w:rPr/>
  </w:style>
  <w:style w:type="paragraph" w:styleId="AMBodyTextL8">
    <w:name w:val="AMBodyText_L8"/>
    <w:basedOn w:val="AMBodyTextL7"/>
    <w:qFormat/>
    <w:pPr>
      <w:numPr>
        <w:ilvl w:val="0"/>
        <w:numId w:val="12"/>
      </w:numPr>
    </w:pPr>
    <w:rPr/>
  </w:style>
  <w:style w:type="paragraph" w:styleId="FWNL1">
    <w:name w:val="FWN_L1"/>
    <w:basedOn w:val="Normal"/>
    <w:qFormat/>
    <w:pPr>
      <w:numPr>
        <w:ilvl w:val="0"/>
        <w:numId w:val="15"/>
      </w:numPr>
      <w:spacing w:before="0" w:after="240"/>
      <w:jc w:val="both"/>
    </w:pPr>
    <w:rPr>
      <w:sz w:val="24"/>
      <w:szCs w:val="20"/>
    </w:rPr>
  </w:style>
  <w:style w:type="paragraph" w:styleId="FWNL2">
    <w:name w:val="FWN_L2"/>
    <w:basedOn w:val="FWNL1"/>
    <w:qFormat/>
    <w:pPr>
      <w:numPr>
        <w:ilvl w:val="0"/>
        <w:numId w:val="15"/>
      </w:numPr>
    </w:pPr>
    <w:rPr/>
  </w:style>
  <w:style w:type="paragraph" w:styleId="FWNL3">
    <w:name w:val="FWN_L3"/>
    <w:basedOn w:val="FWNL2"/>
    <w:qFormat/>
    <w:pPr>
      <w:numPr>
        <w:ilvl w:val="0"/>
        <w:numId w:val="15"/>
      </w:numPr>
    </w:pPr>
    <w:rPr/>
  </w:style>
  <w:style w:type="paragraph" w:styleId="FWNL4">
    <w:name w:val="FWN_L4"/>
    <w:basedOn w:val="FWNL3"/>
    <w:qFormat/>
    <w:pPr>
      <w:numPr>
        <w:ilvl w:val="0"/>
        <w:numId w:val="15"/>
      </w:numPr>
    </w:pPr>
    <w:rPr/>
  </w:style>
  <w:style w:type="paragraph" w:styleId="FWNL5">
    <w:name w:val="FWN_L5"/>
    <w:basedOn w:val="FWNL4"/>
    <w:qFormat/>
    <w:pPr>
      <w:numPr>
        <w:ilvl w:val="0"/>
        <w:numId w:val="15"/>
      </w:numPr>
    </w:pPr>
    <w:rPr/>
  </w:style>
  <w:style w:type="paragraph" w:styleId="FWNL6">
    <w:name w:val="FWN_L6"/>
    <w:basedOn w:val="FWNL5"/>
    <w:qFormat/>
    <w:pPr>
      <w:numPr>
        <w:ilvl w:val="0"/>
        <w:numId w:val="15"/>
      </w:numPr>
    </w:pPr>
    <w:rPr/>
  </w:style>
  <w:style w:type="paragraph" w:styleId="FWNL7">
    <w:name w:val="FWN_L7"/>
    <w:basedOn w:val="FWNL6"/>
    <w:qFormat/>
    <w:pPr>
      <w:numPr>
        <w:ilvl w:val="0"/>
        <w:numId w:val="15"/>
      </w:numPr>
    </w:pPr>
    <w:rPr/>
  </w:style>
  <w:style w:type="paragraph" w:styleId="ListBullet2">
    <w:name w:val="List Bullet 2"/>
    <w:basedOn w:val="Normal"/>
    <w:pPr>
      <w:ind w:hanging="283" w:start="566" w:end="0"/>
    </w:pPr>
    <w:rPr/>
  </w:style>
  <w:style w:type="paragraph" w:styleId="ListBullet3">
    <w:name w:val="List Bullet 3"/>
    <w:basedOn w:val="Normal"/>
    <w:pPr>
      <w:ind w:hanging="283" w:start="849" w:end="0"/>
    </w:pPr>
    <w:rPr/>
  </w:style>
  <w:style w:type="paragraph" w:styleId="ListContinue">
    <w:name w:val="List Continue"/>
    <w:basedOn w:val="Normal"/>
    <w:qFormat/>
    <w:pPr>
      <w:spacing w:before="0" w:after="120"/>
      <w:ind w:hanging="0" w:start="283" w:end="0"/>
    </w:pPr>
    <w:rPr/>
  </w:style>
  <w:style w:type="paragraph" w:styleId="ListContinue2">
    <w:name w:val="List Continue 2"/>
    <w:basedOn w:val="Normal"/>
    <w:qFormat/>
    <w:pPr>
      <w:spacing w:before="0" w:after="120"/>
      <w:ind w:hanging="0" w:start="566" w:end="0"/>
    </w:pPr>
    <w:rPr/>
  </w:style>
  <w:style w:type="paragraph" w:styleId="StyleJustified">
    <w:name w:val="Style Justified"/>
    <w:basedOn w:val="Normal"/>
    <w:qFormat/>
    <w:pPr>
      <w:numPr>
        <w:ilvl w:val="0"/>
        <w:numId w:val="31"/>
      </w:numPr>
      <w:jc w:val="both"/>
    </w:pPr>
    <w:rPr>
      <w:szCs w:val="20"/>
    </w:rPr>
  </w:style>
  <w:style w:type="paragraph" w:styleId="HEADING11">
    <w:name w:val="HEADING 11"/>
    <w:basedOn w:val="Normal"/>
    <w:qFormat/>
    <w:pPr>
      <w:spacing w:before="120" w:after="120"/>
      <w:jc w:val="center"/>
    </w:pPr>
    <w:rPr>
      <w:b/>
      <w:bCs/>
      <w:szCs w:val="22"/>
    </w:rPr>
  </w:style>
  <w:style w:type="paragraph" w:styleId="Heading1Numbered">
    <w:name w:val="Heading 1 Numbered"/>
    <w:basedOn w:val="Normal"/>
    <w:qFormat/>
    <w:pPr>
      <w:numPr>
        <w:ilvl w:val="0"/>
        <w:numId w:val="7"/>
      </w:numPr>
      <w:spacing w:before="240" w:after="240"/>
    </w:pPr>
    <w:rPr>
      <w:rFonts w:ascii="Times New Roman Bold;Times New Roman" w:hAnsi="Times New Roman Bold;Times New Roman" w:cs="Times New Roman Bold;Times New Roman"/>
      <w:b/>
      <w:caps/>
      <w:sz w:val="28"/>
      <w:lang w:val="en-US"/>
    </w:rPr>
  </w:style>
  <w:style w:type="paragraph" w:styleId="Heading2Numbered">
    <w:name w:val="Heading 2 Numbered"/>
    <w:basedOn w:val="Normal"/>
    <w:qFormat/>
    <w:pPr>
      <w:numPr>
        <w:ilvl w:val="0"/>
        <w:numId w:val="10"/>
      </w:numPr>
      <w:spacing w:before="240" w:after="240"/>
    </w:pPr>
    <w:rPr>
      <w:rFonts w:ascii="Times New Roman Bold;Times New Roman" w:hAnsi="Times New Roman Bold;Times New Roman" w:cs="Times New Roman Bold;Times New Roman"/>
      <w:b/>
      <w:sz w:val="28"/>
      <w:lang w:val="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1</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2006-12-13T15:54:00Z</dcterms:created>
  <dc:creator>Stuart Johnson</dc:creator>
  <dc:description/>
  <cp:keywords/>
  <dc:language>en-US</dc:language>
  <cp:lastModifiedBy>Stuart Johnson</cp:lastModifiedBy>
  <cp:lastPrinted>2006-06-26T16:36:00Z</cp:lastPrinted>
  <dcterms:modified xsi:type="dcterms:W3CDTF">2006-12-13T15:54:00Z</dcterms:modified>
  <cp:revision>3</cp:revision>
  <dc:subject>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Class">
    <vt:lpwstr>Fee Earner</vt:lpwstr>
  </property>
  <property fmtid="{D5CDD505-2E9C-101B-9397-08002B2CF9AE}" pid="3" name="authCorresp">
    <vt:lpwstr>Mark Parsons</vt:lpwstr>
  </property>
  <property fmtid="{D5CDD505-2E9C-101B-9397-08002B2CF9AE}" pid="4" name="authEmail">
    <vt:lpwstr>mark.parsons@freshfields.com</vt:lpwstr>
  </property>
  <property fmtid="{D5CDD505-2E9C-101B-9397-08002B2CF9AE}" pid="5" name="authExtension">
    <vt:lpwstr>4651</vt:lpwstr>
  </property>
  <property fmtid="{D5CDD505-2E9C-101B-9397-08002B2CF9AE}" pid="6" name="authFax">
    <vt:lpwstr>44 20 7108 4651</vt:lpwstr>
  </property>
  <property fmtid="{D5CDD505-2E9C-101B-9397-08002B2CF9AE}" pid="7" name="authId">
    <vt:lpwstr>MXPARSONS</vt:lpwstr>
  </property>
  <property fmtid="{D5CDD505-2E9C-101B-9397-08002B2CF9AE}" pid="8" name="authInitials">
    <vt:lpwstr>MP</vt:lpwstr>
  </property>
  <property fmtid="{D5CDD505-2E9C-101B-9397-08002B2CF9AE}" pid="9" name="authLocation">
    <vt:lpwstr>London</vt:lpwstr>
  </property>
  <property fmtid="{D5CDD505-2E9C-101B-9397-08002B2CF9AE}" pid="10" name="authName">
    <vt:lpwstr>Parsons, Mark</vt:lpwstr>
  </property>
  <property fmtid="{D5CDD505-2E9C-101B-9397-08002B2CF9AE}" pid="11" name="authPhone">
    <vt:lpwstr>44 20 7716 4651</vt:lpwstr>
  </property>
  <property fmtid="{D5CDD505-2E9C-101B-9397-08002B2CF9AE}" pid="12" name="cpClientMatter">
    <vt:lpwstr>80750-00002</vt:lpwstr>
  </property>
  <property fmtid="{D5CDD505-2E9C-101B-9397-08002B2CF9AE}" pid="13" name="cpCombinedRef">
    <vt:lpwstr>80750-00002 AMIP:53413.1</vt:lpwstr>
  </property>
  <property fmtid="{D5CDD505-2E9C-101B-9397-08002B2CF9AE}" pid="14" name="cpDate">
    <vt:lpwstr>21 February 2006</vt:lpwstr>
  </property>
  <property fmtid="{D5CDD505-2E9C-101B-9397-08002B2CF9AE}" pid="15" name="cpDocRef">
    <vt:lpwstr>AMIP:53413.1</vt:lpwstr>
  </property>
  <property fmtid="{D5CDD505-2E9C-101B-9397-08002B2CF9AE}" pid="16" name="docClass">
    <vt:lpwstr>-NONE-</vt:lpwstr>
  </property>
  <property fmtid="{D5CDD505-2E9C-101B-9397-08002B2CF9AE}" pid="17" name="docCliMat">
    <vt:lpwstr>104955-0076</vt:lpwstr>
  </property>
  <property fmtid="{D5CDD505-2E9C-101B-9397-08002B2CF9AE}" pid="18" name="docClient">
    <vt:lpwstr>104955</vt:lpwstr>
  </property>
  <property fmtid="{D5CDD505-2E9C-101B-9397-08002B2CF9AE}" pid="19" name="docDesc">
    <vt:lpwstr>ING/SWS - PST Supplier MSA (26.06.2006)</vt:lpwstr>
  </property>
  <property fmtid="{D5CDD505-2E9C-101B-9397-08002B2CF9AE}" pid="20" name="docGlobPracGroup">
    <vt:lpwstr/>
  </property>
  <property fmtid="{D5CDD505-2E9C-101B-9397-08002B2CF9AE}" pid="21" name="docGlobSectGroup">
    <vt:lpwstr/>
  </property>
  <property fmtid="{D5CDD505-2E9C-101B-9397-08002B2CF9AE}" pid="22" name="docId">
    <vt:lpwstr>LC1495567</vt:lpwstr>
  </property>
  <property fmtid="{D5CDD505-2E9C-101B-9397-08002B2CF9AE}" pid="23" name="docIdVer">
    <vt:lpwstr>LC1495567/9</vt:lpwstr>
  </property>
  <property fmtid="{D5CDD505-2E9C-101B-9397-08002B2CF9AE}" pid="24" name="docLanguage">
    <vt:lpwstr>EN(UK)</vt:lpwstr>
  </property>
  <property fmtid="{D5CDD505-2E9C-101B-9397-08002B2CF9AE}" pid="25" name="docMatter">
    <vt:lpwstr>0076</vt:lpwstr>
  </property>
  <property fmtid="{D5CDD505-2E9C-101B-9397-08002B2CF9AE}" pid="26" name="docOrganisation">
    <vt:lpwstr/>
  </property>
  <property fmtid="{D5CDD505-2E9C-101B-9397-08002B2CF9AE}" pid="27" name="docSubClass">
    <vt:lpwstr/>
  </property>
  <property fmtid="{D5CDD505-2E9C-101B-9397-08002B2CF9AE}" pid="28" name="docVersion">
    <vt:lpwstr>9</vt:lpwstr>
  </property>
  <property fmtid="{D5CDD505-2E9C-101B-9397-08002B2CF9AE}" pid="29" name="operCorresp">
    <vt:lpwstr>Julia Best</vt:lpwstr>
  </property>
  <property fmtid="{D5CDD505-2E9C-101B-9397-08002B2CF9AE}" pid="30" name="operEmail">
    <vt:lpwstr>julia.best@freshfields.com</vt:lpwstr>
  </property>
  <property fmtid="{D5CDD505-2E9C-101B-9397-08002B2CF9AE}" pid="31" name="operExtension">
    <vt:lpwstr>3023</vt:lpwstr>
  </property>
  <property fmtid="{D5CDD505-2E9C-101B-9397-08002B2CF9AE}" pid="32" name="operFax">
    <vt:lpwstr>44 20 7108 3023</vt:lpwstr>
  </property>
  <property fmtid="{D5CDD505-2E9C-101B-9397-08002B2CF9AE}" pid="33" name="operId">
    <vt:lpwstr>JBEST</vt:lpwstr>
  </property>
  <property fmtid="{D5CDD505-2E9C-101B-9397-08002B2CF9AE}" pid="34" name="operInitials">
    <vt:lpwstr>JMB</vt:lpwstr>
  </property>
  <property fmtid="{D5CDD505-2E9C-101B-9397-08002B2CF9AE}" pid="35" name="operLocation">
    <vt:lpwstr>London</vt:lpwstr>
  </property>
  <property fmtid="{D5CDD505-2E9C-101B-9397-08002B2CF9AE}" pid="36" name="operName">
    <vt:lpwstr>Best, Julia</vt:lpwstr>
  </property>
  <property fmtid="{D5CDD505-2E9C-101B-9397-08002B2CF9AE}" pid="37" name="operPhone">
    <vt:lpwstr>44 20 7427 3023</vt:lpwstr>
  </property>
</Properties>
</file>