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https://www.douyin.com/video/6891861133351718144</w:t>
      </w:r>
    </w:p>
    <w:p/>
    <w:p>
      <w:r>
        <w:t># 标题:## 关键字: 不可居无竹 #风骨 #文人 #筇竹 #迷罗 @抖音小助手 #文人古风</w:t>
        <w:br/>
        <w:t>## 作者: 迷罗元和堂</w:t>
        <w:br/>
        <w:t>## 弥勒老师又在画画，草草种竹子。刚种的一盆，看看怎么样。“哎，老师，这是什么竹子呀？”这个是一个特殊的竹子，叫做“穷竹”。这个不是“穷”贫穷的“穷”啊，你看那个他的骨节，看这个骨节了吗？哦，看到了。哎，这个骨节特别大，但是他的这个“骨头”呢，特别瘦。这叫“瘦骨清风”，对古代文人最喜欢他，因为他有一种风骨所在，“不可居无竹”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