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b/>
          <w:bCs/>
          <w:color w:val="0B2545"/>
          <w:sz w:val="44"/>
          <w:szCs w:val="44"/>
        </w:rPr>
        <w:t xml:space="preserve">Guía rápida del TFG</w:t>
      </w:r>
    </w:p>
    <w:p>
      <w:pPr>
        <w:spacing w:after="100"/>
        <w:jc w:val="center"/>
      </w:pPr>
      <w:r>
        <w:rPr>
          <w:color w:val="13315C"/>
          <w:sz w:val="24"/>
          <w:szCs w:val="24"/>
        </w:rPr>
        <w:t xml:space="preserve">Detección de ELA por ecografía muscular y deep learning</w:t>
      </w:r>
    </w:p>
    <w:p>
      <w:pPr>
        <w:spacing w:after="480"/>
        <w:jc w:val="center"/>
      </w:pPr>
      <w:r>
        <w:rPr>
          <w:color w:val="6B7280"/>
          <w:sz w:val="20"/>
          <w:szCs w:val="20"/>
        </w:rPr>
        <w:t xml:space="preserve">Manual de bolsillo · Jose Juan Cortina · 2026</w:t>
      </w:r>
    </w:p>
    <w:p>
      <w:pPr>
        <w:spacing w:after="120"/>
      </w:pPr>
      <w:r>
        <w:rPr>
          <w:color w:val="374151"/>
        </w:rPr>
        <w:t xml:space="preserve">Documento de consulta interna. Pensado para que recuerdes cómo funciona el sistema sin tener que preguntar cada vez. Especial atención a la parte estadística, que es la que más se olvida cuando no se ha estudiado en clase.</w:t>
      </w:r>
    </w:p>
    <w:p>
      <w:pPr>
        <w:pStyle w:val="Heading1"/>
        <w:spacing w:after="180" w:before="360"/>
      </w:pPr>
      <w:r>
        <w:rPr>
          <w:b/>
          <w:bCs/>
          <w:color w:val="0B2545"/>
          <w:sz w:val="32"/>
          <w:szCs w:val="32"/>
        </w:rPr>
        <w:t xml:space="preserve">1. El TFG en cinco frases</w:t>
      </w:r>
    </w:p>
    <w:p>
      <w:pPr>
        <w:spacing w:after="120"/>
      </w:pPr>
      <w:r>
        <w:t xml:space="preserve">Tu TFG es un sistema de soporte al diagnóstico de Esclerosis Lateral Amiotrófica (ELA) basado en ecografía muscular y deep learning. La motivación clínica es que el diagnóstico actual de ELA tiene un retraso medio de unos 12 meses entre los primeros síntomas y el diagnóstico definitivo, ventana en la que ya se ha perdido masa muscular significativa. La ecografía es barata, no invasiva y disponible en cualquier hospital, así que un sistema automático que detecte el patrón de ELA en imágenes ecográficas puede acelerar la sospecha clínica.</w:t>
      </w:r>
    </w:p>
    <w:p>
      <w:pPr>
        <w:spacing w:after="120"/>
      </w:pPr>
      <w:r>
        <w:t xml:space="preserve">Lo que aporta tu trabajo respecto al estado del arte (Martínez-Payá 2017, baseline) es que: (1) usa redes convolucionales profundas en vez de features texturales hechas a mano, (2) trabaja a nivel de paciente en vez de a nivel de imagen aislada, y (3) integra los cuatro músculos clínicamente explorados (bíceps, antebrazo, cuádriceps, tibial) en una sola decisión.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DA9C4" w:sz="1"/>
              <w:left w:val="single" w:color="13315C" w:sz="24"/>
              <w:bottom w:val="single" w:color="8DA9C4" w:sz="1"/>
              <w:right w:val="single" w:color="8DA9C4" w:sz="1"/>
            </w:tcBorders>
            <w:shd w:fill="EEF4ED" w:val="clear"/>
            <w:tcMar>
              <w:top w:type="dxa" w:w="160"/>
              <w:left w:type="dxa" w:w="200"/>
              <w:bottom w:type="dxa" w:w="160"/>
              <w:right w:type="dxa" w:w="200"/>
            </w:tcMar>
          </w:tcPr>
          <w:p>
            <w:r>
              <w:rPr>
                <w:b/>
                <w:bCs/>
                <w:color w:val="13315C"/>
                <w:sz w:val="18"/>
                <w:szCs w:val="18"/>
              </w:rPr>
              <w:t xml:space="preserve">IDEA CLAVE   </w:t>
            </w:r>
            <w:r>
              <w:rPr>
                <w:color w:val="1F2937"/>
                <w:sz w:val="22"/>
                <w:szCs w:val="22"/>
              </w:rPr>
              <w:t xml:space="preserve">El sistema final logra AUC = 99.15 %, sensibilidad = 96.30 % y especificidad = 100 % sobre 53 pacientes. Esto es +5 puntos de AUC, +9 de sensibilidad y +13 de especificidad sobre el baseline clínico publicado.</w:t>
            </w:r>
          </w:p>
        </w:tc>
      </w:tr>
    </w:tbl>
    <w:p>
      <w:pPr>
        <w:pStyle w:val="Heading1"/>
        <w:spacing w:after="180" w:before="360"/>
      </w:pPr>
      <w:r>
        <w:rPr>
          <w:b/>
          <w:bCs/>
          <w:color w:val="0B2545"/>
          <w:sz w:val="32"/>
          <w:szCs w:val="32"/>
        </w:rPr>
        <w:t xml:space="preserve">2. Cómo funciona el sistema, paso a paso</w:t>
      </w:r>
    </w:p>
    <w:p>
      <w:pPr>
        <w:pStyle w:val="Heading2"/>
        <w:spacing w:after="140" w:before="280"/>
      </w:pPr>
      <w:r>
        <w:rPr>
          <w:b/>
          <w:bCs/>
          <w:color w:val="13315C"/>
          <w:sz w:val="26"/>
          <w:szCs w:val="26"/>
        </w:rPr>
        <w:t xml:space="preserve">2.1 Datos</w:t>
      </w:r>
    </w:p>
    <w:p>
      <w:pPr>
        <w:spacing w:after="120"/>
      </w:pPr>
      <w:r>
        <w:t xml:space="preserve">53 pacientes en total: 27 ELA y 26 controles. Cada paciente tiene imágenes ecográficas bilaterales (lado izquierdo y derecho) de cuatro músculos: bíceps, antebrazo, cuádriceps y tibial. Las imágenes vienen del grupo clínico de Murcia (mismos autores del baseline).</w:t>
      </w:r>
      <w:r>
        <w:rPr>
          <w:color w:val="6B7280"/>
        </w:rPr>
        <w:t xml:space="preserve"> Aproximadamente 2.700 imágenes en total.</w:t>
      </w:r>
    </w:p>
    <w:p>
      <w:pPr>
        <w:pStyle w:val="Heading2"/>
        <w:spacing w:after="140" w:before="280"/>
      </w:pPr>
      <w:r>
        <w:rPr>
          <w:b/>
          <w:bCs/>
          <w:color w:val="13315C"/>
          <w:sz w:val="26"/>
          <w:szCs w:val="26"/>
        </w:rPr>
        <w:t xml:space="preserve">2.2 Preprocesado</w:t>
      </w:r>
    </w:p>
    <w:p>
      <w:pPr>
        <w:spacing w:after="120"/>
      </w:pPr>
      <w:r>
        <w:t xml:space="preserve">Se recorta el banner del ecógrafo (texto y datos del paciente que aparecen en la imagen), se convierte a escala de grises, se redimensiona a 224×224 píxeles y se normaliza con la media y desviación de ImageNet (porque las redes que usamos están pre-entrenadas en ese dataset).</w:t>
      </w:r>
    </w:p>
    <w:p>
      <w:pPr>
        <w:pStyle w:val="Heading2"/>
        <w:spacing w:after="140" w:before="280"/>
      </w:pPr>
      <w:r>
        <w:rPr>
          <w:b/>
          <w:bCs/>
          <w:color w:val="13315C"/>
          <w:sz w:val="26"/>
          <w:szCs w:val="26"/>
        </w:rPr>
        <w:t xml:space="preserve">2.3 Cinco arquitecturas, cuatro músculos, cinco folds</w:t>
      </w:r>
    </w:p>
    <w:p>
      <w:pPr>
        <w:spacing w:after="120"/>
      </w:pPr>
      <w:r>
        <w:t xml:space="preserve">Entrenas 5 redes pre-entrenadas en ImageNet (ResNet-18, ResNet-50, DenseNet-121, EfficientNet-B0 y ConvNeXt-Tiny) por separado en cada uno de los 4 músculos. Cada combinación se entrena con validación cruzada de 5 folds (lo que se conoce como 5-fold CV). Eso son </w:t>
      </w:r>
      <w:r>
        <w:rPr>
          <w:b/>
          <w:bCs/>
        </w:rPr>
        <w:t xml:space="preserve">100 modelos en total</w:t>
      </w:r>
      <w:r>
        <w:t xml:space="preserve"> (5 × 4 × 5).</w:t>
      </w:r>
    </w:p>
    <w:p>
      <w:pPr>
        <w:pStyle w:val="Heading2"/>
        <w:spacing w:after="140" w:before="280"/>
      </w:pPr>
      <w:r>
        <w:rPr>
          <w:b/>
          <w:bCs/>
          <w:color w:val="13315C"/>
          <w:sz w:val="26"/>
          <w:szCs w:val="26"/>
        </w:rPr>
        <w:t xml:space="preserve">2.4 Predicciones honestas (out-of-fold)</w:t>
      </w:r>
    </w:p>
    <w:p>
      <w:pPr>
        <w:spacing w:after="120"/>
      </w:pPr>
      <w:r>
        <w:t xml:space="preserve">Para cada paciente, se usa la predicción del modelo del fold en el que ese paciente estaba en validación, es decir, el único modelo que no le vio durante el entrenamiento. Esto evita métricas infladas y se llama predicción out-of-fold (OOF).</w:t>
      </w:r>
    </w:p>
    <w:p>
      <w:pPr>
        <w:pStyle w:val="Heading2"/>
        <w:spacing w:after="140" w:before="280"/>
      </w:pPr>
      <w:r>
        <w:rPr>
          <w:b/>
          <w:bCs/>
          <w:color w:val="13315C"/>
          <w:sz w:val="26"/>
          <w:szCs w:val="26"/>
        </w:rPr>
        <w:t xml:space="preserve">2.5 Fusión a nivel paciente</w:t>
      </w:r>
    </w:p>
    <w:p>
      <w:pPr>
        <w:spacing w:after="120"/>
      </w:pPr>
      <w:r>
        <w:t xml:space="preserve">Cada paciente acaba con cuatro probabilidades de ELA, una por músculo (la media de las imágenes de ese paciente en ese músculo). Esas cuatro probabilidades se fusionan en una sola probabilidad por paciente. La regla ganadora es la </w:t>
      </w:r>
      <w:r>
        <w:rPr>
          <w:b/>
          <w:bCs/>
        </w:rPr>
        <w:t xml:space="preserve">media simple</w:t>
      </w:r>
      <w:r>
        <w:t xml:space="preserve">, combinada con un umbral óptimo elegido por Youden (lo veremos en la sección estadística).</w:t>
      </w:r>
    </w:p>
    <w:p>
      <w:pPr>
        <w:pStyle w:val="Heading2"/>
        <w:spacing w:after="140" w:before="280"/>
      </w:pPr>
      <w:r>
        <w:rPr>
          <w:b/>
          <w:bCs/>
          <w:color w:val="13315C"/>
          <w:sz w:val="26"/>
          <w:szCs w:val="26"/>
        </w:rPr>
        <w:t xml:space="preserve">2.6 Decisión y explicabilidad</w:t>
      </w:r>
    </w:p>
    <w:p>
      <w:pPr>
        <w:spacing w:after="120"/>
      </w:pPr>
      <w:r>
        <w:t xml:space="preserve">La probabilidad fusionada se compara contra el umbral. Por encima → diagnóstico ELA. Por debajo → Control. Además se genera un mapa Grad-CAM que muestra dónde está mirando la red para tomar esa decisión, para que un médico pueda verificar que la atención cae sobre tejido muscular real y no sobre artefactos.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DA9C4" w:sz="1"/>
              <w:left w:val="single" w:color="13315C" w:sz="24"/>
              <w:bottom w:val="single" w:color="8DA9C4" w:sz="1"/>
              <w:right w:val="single" w:color="8DA9C4" w:sz="1"/>
            </w:tcBorders>
            <w:shd w:fill="EEF4ED" w:val="clear"/>
            <w:tcMar>
              <w:top w:type="dxa" w:w="160"/>
              <w:left w:type="dxa" w:w="200"/>
              <w:bottom w:type="dxa" w:w="160"/>
              <w:right w:type="dxa" w:w="200"/>
            </w:tcMar>
          </w:tcPr>
          <w:p>
            <w:r>
              <w:rPr>
                <w:b/>
                <w:bCs/>
                <w:color w:val="13315C"/>
                <w:sz w:val="18"/>
                <w:szCs w:val="18"/>
              </w:rPr>
              <w:t xml:space="preserve">IDEA CLAVE   </w:t>
            </w:r>
            <w:r>
              <w:rPr>
                <w:color w:val="1F2937"/>
                <w:sz w:val="22"/>
                <w:szCs w:val="22"/>
              </w:rPr>
              <w:t xml:space="preserve">Sobre los ROIs: el hospital ha confirmado que los ROIs no fueron seleccionados al azar — un especialista los marcó previamente como zonas de máxima reflexión ecográfica, donde el tejido muscular es más puro (sin grasa intramuscular, sin tejido conectivo, sin artefactos). Por lo tanto, cualquier activación que el modelo concentre dentro del ROI ya está cayendo sobre tejido muscular clínicamente significativo. Lo que el Grad-CAM aporta es ver qué patrones dentro de esa zona ya validada activan al modelo.</w:t>
            </w:r>
          </w:p>
        </w:tc>
      </w:tr>
    </w:tbl>
    <w:p>
      <w:pPr>
        <w:pStyle w:val="Heading2"/>
        <w:spacing w:after="140" w:before="280"/>
      </w:pPr>
      <w:r>
        <w:rPr>
          <w:b/>
          <w:bCs/>
          <w:color w:val="13315C"/>
          <w:sz w:val="26"/>
          <w:szCs w:val="26"/>
        </w:rPr>
        <w:t xml:space="preserve">2.7 Las cinco arquitecturas, una a una</w:t>
      </w:r>
    </w:p>
    <w:p>
      <w:pPr>
        <w:spacing w:after="120"/>
      </w:pPr>
      <w:r>
        <w:t xml:space="preserve">Todas las arquitecturas que entrenas son CNNs (redes convolucionales) pre-entrenadas en ImageNet. Lo que cambia entre ellas es </w:t>
      </w:r>
      <w:r>
        <w:t xml:space="preserve">cómo conectan las capas</w:t>
      </w:r>
      <w:r>
        <w:t xml:space="preserve"> y </w:t>
      </w:r>
      <w:r>
        <w:t xml:space="preserve">cómo escalan en tamaño y profundidad</w:t>
      </w:r>
      <w:r>
        <w:t xml:space="preserve">. Las explico de más simple a más reciente.</w:t>
      </w:r>
    </w:p>
    <w:p>
      <w:pPr>
        <w:pStyle w:val="Heading3"/>
        <w:spacing w:after="100" w:before="200"/>
      </w:pPr>
      <w:r>
        <w:rPr>
          <w:b/>
          <w:bCs/>
          <w:color w:val="13315C"/>
          <w:sz w:val="22"/>
          <w:szCs w:val="22"/>
        </w:rPr>
        <w:t xml:space="preserve">ResNet-18 y ResNet-50 (He et al., 2016)</w:t>
      </w:r>
    </w:p>
    <w:p>
      <w:pPr>
        <w:spacing w:after="120"/>
      </w:pPr>
      <w:r>
        <w:t xml:space="preserve">La familia ResNet introdujo las </w:t>
      </w:r>
      <w:r>
        <w:rPr>
          <w:b/>
          <w:bCs/>
        </w:rPr>
        <w:t xml:space="preserve">conexiones residuales o skip connections</w:t>
      </w:r>
      <w:r>
        <w:t xml:space="preserve">: además del flujo normal de capa→capa, hay un “atajo” que suma la entrada original a la salida varios niveles después. Visualmente, en cada bloque ocurre: salida = capa(entrada) + entrada. Eso permite entrenar redes muy profundas sin que se degraden los gradientes.</w:t>
      </w:r>
    </w:p>
    <w:p>
      <w:pPr>
        <w:spacing w:after="120"/>
      </w:pPr>
      <w:r>
        <w:t xml:space="preserve">ResNet-18 tiene 18 capas convolucionales y unos 11 millones de parámetros. ResNet-50 tiene 50 capas y unos 25 millones. La 50 es más expresiva pero requiere más datos para no sobreajustar — por eso es interesante que en tu caso (n=53) sea la ganadora: la elección de arquitectura no es trivial.</w:t>
      </w:r>
    </w:p>
    <w:p>
      <w:pPr>
        <w:pStyle w:val="Heading3"/>
        <w:spacing w:after="100" w:before="200"/>
      </w:pPr>
      <w:r>
        <w:rPr>
          <w:b/>
          <w:bCs/>
          <w:color w:val="13315C"/>
          <w:sz w:val="22"/>
          <w:szCs w:val="22"/>
        </w:rPr>
        <w:t xml:space="preserve">DenseNet-121 (Huang et al., 2017)</w:t>
      </w:r>
    </w:p>
    <w:p>
      <w:pPr>
        <w:spacing w:after="120"/>
      </w:pPr>
      <w:r>
        <w:t xml:space="preserve">Lleva el concepto de skip connection al extremo. En vez de saltar 2-3 capas como ResNet, </w:t>
      </w:r>
      <w:r>
        <w:rPr>
          <w:b/>
          <w:bCs/>
        </w:rPr>
        <w:t xml:space="preserve">cada capa recibe como entrada las activaciones de TODAS las capas anteriores</w:t>
      </w:r>
      <w:r>
        <w:t xml:space="preserve"> del mismo bloque. Así se reutilizan features a múltiples niveles de abstracción.</w:t>
      </w:r>
    </w:p>
    <w:p>
      <w:pPr>
        <w:spacing w:after="120"/>
      </w:pPr>
      <w:r>
        <w:t xml:space="preserve">Resultado: ~8 millones de parámetros (menos que ResNet-50) pero con muchas conexiones. En la práctica, da resultados muy parecidos a ResNet en tareas pequeñas.</w:t>
      </w:r>
    </w:p>
    <w:p>
      <w:pPr>
        <w:pStyle w:val="Heading3"/>
        <w:spacing w:after="100" w:before="200"/>
      </w:pPr>
      <w:r>
        <w:rPr>
          <w:b/>
          <w:bCs/>
          <w:color w:val="13315C"/>
          <w:sz w:val="22"/>
          <w:szCs w:val="22"/>
        </w:rPr>
        <w:t xml:space="preserve">EfficientNet-B0 (Tan &amp; Le, 2019)</w:t>
      </w:r>
    </w:p>
    <w:p>
      <w:pPr>
        <w:spacing w:after="120"/>
      </w:pPr>
      <w:r>
        <w:t xml:space="preserve">Este es distinto en filosofía. Tan y Le se preguntaron: cuando hago una red más grande para mejorar precisión, </w:t>
      </w:r>
      <w:r>
        <w:t xml:space="preserve">¿conviene aumentar profundidad, anchura o resolución de imagen?</w:t>
      </w:r>
      <w:r>
        <w:t xml:space="preserve"> La respuesta empírica que encontraron es: </w:t>
      </w:r>
      <w:r>
        <w:rPr>
          <w:b/>
          <w:bCs/>
        </w:rPr>
        <w:t xml:space="preserve">hay que escalar las tres a la vez en una proporción fija</w:t>
      </w:r>
      <w:r>
        <w:t xml:space="preserve"> — y a esto lo llamaron compound scaling.</w:t>
      </w:r>
    </w:p>
    <w:p>
      <w:pPr>
        <w:spacing w:after="120"/>
      </w:pPr>
      <w:r>
        <w:t xml:space="preserve">EfficientNet-B0 es la versión más pequeña de la familia (~5 millones de parámetros). Internamente usa bloques MBConv (mobile inverted bottleneck), que son convoluciones eficientes pensadas originalmente para móviles. La gracia es que con menos parámetros que ResNet-50 alcanza resultados comparables en ImageNet — de ahí el nombre Efficient.</w:t>
      </w:r>
    </w:p>
    <w:p>
      <w:pPr>
        <w:spacing w:after="120"/>
      </w:pPr>
      <w:r>
        <w:t xml:space="preserve">Por qué te interesa en el TFG: con poco dataset (n=53), una red eficiente y pequeña debería sobreajustar menos. Sale entre las top-3 en tu informe estadístico.</w:t>
      </w:r>
    </w:p>
    <w:p>
      <w:pPr>
        <w:pStyle w:val="Heading3"/>
        <w:spacing w:after="100" w:before="200"/>
      </w:pPr>
      <w:r>
        <w:rPr>
          <w:b/>
          <w:bCs/>
          <w:color w:val="13315C"/>
          <w:sz w:val="22"/>
          <w:szCs w:val="22"/>
        </w:rPr>
        <w:t xml:space="preserve">ConvNeXt-Tiny (Liu et al., 2022)</w:t>
      </w:r>
    </w:p>
    <w:p>
      <w:pPr>
        <w:spacing w:after="120"/>
      </w:pPr>
      <w:r>
        <w:t xml:space="preserve">La más reciente y la más interesante de explicar. Liu et al. se preguntaron: tras la moda de los Vision Transformers (ViT), </w:t>
      </w:r>
      <w:r>
        <w:t xml:space="preserve">¿una CNN bien diseñada con conceptos modernos podría competir con un ViT?</w:t>
      </w:r>
      <w:r>
        <w:t xml:space="preserve"> Para responder, cogieron una ResNet-50 y le aplicaron iterativamente todas las decisiones de diseño que hacen funcionar bien a los ViT, manteniendo la esencia convolucional.</w:t>
      </w:r>
    </w:p>
    <w:p>
      <w:pPr>
        <w:spacing w:after="120"/>
      </w:pPr>
      <w:r>
        <w:t xml:space="preserve">Las modificaciones clave son:</w:t>
      </w:r>
    </w:p>
    <w:p>
      <w:pPr>
        <w:spacing w:after="120"/>
      </w:pPr>
      <w:r>
        <w:rPr>
          <w:b/>
          <w:bCs/>
        </w:rPr>
        <w:t xml:space="preserve">· </w:t>
      </w:r>
      <w:r>
        <w:rPr>
          <w:b/>
          <w:bCs/>
        </w:rPr>
        <w:t xml:space="preserve">Convoluciones depthwise con kernels grandes (7×7)</w:t>
      </w:r>
      <w:r>
        <w:t xml:space="preserve"> en vez de las clásicas 3×3 — emula el “self-attention” global de los ViT con un receptive field amplio.</w:t>
      </w:r>
      <w:r>
        <w:rPr>
          <w:b/>
          <w:bCs/>
        </w:rPr>
        <w:t xml:space="preserve">· </w:t>
      </w:r>
      <w:r>
        <w:rPr>
          <w:b/>
          <w:bCs/>
        </w:rPr>
        <w:t xml:space="preserve">Activación GELU en vez de ReLU</w:t>
      </w:r>
      <w:r>
        <w:t xml:space="preserve"> — más suave, evita los “muertos” típicos de ReLU.</w:t>
      </w:r>
      <w:r>
        <w:rPr>
          <w:b/>
          <w:bCs/>
        </w:rPr>
        <w:t xml:space="preserve">· </w:t>
      </w:r>
      <w:r>
        <w:rPr>
          <w:b/>
          <w:bCs/>
        </w:rPr>
        <w:t xml:space="preserve">Menos capas de normalización</w:t>
      </w:r>
      <w:r>
        <w:t xml:space="preserve"> y solo una al final de cada bloque (como en los ViT).</w:t>
      </w:r>
      <w:r>
        <w:rPr>
          <w:b/>
          <w:bCs/>
        </w:rPr>
        <w:t xml:space="preserve">· </w:t>
      </w:r>
      <w:r>
        <w:rPr>
          <w:b/>
          <w:bCs/>
        </w:rPr>
        <w:t xml:space="preserve">Anchura intermedia mayor en cada bloque</w:t>
      </w:r>
      <w:r>
        <w:t xml:space="preserve"> antes de comprimir — patrón “inverted bottleneck” heredado de MobileNet/EfficientNet.</w:t>
      </w:r>
    </w:p>
    <w:p>
      <w:pPr>
        <w:spacing w:after="120"/>
      </w:pPr>
      <w:r>
        <w:t xml:space="preserve">Resultado: ConvNeXt-Tiny tiene ~29 millones de parámetros y rinde a la altura de un Swin Transformer Tiny en ImageNet, pero con código mucho más simple porque sigue siendo una CNN pura. Para tu caso (imagen médica con dataset pequeño), es interesante porque hereda la robustez de las CNNs y los buenos diseños recientes a la vez.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DA9C4" w:sz="1"/>
              <w:left w:val="single" w:color="13315C" w:sz="24"/>
              <w:bottom w:val="single" w:color="8DA9C4" w:sz="1"/>
              <w:right w:val="single" w:color="8DA9C4" w:sz="1"/>
            </w:tcBorders>
            <w:shd w:fill="EEF4ED" w:val="clear"/>
            <w:tcMar>
              <w:top w:type="dxa" w:w="160"/>
              <w:left w:type="dxa" w:w="200"/>
              <w:bottom w:type="dxa" w:w="160"/>
              <w:right w:type="dxa" w:w="200"/>
            </w:tcMar>
          </w:tcPr>
          <w:p>
            <w:r>
              <w:rPr>
                <w:b/>
                <w:bCs/>
                <w:color w:val="13315C"/>
                <w:sz w:val="18"/>
                <w:szCs w:val="18"/>
              </w:rPr>
              <w:t xml:space="preserve">IDEA CLAVE   </w:t>
            </w:r>
            <w:r>
              <w:rPr>
                <w:color w:val="1F2937"/>
                <w:sz w:val="22"/>
                <w:szCs w:val="22"/>
              </w:rPr>
              <w:t xml:space="preserve">La razón de probar 5 arquitecturas no es por exhaustividad académica, es porque NO sabes a priori cuál va a ganar con n=53. Una red enorme puede sobreajustar; una pequeña puede no captar suficiente patrón. Probar 5 te da margen y permite hacer comparaciones estadísticas (DeLong / Wilcoxon) entre ellas.</w:t>
            </w:r>
          </w:p>
        </w:tc>
      </w:tr>
    </w:tbl>
    <w:p>
      <w:pPr>
        <w:pStyle w:val="Heading1"/>
        <w:spacing w:after="180" w:before="360"/>
      </w:pPr>
      <w:r>
        <w:rPr>
          <w:b/>
          <w:bCs/>
          <w:color w:val="0B2545"/>
          <w:sz w:val="32"/>
          <w:szCs w:val="32"/>
        </w:rPr>
        <w:t xml:space="preserve">3. Conceptos estadísticos · la sección que más se olvida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DA9C4" w:sz="1"/>
              <w:left w:val="single" w:color="13315C" w:sz="24"/>
              <w:bottom w:val="single" w:color="8DA9C4" w:sz="1"/>
              <w:right w:val="single" w:color="8DA9C4" w:sz="1"/>
            </w:tcBorders>
            <w:shd w:fill="EEF4ED" w:val="clear"/>
            <w:tcMar>
              <w:top w:type="dxa" w:w="160"/>
              <w:left w:type="dxa" w:w="200"/>
              <w:bottom w:type="dxa" w:w="160"/>
              <w:right w:type="dxa" w:w="200"/>
            </w:tcMar>
          </w:tcPr>
          <w:p>
            <w:r>
              <w:rPr>
                <w:b/>
                <w:bCs/>
                <w:color w:val="13315C"/>
                <w:sz w:val="18"/>
                <w:szCs w:val="18"/>
              </w:rPr>
              <w:t xml:space="preserve">IDEA CLAVE   </w:t>
            </w:r>
            <w:r>
              <w:rPr>
                <w:color w:val="1F2937"/>
                <w:sz w:val="22"/>
                <w:szCs w:val="22"/>
              </w:rPr>
              <w:t xml:space="preserve">Toda la estadística que hacemos sirve para una cosa: poner números a la incertidumbre. No basta con decir “mi modelo tiene AUC 0.97”; hay que decir “estoy 95 % seguro de que está entre 0.94 y 1.00”. Eso es lo que diferencia un experimento de ML de un análisis científico publicable.</w:t>
            </w:r>
          </w:p>
        </w:tc>
      </w:tr>
    </w:tbl>
    <w:p>
      <w:pPr>
        <w:pStyle w:val="Heading2"/>
        <w:spacing w:after="140" w:before="280"/>
      </w:pPr>
      <w:r>
        <w:rPr>
          <w:b/>
          <w:bCs/>
          <w:color w:val="13315C"/>
          <w:sz w:val="26"/>
          <w:szCs w:val="26"/>
        </w:rPr>
        <w:t xml:space="preserve">3.1 AUC: la métrica que lo gobierna todo</w:t>
      </w:r>
    </w:p>
    <w:p>
      <w:pPr>
        <w:spacing w:after="120"/>
      </w:pPr>
      <w:r>
        <w:t xml:space="preserve">AUC significa “Area Under the (ROC) Curve”. Es la probabilidad de que, si coges al azar un paciente con ELA y un paciente Control, el modelo asigne mayor probabilidad de ELA al verdadero ELA. </w:t>
      </w:r>
    </w:p>
    <w:p>
      <w:pPr>
        <w:spacing w:after="120"/>
      </w:pPr>
      <w:r>
        <w:t xml:space="preserve">· AUC = 1.00 → modelo perfecto, separa perfectamente las dos clases.</w:t>
      </w:r>
      <w:r>
        <w:t xml:space="preserve">· AUC = 0.50 → modelo inútil, equivale a tirar una moneda.</w:t>
      </w:r>
      <w:r>
        <w:t xml:space="preserve">· AUC = 0.95 → muy bueno, separa bien aunque no perfectamente.</w:t>
      </w:r>
    </w:p>
    <w:p>
      <w:pPr>
        <w:spacing w:after="120"/>
      </w:pPr>
      <w:r>
        <w:t xml:space="preserve">Es la métrica preferida en problemas médicos porque no depende del umbral elegido para decir “esto es ELA” — mide la capacidad discriminativa del modelo en sí. Por eso aparece en todos los papers de la zona.</w:t>
      </w:r>
    </w:p>
    <w:p>
      <w:pPr>
        <w:pStyle w:val="Heading2"/>
        <w:spacing w:after="140" w:before="280"/>
      </w:pPr>
      <w:r>
        <w:rPr>
          <w:b/>
          <w:bCs/>
          <w:color w:val="13315C"/>
          <w:sz w:val="26"/>
          <w:szCs w:val="26"/>
        </w:rPr>
        <w:t xml:space="preserve">3.2 Por qué no basta con un solo número: el intervalo de confianza</w:t>
      </w:r>
    </w:p>
    <w:p>
      <w:pPr>
        <w:spacing w:after="120"/>
      </w:pPr>
      <w:r>
        <w:t xml:space="preserve">Cuando entrenas con CV de 5 folds, no obtienes un solo AUC, obtienes cinco. Por ejemplo: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tcPr>
          <w:p>
            <w:pPr>
              <w:spacing w:after="80"/>
            </w:pPr>
            <w:r>
              <w:rPr>
                <w:b/>
                <w:bCs/>
                <w:color w:val="13315C"/>
                <w:sz w:val="20"/>
                <w:szCs w:val="20"/>
              </w:rPr>
              <w:t xml:space="preserve">Ejemplo numérico</w:t>
            </w:r>
          </w:p>
          <w:p>
            <w:pPr>
              <w:spacing w:after="60"/>
            </w:pPr>
            <w:r>
              <w:rPr>
                <w:rFonts w:ascii="Consolas" w:cs="Consolas" w:eastAsia="Consolas" w:hAnsi="Consolas"/>
                <w:color w:val="1F2937"/>
                <w:sz w:val="18"/>
                <w:szCs w:val="18"/>
              </w:rPr>
              <w:t xml:space="preserve">Fold 1:  AUC = 0.94</w:t>
            </w:r>
          </w:p>
          <w:p>
            <w:pPr>
              <w:spacing w:after="60"/>
            </w:pPr>
            <w:r>
              <w:rPr>
                <w:rFonts w:ascii="Consolas" w:cs="Consolas" w:eastAsia="Consolas" w:hAnsi="Consolas"/>
                <w:color w:val="1F2937"/>
                <w:sz w:val="18"/>
                <w:szCs w:val="18"/>
              </w:rPr>
              <w:t xml:space="preserve">Fold 2:  AUC = 0.99</w:t>
            </w:r>
          </w:p>
          <w:p>
            <w:pPr>
              <w:spacing w:after="60"/>
            </w:pPr>
            <w:r>
              <w:rPr>
                <w:rFonts w:ascii="Consolas" w:cs="Consolas" w:eastAsia="Consolas" w:hAnsi="Consolas"/>
                <w:color w:val="1F2937"/>
                <w:sz w:val="18"/>
                <w:szCs w:val="18"/>
              </w:rPr>
              <w:t xml:space="preserve">Fold 3:  AUC = 0.97</w:t>
            </w:r>
          </w:p>
          <w:p>
            <w:pPr>
              <w:spacing w:after="60"/>
            </w:pPr>
            <w:r>
              <w:rPr>
                <w:rFonts w:ascii="Consolas" w:cs="Consolas" w:eastAsia="Consolas" w:hAnsi="Consolas"/>
                <w:color w:val="1F2937"/>
                <w:sz w:val="18"/>
                <w:szCs w:val="18"/>
              </w:rPr>
              <w:t xml:space="preserve">Fold 4:  AUC = 1.00</w:t>
            </w:r>
          </w:p>
          <w:p>
            <w:pPr>
              <w:spacing w:after="60"/>
            </w:pPr>
            <w:r>
              <w:rPr>
                <w:rFonts w:ascii="Consolas" w:cs="Consolas" w:eastAsia="Consolas" w:hAnsi="Consolas"/>
                <w:color w:val="1F2937"/>
                <w:sz w:val="18"/>
                <w:szCs w:val="18"/>
              </w:rPr>
              <w:t xml:space="preserve">Fold 5:  AUC = 0.96</w:t>
            </w:r>
          </w:p>
          <w:p>
            <w:pPr>
              <w:spacing w:after="60"/>
            </w:pPr>
            <w:r>
              <w:rPr>
                <w:rFonts w:ascii="Consolas" w:cs="Consolas" w:eastAsia="Consolas" w:hAnsi="Consolas"/>
                <w:color w:val="1F2937"/>
                <w:sz w:val="18"/>
                <w:szCs w:val="18"/>
              </w:rPr>
              <w:t xml:space="preserve">         ─────────</w:t>
            </w:r>
          </w:p>
          <w:p>
            <w:pPr>
              <w:spacing w:after="60"/>
            </w:pPr>
            <w:r>
              <w:rPr>
                <w:rFonts w:ascii="Consolas" w:cs="Consolas" w:eastAsia="Consolas" w:hAnsi="Consolas"/>
                <w:color w:val="1F2937"/>
                <w:sz w:val="18"/>
                <w:szCs w:val="18"/>
              </w:rPr>
              <w:t xml:space="preserve">Media =  0.972</w:t>
            </w:r>
          </w:p>
        </w:tc>
      </w:tr>
    </w:tbl>
    <w:p>
      <w:pPr>
        <w:spacing w:after="120"/>
      </w:pPr>
      <w:r>
        <w:t xml:space="preserve">La pregunta es: si mañana repites el experimento con 53 pacientes nuevos, ¿qué AUC esperas? Probablemente no exactamente 0.972 — algo parecido. El intervalo de confianza al 95 % (IC95 %) te dice ese rango plausible.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DA9C4" w:sz="1"/>
              <w:left w:val="single" w:color="13315C" w:sz="24"/>
              <w:bottom w:val="single" w:color="8DA9C4" w:sz="1"/>
              <w:right w:val="single" w:color="8DA9C4" w:sz="1"/>
            </w:tcBorders>
            <w:shd w:fill="EEF4ED" w:val="clear"/>
            <w:tcMar>
              <w:top w:type="dxa" w:w="160"/>
              <w:left w:type="dxa" w:w="200"/>
              <w:bottom w:type="dxa" w:w="160"/>
              <w:right w:type="dxa" w:w="200"/>
            </w:tcMar>
          </w:tcPr>
          <w:p>
            <w:r>
              <w:rPr>
                <w:b/>
                <w:bCs/>
                <w:color w:val="13315C"/>
                <w:sz w:val="18"/>
                <w:szCs w:val="18"/>
              </w:rPr>
              <w:t xml:space="preserve">IDEA CLAVE   </w:t>
            </w:r>
            <w:r>
              <w:rPr>
                <w:color w:val="1F2937"/>
                <w:sz w:val="22"/>
                <w:szCs w:val="22"/>
              </w:rPr>
              <w:t xml:space="preserve">Reportar “AUC = 0.972 [IC95 % 0.94 – 1.00]” es mucho más honesto que reportar “AUC = 0.972”.</w:t>
            </w:r>
          </w:p>
        </w:tc>
      </w:tr>
    </w:tbl>
    <w:p>
      <w:pPr>
        <w:pStyle w:val="Heading2"/>
        <w:spacing w:after="140" w:before="280"/>
      </w:pPr>
      <w:r>
        <w:rPr>
          <w:b/>
          <w:bCs/>
          <w:color w:val="13315C"/>
          <w:sz w:val="26"/>
          <w:szCs w:val="26"/>
        </w:rPr>
        <w:t xml:space="preserve">3.3 Cómo se calcula el IC: método t-Student</w:t>
      </w:r>
    </w:p>
    <w:p>
      <w:pPr>
        <w:spacing w:after="120"/>
      </w:pPr>
      <w:r>
        <w:t xml:space="preserve">La fórmula es: </w:t>
      </w:r>
    </w:p>
    <w:p>
      <w:pPr>
        <w:spacing w:after="120"/>
      </w:pPr>
      <w:r>
        <w:rPr>
          <w:rFonts w:ascii="Consolas" w:cs="Consolas" w:eastAsia="Consolas" w:hAnsi="Consolas"/>
          <w:b/>
          <w:bCs/>
          <w:color w:val="0B2545"/>
        </w:rPr>
        <w:t xml:space="preserve">IC95 % = media ± t · (std / √n)</w:t>
      </w:r>
    </w:p>
    <w:p>
      <w:pPr>
        <w:spacing w:after="120"/>
      </w:pPr>
      <w:r>
        <w:t xml:space="preserve">Cada pieza, con tu ejemplo de 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tcPr>
          <w:p>
            <w:pPr>
              <w:spacing w:after="80"/>
            </w:pPr>
            <w:r>
              <w:rPr>
                <w:b/>
                <w:bCs/>
                <w:color w:val="13315C"/>
                <w:sz w:val="20"/>
                <w:szCs w:val="20"/>
              </w:rPr>
              <w:t xml:space="preserve">Ejemplo numérico</w:t>
            </w:r>
          </w:p>
          <w:p>
            <w:pPr>
              <w:spacing w:after="60"/>
            </w:pPr>
            <w:r>
              <w:rPr>
                <w:rFonts w:ascii="Consolas" w:cs="Consolas" w:eastAsia="Consolas" w:hAnsi="Consolas"/>
                <w:color w:val="1F2937"/>
                <w:sz w:val="18"/>
                <w:szCs w:val="18"/>
              </w:rPr>
              <w:t xml:space="preserve">media     = 0.972    (la media de los 5 AUCs)</w:t>
            </w:r>
          </w:p>
          <w:p>
            <w:pPr>
              <w:spacing w:after="60"/>
            </w:pPr>
            <w:r>
              <w:rPr>
                <w:rFonts w:ascii="Consolas" w:cs="Consolas" w:eastAsia="Consolas" w:hAnsi="Consolas"/>
                <w:color w:val="1F2937"/>
                <w:sz w:val="18"/>
                <w:szCs w:val="18"/>
              </w:rPr>
              <w:t xml:space="preserve">std       = 0.024    (cómo de dispersos están entre sí)</w:t>
            </w:r>
          </w:p>
          <w:p>
            <w:pPr>
              <w:spacing w:after="60"/>
            </w:pPr>
            <w:r>
              <w:rPr>
                <w:rFonts w:ascii="Consolas" w:cs="Consolas" w:eastAsia="Consolas" w:hAnsi="Consolas"/>
                <w:color w:val="1F2937"/>
                <w:sz w:val="18"/>
                <w:szCs w:val="18"/>
              </w:rPr>
              <w:t xml:space="preserve">n         = 5        (cuántos folds)</w:t>
            </w:r>
          </w:p>
          <w:p>
            <w:pPr>
              <w:spacing w:after="60"/>
            </w:pPr>
            <w:r>
              <w:rPr>
                <w:rFonts w:ascii="Consolas" w:cs="Consolas" w:eastAsia="Consolas" w:hAnsi="Consolas"/>
                <w:color w:val="1F2937"/>
                <w:sz w:val="18"/>
                <w:szCs w:val="18"/>
              </w:rPr>
              <w:t xml:space="preserve">t         = 2.776    (multiplicador de la tabla t-Student)</w:t>
            </w:r>
          </w:p>
          <w:p>
            <w:pPr>
              <w:spacing w:after="60"/>
            </w:pPr>
            <w:r>
              <w:rPr>
                <w:rFonts w:ascii="Consolas" w:cs="Consolas" w:eastAsia="Consolas" w:hAnsi="Consolas"/>
                <w:color w:val="1F2937"/>
                <w:sz w:val="18"/>
                <w:szCs w:val="18"/>
              </w:rPr>
              <w:t xml:space="preserve"/>
            </w:r>
          </w:p>
          <w:p>
            <w:pPr>
              <w:spacing w:after="60"/>
            </w:pPr>
            <w:r>
              <w:rPr>
                <w:rFonts w:ascii="Consolas" w:cs="Consolas" w:eastAsia="Consolas" w:hAnsi="Consolas"/>
                <w:color w:val="1F2937"/>
                <w:sz w:val="18"/>
                <w:szCs w:val="18"/>
              </w:rPr>
              <w:t xml:space="preserve">IC95 % = 0.972 ± 2.776 · (0.024 / √5)</w:t>
            </w:r>
          </w:p>
          <w:p>
            <w:pPr>
              <w:spacing w:after="60"/>
            </w:pPr>
            <w:r>
              <w:rPr>
                <w:rFonts w:ascii="Consolas" w:cs="Consolas" w:eastAsia="Consolas" w:hAnsi="Consolas"/>
                <w:color w:val="1F2937"/>
                <w:sz w:val="18"/>
                <w:szCs w:val="18"/>
              </w:rPr>
              <w:t xml:space="preserve">       = 0.972 ± 0.030</w:t>
            </w:r>
          </w:p>
          <w:p>
            <w:pPr>
              <w:spacing w:after="60"/>
            </w:pPr>
            <w:r>
              <w:rPr>
                <w:rFonts w:ascii="Consolas" w:cs="Consolas" w:eastAsia="Consolas" w:hAnsi="Consolas"/>
                <w:color w:val="1F2937"/>
                <w:sz w:val="18"/>
                <w:szCs w:val="18"/>
              </w:rPr>
              <w:t xml:space="preserve">       = [0.942, 1.000]</w:t>
            </w:r>
          </w:p>
        </w:tc>
      </w:tr>
    </w:tbl>
    <w:p>
      <w:pPr>
        <w:spacing w:after="120"/>
      </w:pPr>
      <w:r>
        <w:t xml:space="preserve">Detalle clave del factor t: cuando tienes pocos datos (como tú, con n=5 folds), t es más grande (2.776) que cuando tienes muchos (~1.96 con n→∞). Esto ensancha el intervalo y te penaliza por tener poca información, que es lo correcto.</w:t>
      </w:r>
    </w:p>
    <w:p>
      <w:pPr>
        <w:pStyle w:val="Heading2"/>
        <w:spacing w:after="140" w:before="280"/>
      </w:pPr>
      <w:r>
        <w:rPr>
          <w:b/>
          <w:bCs/>
          <w:color w:val="13315C"/>
          <w:sz w:val="26"/>
          <w:szCs w:val="26"/>
        </w:rPr>
        <w:t xml:space="preserve">3.4 Bootstrap: el método sin fórmulas</w:t>
      </w:r>
    </w:p>
    <w:p>
      <w:pPr>
        <w:spacing w:after="120"/>
      </w:pPr>
      <w:r>
        <w:t xml:space="preserve">El bootstrap es una alternativa al t-Student que no asume ninguna distribución. La idea: </w:t>
      </w:r>
    </w:p>
    <w:p>
      <w:pPr>
        <w:spacing w:after="120"/>
      </w:pPr>
      <w:r>
        <w:t xml:space="preserve">1. Coges tus 5 AUCs.</w:t>
      </w:r>
      <w:r>
        <w:t xml:space="preserve">2. Sorteas 5 valores con reemplazo (puedes repetir alguno y dejar otros fuera). Calculas la media de esa muestra.</w:t>
      </w:r>
      <w:r>
        <w:t xml:space="preserve">3. Repites el sorteo 1000 veces. Acabas con 1000 medias simuladas.</w:t>
      </w:r>
      <w:r>
        <w:t xml:space="preserve">4. Ordenas esas medias y coges los percentiles 2.5 y 97.5.</w:t>
      </w:r>
      <w:r>
        <w:t xml:space="preserve">5. Esos dos números son los extremos del IC95 % bootstrap.</w:t>
      </w:r>
    </w:p>
    <w:p>
      <w:pPr>
        <w:spacing w:after="120"/>
      </w:pPr>
      <w:r>
        <w:t xml:space="preserve">¿Por qué reportamos los DOS métodos (t-Student y bootstrap) en paralelo? Porque si coinciden, te da doble validación: el intervalo es robusto. Si divergen mucho, sabrías que algo raro pasa con la distribución de tus folds. En tu caso coinciden bien → buena señal.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DA9C4" w:sz="1"/>
              <w:left w:val="single" w:color="13315C" w:sz="24"/>
              <w:bottom w:val="single" w:color="8DA9C4" w:sz="1"/>
              <w:right w:val="single" w:color="8DA9C4" w:sz="1"/>
            </w:tcBorders>
            <w:shd w:fill="EEF4ED" w:val="clear"/>
            <w:tcMar>
              <w:top w:type="dxa" w:w="160"/>
              <w:left w:type="dxa" w:w="200"/>
              <w:bottom w:type="dxa" w:w="160"/>
              <w:right w:type="dxa" w:w="200"/>
            </w:tcMar>
          </w:tcPr>
          <w:p>
            <w:r>
              <w:rPr>
                <w:b/>
                <w:bCs/>
                <w:color w:val="13315C"/>
                <w:sz w:val="18"/>
                <w:szCs w:val="18"/>
              </w:rPr>
              <w:t xml:space="preserve">IDEA CLAVE   </w:t>
            </w:r>
            <w:r>
              <w:rPr>
                <w:color w:val="1F2937"/>
                <w:sz w:val="22"/>
                <w:szCs w:val="22"/>
              </w:rPr>
              <w:t xml:space="preserve">Truco mental: t-Student es la calculadora científica (asume normalidad y aplica fórmula). Bootstrap es la simulación de Monte Carlo (sortea muchas veces y mira). Llegan al mismo destino por caminos distintos.</w:t>
            </w:r>
          </w:p>
        </w:tc>
      </w:tr>
    </w:tbl>
    <w:p>
      <w:pPr>
        <w:pStyle w:val="Heading2"/>
        <w:spacing w:after="140" w:before="280"/>
      </w:pPr>
      <w:r>
        <w:rPr>
          <w:b/>
          <w:bCs/>
          <w:color w:val="13315C"/>
          <w:sz w:val="26"/>
          <w:szCs w:val="26"/>
        </w:rPr>
        <w:t xml:space="preserve">3.5 Youden's J: por qué el umbral 0.5 es arbitrario</w:t>
      </w:r>
    </w:p>
    <w:p>
      <w:pPr>
        <w:spacing w:after="120"/>
      </w:pPr>
      <w:r>
        <w:t xml:space="preserve">Tu modelo no dice “ELA sí/no”, dice “P(ELA) = 0.73”. Para convertir esa probabilidad en diagnóstico binario hace falta un umbral. Por convención se usa 0.5, pero NADA lo justifica científicamente.</w:t>
      </w:r>
    </w:p>
    <w:p>
      <w:pPr>
        <w:spacing w:after="120"/>
      </w:pPr>
      <w:r>
        <w:t xml:space="preserve">El problema: si tu modelo separa bien las clases pero las probabilidades están “encogidas” hacia el centro, el umbral 0.5 puede dejar fuera muchos enfermos. Este era exactamente tu caso al principio: AUC altísimo (~0.99) pero sensibilidad baja (~67 %) porque varios ELA tenían P(ELA) entre 0.45 y 0.50.</w:t>
      </w:r>
    </w:p>
    <w:p>
      <w:pPr>
        <w:spacing w:after="120"/>
      </w:pPr>
      <w:r>
        <w:t xml:space="preserve">Youden propone elegir el umbral que maximiza:</w:t>
      </w:r>
    </w:p>
    <w:p>
      <w:pPr>
        <w:spacing w:after="120"/>
      </w:pPr>
      <w:r>
        <w:rPr>
          <w:rFonts w:ascii="Consolas" w:cs="Consolas" w:eastAsia="Consolas" w:hAnsi="Consolas"/>
          <w:b/>
          <w:bCs/>
          <w:color w:val="0B2545"/>
        </w:rPr>
        <w:t xml:space="preserve">J = Sensibilidad + Especificidad − 1</w:t>
      </w:r>
    </w:p>
    <w:p>
      <w:pPr>
        <w:spacing w:after="120"/>
      </w:pPr>
      <w:r>
        <w:t xml:space="preserve">· Si tu clasificador es perfecto: J = 1 + 1 − 1 = 1.</w:t>
      </w:r>
      <w:r>
        <w:t xml:space="preserve">· Si es inútil: J = 0.5 + 0.5 − 1 = 0.</w:t>
      </w:r>
      <w:r>
        <w:t xml:space="preserve">· Cuanto mayor J, mejor balance entre Sens y Spec.</w:t>
      </w:r>
    </w:p>
    <w:p>
      <w:pPr>
        <w:spacing w:after="120"/>
      </w:pPr>
      <w:r>
        <w:t xml:space="preserve">El algoritmo prueba todos los umbrales (0.01, 0.02, ..., 0.99), calcula J en cada uno y se queda con el que dé el J más alto. Para ResNet-50 en tu sistema final, el umbral óptimo resultó ser 0.475 en vez de 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tcPr>
          <w:p>
            <w:pPr>
              <w:spacing w:after="80"/>
            </w:pPr>
            <w:r>
              <w:rPr>
                <w:b/>
                <w:bCs/>
                <w:color w:val="13315C"/>
                <w:sz w:val="20"/>
                <w:szCs w:val="20"/>
              </w:rPr>
              <w:t xml:space="preserve">Ejemplo numérico</w:t>
            </w:r>
          </w:p>
          <w:p>
            <w:pPr>
              <w:spacing w:after="60"/>
            </w:pPr>
            <w:r>
              <w:rPr>
                <w:rFonts w:ascii="Consolas" w:cs="Consolas" w:eastAsia="Consolas" w:hAnsi="Consolas"/>
                <w:color w:val="1F2937"/>
                <w:sz w:val="18"/>
                <w:szCs w:val="18"/>
              </w:rPr>
              <w:t xml:space="preserve">ResNet-50 con umbral 0.500:  Sens = 66.67%   Spec = 100%</w:t>
            </w:r>
          </w:p>
          <w:p>
            <w:pPr>
              <w:spacing w:after="60"/>
            </w:pPr>
            <w:r>
              <w:rPr>
                <w:rFonts w:ascii="Consolas" w:cs="Consolas" w:eastAsia="Consolas" w:hAnsi="Consolas"/>
                <w:color w:val="1F2937"/>
                <w:sz w:val="18"/>
                <w:szCs w:val="18"/>
              </w:rPr>
              <w:t xml:space="preserve">ResNet-50 con umbral 0.475:  Sens = 96.30%   Spec = 100%</w:t>
            </w:r>
          </w:p>
          <w:p>
            <w:pPr>
              <w:spacing w:after="60"/>
            </w:pPr>
            <w:r>
              <w:rPr>
                <w:rFonts w:ascii="Consolas" w:cs="Consolas" w:eastAsia="Consolas" w:hAnsi="Consolas"/>
                <w:color w:val="1F2937"/>
                <w:sz w:val="18"/>
                <w:szCs w:val="18"/>
              </w:rPr>
              <w:t xml:space="preserve">                              ↑ misma red, mismos pacientes,</w:t>
            </w:r>
          </w:p>
          <w:p>
            <w:pPr>
              <w:spacing w:after="60"/>
            </w:pPr>
            <w:r>
              <w:rPr>
                <w:rFonts w:ascii="Consolas" w:cs="Consolas" w:eastAsia="Consolas" w:hAnsi="Consolas"/>
                <w:color w:val="1F2937"/>
                <w:sz w:val="18"/>
                <w:szCs w:val="18"/>
              </w:rPr>
              <w:t xml:space="preserve">                                solo cambia el umbral</w:t>
            </w:r>
          </w:p>
        </w:tc>
      </w:tr>
    </w:tbl>
    <w:p>
      <w:pPr>
        <w:pStyle w:val="Heading2"/>
        <w:spacing w:after="140" w:before="280"/>
      </w:pPr>
      <w:r>
        <w:rPr>
          <w:b/>
          <w:bCs/>
          <w:color w:val="13315C"/>
          <w:sz w:val="26"/>
          <w:szCs w:val="26"/>
        </w:rPr>
        <w:t xml:space="preserve">3.6 Comparación contra Martínez-Payá: test de equivalencia</w:t>
      </w:r>
    </w:p>
    <w:p>
      <w:pPr>
        <w:spacing w:after="120"/>
      </w:pPr>
      <w:r>
        <w:t xml:space="preserve">Con el baseline solo tienes UN número (el AUC publicado), no las predicciones individuales. Por eso no puedes hacer un test pareado clásico. Lo que se hace es ver dónde cae el AUC del baseline respecto a tu IC95 %:</w:t>
      </w:r>
    </w:p>
    <w:p>
      <w:pPr>
        <w:spacing w:after="120"/>
      </w:pPr>
      <w:r>
        <w:t xml:space="preserve">· Baseline POR DEBAJO de tu IC → tu modelo es estadísticamente superior.</w:t>
      </w:r>
      <w:r>
        <w:t xml:space="preserve">· Baseline DENTRO de tu IC → equivalente / no concluyente. Tu modelo no se distingue del baseline con la potencia estadística disponible.</w:t>
      </w:r>
      <w:r>
        <w:t xml:space="preserve">· Baseline POR ENCIMA de tu IC → tu modelo es estadísticamente inferior.</w:t>
      </w:r>
    </w:p>
    <w:p>
      <w:pPr>
        <w:spacing w:after="120"/>
      </w:pPr>
      <w:r>
        <w:t xml:space="preserve">En tu caso, los modelos individuales (un solo músculo) son “equivalentes / no concluyentes” respecto al baseline. La mejora real viene de la fusión a nivel paciente, no de mejorar cada modelo aislado.</w:t>
      </w:r>
    </w:p>
    <w:p>
      <w:pPr>
        <w:pStyle w:val="Heading2"/>
        <w:spacing w:after="140" w:before="280"/>
      </w:pPr>
      <w:r>
        <w:rPr>
          <w:b/>
          <w:bCs/>
          <w:color w:val="13315C"/>
          <w:sz w:val="26"/>
          <w:szCs w:val="26"/>
        </w:rPr>
        <w:t xml:space="preserve">3.7 Datos pareados: por qué importan</w:t>
      </w:r>
    </w:p>
    <w:p>
      <w:pPr>
        <w:spacing w:after="120"/>
      </w:pPr>
      <w:r>
        <w:t xml:space="preserve">Cuando comparas dos modelos tuyos (ej. ResNet-50 vs DenseNet-121), los dos han predicho sobre los </w:t>
      </w:r>
      <w:r>
        <w:rPr>
          <w:b/>
          <w:bCs/>
        </w:rPr>
        <w:t xml:space="preserve">MISMOS pacientes</w:t>
      </w:r>
      <w:r>
        <w:t xml:space="preserve">. Esto se llama </w:t>
      </w:r>
      <w:r>
        <w:rPr>
          <w:b/>
          <w:bCs/>
        </w:rPr>
        <w:t xml:space="preserve">datos pareados</w:t>
      </w:r>
      <w:r>
        <w:t xml:space="preserve"> y permite usar tests más potentes que si fueran datos independientes.</w:t>
      </w:r>
    </w:p>
    <w:p>
      <w:pPr>
        <w:spacing w:after="120"/>
      </w:pPr>
      <w:r>
        <w:t xml:space="preserve">¿Por qué más potentes? Porque al ser los mismos pacientes, la </w:t>
      </w:r>
      <w:r>
        <w:t xml:space="preserve">variabilidad biológica entre individuos</w:t>
      </w:r>
      <w:r>
        <w:t xml:space="preserve"> se cancela. Solo queda la diferencia entre los dos modelos. Es lo mismo que un ensayo clínico cruzado: el mismo paciente prueba el fármaco A y el B, y la comparación es paciente a paciente.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DA9C4" w:sz="1"/>
              <w:left w:val="single" w:color="13315C" w:sz="24"/>
              <w:bottom w:val="single" w:color="8DA9C4" w:sz="1"/>
              <w:right w:val="single" w:color="8DA9C4" w:sz="1"/>
            </w:tcBorders>
            <w:shd w:fill="EEF4ED" w:val="clear"/>
            <w:tcMar>
              <w:top w:type="dxa" w:w="160"/>
              <w:left w:type="dxa" w:w="200"/>
              <w:bottom w:type="dxa" w:w="160"/>
              <w:right w:type="dxa" w:w="200"/>
            </w:tcMar>
          </w:tcPr>
          <w:p>
            <w:r>
              <w:rPr>
                <w:b/>
                <w:bCs/>
                <w:color w:val="13315C"/>
                <w:sz w:val="18"/>
                <w:szCs w:val="18"/>
              </w:rPr>
              <w:t xml:space="preserve">IDEA CLAVE   </w:t>
            </w:r>
            <w:r>
              <w:rPr>
                <w:color w:val="1F2937"/>
                <w:sz w:val="22"/>
                <w:szCs w:val="22"/>
              </w:rPr>
              <w:t xml:space="preserve">Si comparases con datos no pareados (modelos sobre pacientes distintos), buena parte de la diferencia que verías sería ruido entre individuos, no diferencia entre modelos. Pareado = más limpio.</w:t>
            </w:r>
          </w:p>
        </w:tc>
      </w:tr>
    </w:tbl>
    <w:p>
      <w:pPr>
        <w:pStyle w:val="Heading2"/>
        <w:spacing w:after="140" w:before="280"/>
      </w:pPr>
      <w:r>
        <w:rPr>
          <w:b/>
          <w:bCs/>
          <w:color w:val="13315C"/>
          <w:sz w:val="26"/>
          <w:szCs w:val="26"/>
        </w:rPr>
        <w:t xml:space="preserve">3.8 DeLong: el test específico para comparar AUCs</w:t>
      </w:r>
    </w:p>
    <w:p>
      <w:pPr>
        <w:spacing w:after="120"/>
      </w:pPr>
      <w:r>
        <w:t xml:space="preserve">DeLong (1988) es el </w:t>
      </w:r>
      <w:r>
        <w:rPr>
          <w:b/>
          <w:bCs/>
        </w:rPr>
        <w:t xml:space="preserve">test estándar en literatura médica</w:t>
      </w:r>
      <w:r>
        <w:t xml:space="preserve"> para comparar dos AUCs sobre los mismos pacientes. La idea, contada sin matemáticas:</w:t>
      </w:r>
    </w:p>
    <w:p>
      <w:pPr>
        <w:pStyle w:val="Heading3"/>
        <w:spacing w:after="100" w:before="200"/>
      </w:pPr>
      <w:r>
        <w:rPr>
          <w:b/>
          <w:bCs/>
          <w:color w:val="13315C"/>
          <w:sz w:val="22"/>
          <w:szCs w:val="22"/>
        </w:rPr>
        <w:t xml:space="preserve">Cómo funciona en intuición</w:t>
      </w:r>
    </w:p>
    <w:p>
      <w:pPr>
        <w:spacing w:after="120"/>
      </w:pPr>
      <w:r>
        <w:t xml:space="preserve">Recuerda que AUC = probabilidad de que el modelo dé mayor probabilidad al paciente con ELA que al paciente Control, en cada par (ELA, Control) que cojas. DeLong representa esto formalmente como un cálculo de “para cuántos pares acierta el modelo A” y “para cuántos acierta el modelo B”.</w:t>
      </w:r>
    </w:p>
    <w:p>
      <w:pPr>
        <w:spacing w:after="120"/>
      </w:pPr>
      <w:r>
        <w:t xml:space="preserve">Lo crítico es que ambos modelos miran </w:t>
      </w:r>
      <w:r>
        <w:rPr>
          <w:b/>
          <w:bCs/>
        </w:rPr>
        <w:t xml:space="preserve">los mismos pares (ELA, Control)</w:t>
      </w:r>
      <w:r>
        <w:t xml:space="preserve">. Por tanto sus errores están correlacionados — si los dos fallan en el mismo paciente raro, esa redundancia hay que contarla. DeLong calcula explícitamente esa </w:t>
      </w:r>
      <w:r>
        <w:t xml:space="preserve">covarianza entre las dos AUCs</w:t>
      </w:r>
      <w:r>
        <w:t xml:space="preserve"> y la usa para no sobreestimar la significancia.</w:t>
      </w:r>
    </w:p>
    <w:p>
      <w:pPr>
        <w:pStyle w:val="Heading3"/>
        <w:spacing w:after="100" w:before="200"/>
      </w:pPr>
      <w:r>
        <w:rPr>
          <w:b/>
          <w:bCs/>
          <w:color w:val="13315C"/>
          <w:sz w:val="22"/>
          <w:szCs w:val="22"/>
        </w:rPr>
        <w:t xml:space="preserve">El resultado</w:t>
      </w:r>
    </w:p>
    <w:p>
      <w:pPr>
        <w:spacing w:after="120"/>
      </w:pPr>
      <w:r>
        <w:t xml:space="preserve">Te da un </w:t>
      </w:r>
      <w:r>
        <w:rPr>
          <w:b/>
          <w:bCs/>
        </w:rPr>
        <w:t xml:space="preserve">p-value</w:t>
      </w:r>
      <w:r>
        <w:t xml:space="preserve"> que se interpreta como siempre:</w:t>
      </w:r>
    </w:p>
    <w:p>
      <w:pPr>
        <w:spacing w:after="120"/>
      </w:pPr>
      <w:r>
        <w:rPr>
          <w:b/>
          <w:bCs/>
        </w:rPr>
        <w:t xml:space="preserve">· </w:t>
      </w:r>
      <w:r>
        <w:rPr>
          <w:b/>
          <w:bCs/>
          <w:color w:val="10B981"/>
        </w:rPr>
        <w:t xml:space="preserve">p &lt; 0.05</w:t>
      </w:r>
      <w:r>
        <w:t xml:space="preserve"> → diferencia significativa: tu modelo A es mejor (o peor) que el B con confianza estadística.</w:t>
      </w:r>
      <w:r>
        <w:rPr>
          <w:b/>
          <w:bCs/>
        </w:rPr>
        <w:t xml:space="preserve">· </w:t>
      </w:r>
      <w:r>
        <w:rPr>
          <w:b/>
          <w:bCs/>
          <w:color w:val="F59E0B"/>
        </w:rPr>
        <w:t xml:space="preserve">p ≥ 0.05</w:t>
      </w:r>
      <w:r>
        <w:t xml:space="preserve"> → no hay evidencia para afirmar diferencia. Pueden ser equivalentes O puede que tu muestra sea pequeña para detectarla.</w:t>
      </w:r>
    </w:p>
    <w:p>
      <w:pPr>
        <w:spacing w:after="120"/>
      </w:pPr>
      <w:r>
        <w:t xml:space="preserve">Importante: un p alto NO significa que “sean iguales”. Significa que con tus datos no puedes probar que sean diferentes. Ojo con esa distinción cuando lo defiendas.</w:t>
      </w:r>
    </w:p>
    <w:p>
      <w:pPr>
        <w:pStyle w:val="Heading3"/>
        <w:spacing w:after="100" w:before="200"/>
      </w:pPr>
      <w:r>
        <w:rPr>
          <w:b/>
          <w:bCs/>
          <w:color w:val="13315C"/>
          <w:sz w:val="22"/>
          <w:szCs w:val="22"/>
        </w:rPr>
        <w:t xml:space="preserve">Cuándo se usa exactamente</w:t>
      </w:r>
    </w:p>
    <w:p>
      <w:pPr>
        <w:spacing w:after="120"/>
      </w:pPr>
      <w:r>
        <w:t xml:space="preserve">DeLong solo sirve para AUC. No vale para Sens, Spec o Acc — para esas se usa Wilcoxon (siguiente sección). En tu informe estadístico, DeLong se aplica entre cada par (modelo_i, modelo_j) en cada músculo, generando una matriz de p-values.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tcPr>
          <w:p>
            <w:pPr>
              <w:spacing w:after="80"/>
            </w:pPr>
            <w:r>
              <w:rPr>
                <w:b/>
                <w:bCs/>
                <w:color w:val="13315C"/>
                <w:sz w:val="20"/>
                <w:szCs w:val="20"/>
              </w:rPr>
              <w:t xml:space="preserve">Ejemplo numérico</w:t>
            </w:r>
          </w:p>
          <w:p>
            <w:pPr>
              <w:spacing w:after="60"/>
            </w:pPr>
            <w:r>
              <w:rPr>
                <w:rFonts w:ascii="Consolas" w:cs="Consolas" w:eastAsia="Consolas" w:hAnsi="Consolas"/>
                <w:color w:val="1F2937"/>
                <w:sz w:val="18"/>
                <w:szCs w:val="18"/>
              </w:rPr>
              <w:t xml:space="preserve">Bicep | resnet50 vs densenet121:</w:t>
            </w:r>
          </w:p>
          <w:p>
            <w:pPr>
              <w:spacing w:after="60"/>
            </w:pPr>
            <w:r>
              <w:rPr>
                <w:rFonts w:ascii="Consolas" w:cs="Consolas" w:eastAsia="Consolas" w:hAnsi="Consolas"/>
                <w:color w:val="1F2937"/>
                <w:sz w:val="18"/>
                <w:szCs w:val="18"/>
              </w:rPr>
              <w:t xml:space="preserve">  AUC_resnet50  = 0.881</w:t>
            </w:r>
          </w:p>
          <w:p>
            <w:pPr>
              <w:spacing w:after="60"/>
            </w:pPr>
            <w:r>
              <w:rPr>
                <w:rFonts w:ascii="Consolas" w:cs="Consolas" w:eastAsia="Consolas" w:hAnsi="Consolas"/>
                <w:color w:val="1F2937"/>
                <w:sz w:val="18"/>
                <w:szCs w:val="18"/>
              </w:rPr>
              <w:t xml:space="preserve">  AUC_densenet  = 0.898</w:t>
            </w:r>
          </w:p>
          <w:p>
            <w:pPr>
              <w:spacing w:after="60"/>
            </w:pPr>
            <w:r>
              <w:rPr>
                <w:rFonts w:ascii="Consolas" w:cs="Consolas" w:eastAsia="Consolas" w:hAnsi="Consolas"/>
                <w:color w:val="1F2937"/>
                <w:sz w:val="18"/>
                <w:szCs w:val="18"/>
              </w:rPr>
              <w:t xml:space="preserve">  diferencia    = 0.017</w:t>
            </w:r>
          </w:p>
          <w:p>
            <w:pPr>
              <w:spacing w:after="60"/>
            </w:pPr>
            <w:r>
              <w:rPr>
                <w:rFonts w:ascii="Consolas" w:cs="Consolas" w:eastAsia="Consolas" w:hAnsi="Consolas"/>
                <w:color w:val="1F2937"/>
                <w:sz w:val="18"/>
                <w:szCs w:val="18"/>
              </w:rPr>
              <w:t xml:space="preserve">  DeLong p-value = 0.42  →  no significativo</w:t>
            </w:r>
          </w:p>
          <w:p>
            <w:pPr>
              <w:spacing w:after="60"/>
            </w:pPr>
            <w:r>
              <w:rPr>
                <w:rFonts w:ascii="Consolas" w:cs="Consolas" w:eastAsia="Consolas" w:hAnsi="Consolas"/>
                <w:color w:val="1F2937"/>
                <w:sz w:val="18"/>
                <w:szCs w:val="18"/>
              </w:rPr>
              <w:t xml:space="preserve"/>
            </w:r>
          </w:p>
          <w:p>
            <w:pPr>
              <w:spacing w:after="60"/>
            </w:pPr>
            <w:r>
              <w:rPr>
                <w:rFonts w:ascii="Consolas" w:cs="Consolas" w:eastAsia="Consolas" w:hAnsi="Consolas"/>
                <w:color w:val="1F2937"/>
                <w:sz w:val="18"/>
                <w:szCs w:val="18"/>
              </w:rPr>
              <w:t xml:space="preserve">Lectura: aunque DenseNet parece un poco mejor en bíceps,</w:t>
            </w:r>
          </w:p>
          <w:p>
            <w:pPr>
              <w:spacing w:after="60"/>
            </w:pPr>
            <w:r>
              <w:rPr>
                <w:rFonts w:ascii="Consolas" w:cs="Consolas" w:eastAsia="Consolas" w:hAnsi="Consolas"/>
                <w:color w:val="1F2937"/>
                <w:sz w:val="18"/>
                <w:szCs w:val="18"/>
              </w:rPr>
              <w:t xml:space="preserve">no podemos afirmarlo con confianza estadística.</w:t>
            </w:r>
          </w:p>
        </w:tc>
      </w:tr>
    </w:tbl>
    <w:p>
      <w:pPr>
        <w:pStyle w:val="Heading2"/>
        <w:spacing w:after="140" w:before="280"/>
      </w:pPr>
      <w:r>
        <w:rPr>
          <w:b/>
          <w:bCs/>
          <w:color w:val="13315C"/>
          <w:sz w:val="26"/>
          <w:szCs w:val="26"/>
        </w:rPr>
        <w:t xml:space="preserve">3.9 Wilcoxon signed-rank: el test no paramétrico para todo lo demás</w:t>
      </w:r>
    </w:p>
    <w:p>
      <w:pPr>
        <w:spacing w:after="120"/>
      </w:pPr>
      <w:r>
        <w:t xml:space="preserve">Wilcoxon (1945) es el </w:t>
      </w:r>
      <w:r>
        <w:rPr>
          <w:b/>
          <w:bCs/>
        </w:rPr>
        <w:t xml:space="preserve">equivalente no paramétrico del t-test pareado</w:t>
      </w:r>
      <w:r>
        <w:t xml:space="preserve">. Sirve para comparar dos métricas pareadas (ej. accuracy de modelo A vs accuracy de modelo B) cuando NO quieres asumir que los datos siguen una distribución normal.</w:t>
      </w:r>
    </w:p>
    <w:p>
      <w:pPr>
        <w:pStyle w:val="Heading3"/>
        <w:spacing w:after="100" w:before="200"/>
      </w:pPr>
      <w:r>
        <w:rPr>
          <w:b/>
          <w:bCs/>
          <w:color w:val="13315C"/>
          <w:sz w:val="22"/>
          <w:szCs w:val="22"/>
        </w:rPr>
        <w:t xml:space="preserve">Cómo funciona, paso a paso</w:t>
      </w:r>
    </w:p>
    <w:p>
      <w:pPr>
        <w:spacing w:after="120"/>
      </w:pPr>
      <w:r>
        <w:t xml:space="preserve">Imagina que tienes la accuracy de los dos modelos en cada uno de los 5 folds: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tcPr>
          <w:p>
            <w:pPr>
              <w:spacing w:after="80"/>
            </w:pPr>
            <w:r>
              <w:rPr>
                <w:b/>
                <w:bCs/>
                <w:color w:val="13315C"/>
                <w:sz w:val="20"/>
                <w:szCs w:val="20"/>
              </w:rPr>
              <w:t xml:space="preserve">Ejemplo numérico</w:t>
            </w:r>
          </w:p>
          <w:p>
            <w:pPr>
              <w:spacing w:after="60"/>
            </w:pPr>
            <w:r>
              <w:rPr>
                <w:rFonts w:ascii="Consolas" w:cs="Consolas" w:eastAsia="Consolas" w:hAnsi="Consolas"/>
                <w:color w:val="1F2937"/>
                <w:sz w:val="18"/>
                <w:szCs w:val="18"/>
              </w:rPr>
              <w:t xml:space="preserve">         ResNet-50    DenseNet-121    Diferencia</w:t>
            </w:r>
          </w:p>
          <w:p>
            <w:pPr>
              <w:spacing w:after="60"/>
            </w:pPr>
            <w:r>
              <w:rPr>
                <w:rFonts w:ascii="Consolas" w:cs="Consolas" w:eastAsia="Consolas" w:hAnsi="Consolas"/>
                <w:color w:val="1F2937"/>
                <w:sz w:val="18"/>
                <w:szCs w:val="18"/>
              </w:rPr>
              <w:t xml:space="preserve">Fold 1     0.84          0.81           +0.03</w:t>
            </w:r>
          </w:p>
          <w:p>
            <w:pPr>
              <w:spacing w:after="60"/>
            </w:pPr>
            <w:r>
              <w:rPr>
                <w:rFonts w:ascii="Consolas" w:cs="Consolas" w:eastAsia="Consolas" w:hAnsi="Consolas"/>
                <w:color w:val="1F2937"/>
                <w:sz w:val="18"/>
                <w:szCs w:val="18"/>
              </w:rPr>
              <w:t xml:space="preserve">Fold 2     0.91          0.85           +0.06</w:t>
            </w:r>
          </w:p>
          <w:p>
            <w:pPr>
              <w:spacing w:after="60"/>
            </w:pPr>
            <w:r>
              <w:rPr>
                <w:rFonts w:ascii="Consolas" w:cs="Consolas" w:eastAsia="Consolas" w:hAnsi="Consolas"/>
                <w:color w:val="1F2937"/>
                <w:sz w:val="18"/>
                <w:szCs w:val="18"/>
              </w:rPr>
              <w:t xml:space="preserve">Fold 3     0.88          0.92           −0.04</w:t>
            </w:r>
          </w:p>
          <w:p>
            <w:pPr>
              <w:spacing w:after="60"/>
            </w:pPr>
            <w:r>
              <w:rPr>
                <w:rFonts w:ascii="Consolas" w:cs="Consolas" w:eastAsia="Consolas" w:hAnsi="Consolas"/>
                <w:color w:val="1F2937"/>
                <w:sz w:val="18"/>
                <w:szCs w:val="18"/>
              </w:rPr>
              <w:t xml:space="preserve">Fold 4     0.95          0.89           +0.06</w:t>
            </w:r>
          </w:p>
          <w:p>
            <w:pPr>
              <w:spacing w:after="60"/>
            </w:pPr>
            <w:r>
              <w:rPr>
                <w:rFonts w:ascii="Consolas" w:cs="Consolas" w:eastAsia="Consolas" w:hAnsi="Consolas"/>
                <w:color w:val="1F2937"/>
                <w:sz w:val="18"/>
                <w:szCs w:val="18"/>
              </w:rPr>
              <w:t xml:space="preserve">Fold 5     0.79          0.87           −0.08</w:t>
            </w:r>
          </w:p>
        </w:tc>
      </w:tr>
    </w:tbl>
    <w:p>
      <w:pPr>
        <w:spacing w:after="120"/>
      </w:pPr>
      <w:r>
        <w:t xml:space="preserve">El test hace lo siguiente:</w:t>
      </w:r>
    </w:p>
    <w:p>
      <w:pPr>
        <w:spacing w:after="120"/>
      </w:pPr>
      <w:r>
        <w:rPr>
          <w:b/>
          <w:bCs/>
        </w:rPr>
        <w:t xml:space="preserve">1. </w:t>
      </w:r>
      <w:r>
        <w:t xml:space="preserve">Calcula las diferencias</w:t>
      </w:r>
      <w:r>
        <w:rPr>
          <w:b/>
          <w:bCs/>
        </w:rPr>
        <w:t xml:space="preserve">2. </w:t>
      </w:r>
      <w:r>
        <w:t xml:space="preserve">Las ordena por valor absoluto y les asigna rangos: la más pequeña |diff| recibe rango 1, la siguiente rango 2, etc.</w:t>
      </w:r>
      <w:r>
        <w:rPr>
          <w:b/>
          <w:bCs/>
        </w:rPr>
        <w:t xml:space="preserve">3. </w:t>
      </w:r>
      <w:r>
        <w:t xml:space="preserve">Suma los rangos de las diferencias positivas (W+) y los de las negativas (W−).</w:t>
      </w:r>
      <w:r>
        <w:rPr>
          <w:b/>
          <w:bCs/>
        </w:rPr>
        <w:t xml:space="preserve">4. </w:t>
      </w:r>
      <w:r>
        <w:t xml:space="preserve">Si las dos sumas son parecidas → no hay diferencia consistente. Si una domina mucho → diferencia significativa.</w:t>
      </w:r>
      <w:r>
        <w:rPr>
          <w:b/>
          <w:bCs/>
        </w:rPr>
        <w:t xml:space="preserve">5. </w:t>
      </w:r>
      <w:r>
        <w:t xml:space="preserve">Compara contra una tabla de valores críticos (o calcula p-value exacto) según el menor de los dos.</w:t>
      </w:r>
    </w:p>
    <w:p>
      <w:pPr>
        <w:pStyle w:val="Heading3"/>
        <w:spacing w:after="100" w:before="200"/>
      </w:pPr>
      <w:r>
        <w:rPr>
          <w:b/>
          <w:bCs/>
          <w:color w:val="13315C"/>
          <w:sz w:val="22"/>
          <w:szCs w:val="22"/>
        </w:rPr>
        <w:t xml:space="preserve">Por qué “no paramétrico” mola</w:t>
      </w:r>
    </w:p>
    <w:p>
      <w:pPr>
        <w:spacing w:after="120"/>
      </w:pPr>
      <w:r>
        <w:t xml:space="preserve">El t-test pareado clásico asume que las diferencias entre pares siguen una distribución normal. Con solo 5 folds, </w:t>
      </w:r>
      <w:r>
        <w:rPr>
          <w:b/>
          <w:bCs/>
        </w:rPr>
        <w:t xml:space="preserve">ni siquiera puedes verificar si la asunción se cumple</w:t>
      </w:r>
      <w:r>
        <w:t xml:space="preserve">. Wilcoxon evita el problema usando rangos en vez de valores absolutos.</w:t>
      </w:r>
    </w:p>
    <w:p>
      <w:pPr>
        <w:pStyle w:val="Heading3"/>
        <w:spacing w:after="100" w:before="200"/>
      </w:pPr>
      <w:r>
        <w:rPr>
          <w:b/>
          <w:bCs/>
          <w:color w:val="13315C"/>
          <w:sz w:val="22"/>
          <w:szCs w:val="22"/>
        </w:rPr>
        <w:t xml:space="preserve">La trampa importante con n=5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DA9C4" w:sz="1"/>
              <w:left w:val="single" w:color="13315C" w:sz="24"/>
              <w:bottom w:val="single" w:color="8DA9C4" w:sz="1"/>
              <w:right w:val="single" w:color="8DA9C4" w:sz="1"/>
            </w:tcBorders>
            <w:shd w:fill="FFE4E6" w:val="clear"/>
            <w:tcMar>
              <w:top w:type="dxa" w:w="160"/>
              <w:left w:type="dxa" w:w="200"/>
              <w:bottom w:type="dxa" w:w="160"/>
              <w:right w:type="dxa" w:w="200"/>
            </w:tcMar>
          </w:tcPr>
          <w:p>
            <w:r>
              <w:rPr>
                <w:b/>
                <w:bCs/>
                <w:color w:val="13315C"/>
                <w:sz w:val="18"/>
                <w:szCs w:val="18"/>
              </w:rPr>
              <w:t xml:space="preserve">IDEA CLAVE   </w:t>
            </w:r>
            <w:r>
              <w:rPr>
                <w:color w:val="1F2937"/>
                <w:sz w:val="22"/>
                <w:szCs w:val="22"/>
              </w:rPr>
              <w:t xml:space="preserve">Con solo 5 folds, el menor p-value POSIBLE en Wilcoxon dos colas es 0.0625 (= 2 / 2⁵). Es decir: aunque tu modelo A fuese sustancialmente mejor que el B en los 5 folds, NUNCA podrías obtener p &lt; 0.05. Esto es una limitación intrínseca de tener pocos folds, no un fallo de tu experimento.</w:t>
            </w:r>
          </w:p>
        </w:tc>
      </w:tr>
    </w:tbl>
    <w:p>
      <w:pPr>
        <w:spacing w:after="120"/>
      </w:pPr>
      <w:r>
        <w:t xml:space="preserve">Por eso casi todas las comparaciones pairwise en tu informe salen “no significativas”. NO es un fracaso del experimento, es la realidad estadística de tener n=5 folds y dos modelos que rinden parecido. Para detectar diferencias finas (~1-2 puntos de AUC) harían falta cientos de folds o miles de pacientes.</w:t>
      </w:r>
    </w:p>
    <w:p>
      <w:pPr>
        <w:pStyle w:val="Heading3"/>
        <w:spacing w:after="100" w:before="200"/>
      </w:pPr>
      <w:r>
        <w:rPr>
          <w:b/>
          <w:bCs/>
          <w:color w:val="13315C"/>
          <w:sz w:val="22"/>
          <w:szCs w:val="22"/>
        </w:rPr>
        <w:t xml:space="preserve">Cómo lo defiendes ante el tribunal</w:t>
      </w:r>
    </w:p>
    <w:p>
      <w:pPr>
        <w:spacing w:after="120"/>
      </w:pPr>
      <w:r>
        <w:t xml:space="preserve">Si te preguntan “¿por qué casi nada sale significativo?”, la respuesta de manual es:</w:t>
      </w:r>
    </w:p>
    <w:p>
      <w:pPr>
        <w:spacing w:after="120"/>
      </w:pPr>
      <w:r>
        <w:t xml:space="preserve">“Las comparaciones pareadas se ejecutaron como análisis exploratorio. Con n=5 folds, el menor p-value alcanzable por Wilcoxon es 0.0625, lo que limita la potencia para detectar diferencias menores. Las arquitecturas evaluadas rinden estadísticamente equivalentes a nivel de músculo individual; la mejora real viene de la fusión a nivel paciente, donde la unidad de análisis pasa a ser el paciente (n=53) en lugar del fold.”</w:t>
      </w:r>
    </w:p>
    <w:p>
      <w:pPr>
        <w:pStyle w:val="Heading1"/>
        <w:spacing w:after="180" w:before="360"/>
      </w:pPr>
      <w:r>
        <w:rPr>
          <w:b/>
          <w:bCs/>
          <w:color w:val="0B2545"/>
          <w:sz w:val="32"/>
          <w:szCs w:val="32"/>
        </w:rPr>
        <w:t xml:space="preserve">4. La fusión a nivel paciente: el corazón del TFG</w:t>
      </w:r>
    </w:p>
    <w:p>
      <w:pPr>
        <w:spacing w:after="120"/>
      </w:pPr>
      <w:r>
        <w:t xml:space="preserve">La fusión NO mezcla arquitecturas distintas. Lo que combina son los CUATRO MÚSCULOS del MISMO paciente, usando la MISMA arquitectura (ResNet-50). El flujo 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CBD5E1" w:sz="1"/>
              <w:bottom w:val="single" w:color="CBD5E1" w:sz="1"/>
              <w:right w:val="single" w:color="CBD5E1" w:sz="1"/>
            </w:tcBorders>
            <w:shd w:fill="F8FAFC" w:val="clear"/>
            <w:tcMar>
              <w:top w:type="dxa" w:w="140"/>
              <w:left w:type="dxa" w:w="200"/>
              <w:bottom w:type="dxa" w:w="140"/>
              <w:right w:type="dxa" w:w="200"/>
            </w:tcMar>
          </w:tcPr>
          <w:p>
            <w:pPr>
              <w:spacing w:after="80"/>
            </w:pPr>
            <w:r>
              <w:rPr>
                <w:b/>
                <w:bCs/>
                <w:color w:val="13315C"/>
                <w:sz w:val="20"/>
                <w:szCs w:val="20"/>
              </w:rPr>
              <w:t xml:space="preserve">Ejemplo numérico</w:t>
            </w:r>
          </w:p>
          <w:p>
            <w:pPr>
              <w:spacing w:after="60"/>
            </w:pPr>
            <w:r>
              <w:rPr>
                <w:rFonts w:ascii="Consolas" w:cs="Consolas" w:eastAsia="Consolas" w:hAnsi="Consolas"/>
                <w:color w:val="1F2937"/>
                <w:sz w:val="18"/>
                <w:szCs w:val="18"/>
              </w:rPr>
              <w:t xml:space="preserve">Paciente C001:</w:t>
            </w:r>
          </w:p>
          <w:p>
            <w:pPr>
              <w:spacing w:after="60"/>
            </w:pPr>
            <w:r>
              <w:rPr>
                <w:rFonts w:ascii="Consolas" w:cs="Consolas" w:eastAsia="Consolas" w:hAnsi="Consolas"/>
                <w:color w:val="1F2937"/>
                <w:sz w:val="18"/>
                <w:szCs w:val="18"/>
              </w:rPr>
              <w:t xml:space="preserve">  ResNet-50 sobre BÍCEPS      → P(ELA) = 0.92</w:t>
            </w:r>
          </w:p>
          <w:p>
            <w:pPr>
              <w:spacing w:after="60"/>
            </w:pPr>
            <w:r>
              <w:rPr>
                <w:rFonts w:ascii="Consolas" w:cs="Consolas" w:eastAsia="Consolas" w:hAnsi="Consolas"/>
                <w:color w:val="1F2937"/>
                <w:sz w:val="18"/>
                <w:szCs w:val="18"/>
              </w:rPr>
              <w:t xml:space="preserve">  ResNet-50 sobre ANTEBRAZO   → P(ELA) = 0.85</w:t>
            </w:r>
          </w:p>
          <w:p>
            <w:pPr>
              <w:spacing w:after="60"/>
            </w:pPr>
            <w:r>
              <w:rPr>
                <w:rFonts w:ascii="Consolas" w:cs="Consolas" w:eastAsia="Consolas" w:hAnsi="Consolas"/>
                <w:color w:val="1F2937"/>
                <w:sz w:val="18"/>
                <w:szCs w:val="18"/>
              </w:rPr>
              <w:t xml:space="preserve">  ResNet-50 sobre CUÁDRICEPS  → P(ELA) = 0.88</w:t>
            </w:r>
          </w:p>
          <w:p>
            <w:pPr>
              <w:spacing w:after="60"/>
            </w:pPr>
            <w:r>
              <w:rPr>
                <w:rFonts w:ascii="Consolas" w:cs="Consolas" w:eastAsia="Consolas" w:hAnsi="Consolas"/>
                <w:color w:val="1F2937"/>
                <w:sz w:val="18"/>
                <w:szCs w:val="18"/>
              </w:rPr>
              <w:t xml:space="preserve">  ResNet-50 sobre TIBIAL      → P(ELA) = 0.79</w:t>
            </w:r>
          </w:p>
          <w:p>
            <w:pPr>
              <w:spacing w:after="60"/>
            </w:pPr>
            <w:r>
              <w:rPr>
                <w:rFonts w:ascii="Consolas" w:cs="Consolas" w:eastAsia="Consolas" w:hAnsi="Consolas"/>
                <w:color w:val="1F2937"/>
                <w:sz w:val="18"/>
                <w:szCs w:val="18"/>
              </w:rPr>
              <w:t xml:space="preserve">                                ─────────────</w:t>
            </w:r>
          </w:p>
          <w:p>
            <w:pPr>
              <w:spacing w:after="60"/>
            </w:pPr>
            <w:r>
              <w:rPr>
                <w:rFonts w:ascii="Consolas" w:cs="Consolas" w:eastAsia="Consolas" w:hAnsi="Consolas"/>
                <w:color w:val="1F2937"/>
                <w:sz w:val="18"/>
                <w:szCs w:val="18"/>
              </w:rPr>
              <w:t xml:space="preserve">                FUSIÓN  →  P(ELA) único = 0.86</w:t>
            </w:r>
          </w:p>
        </w:tc>
      </w:tr>
    </w:tbl>
    <w:p>
      <w:pPr>
        <w:spacing w:after="120"/>
      </w:pPr>
      <w:r>
        <w:t xml:space="preserve">Probaste tres reglas de fusión: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326"/>
      </w:tblGrid>
      <w:tr>
        <w:trPr>
          <w:tblHeader/>
        </w:trPr>
        <w:tc>
          <w:tcPr>
            <w:tcW w:type="dxa" w:w="2200"/>
            <w:shd w:fill="0B2545" w:val="clear"/>
            <w:tcMar>
              <w:top w:type="dxa" w:w="100"/>
              <w:left w:type="dxa" w:w="120"/>
              <w:bottom w:type="dxa" w:w="100"/>
              <w:right w:type="dxa" w:w="120"/>
            </w:tcMar>
          </w:tcPr>
          <w:p>
            <w:pPr>
              <w:jc w:val="center"/>
            </w:pPr>
            <w:r>
              <w:rPr>
                <w:b/>
                <w:bCs/>
                <w:color w:val="FFFFFF"/>
                <w:sz w:val="20"/>
                <w:szCs w:val="20"/>
              </w:rPr>
              <w:t xml:space="preserve">Regla</w:t>
            </w:r>
          </w:p>
        </w:tc>
        <w:tc>
          <w:tcPr>
            <w:tcW w:type="dxa" w:w="1500"/>
            <w:shd w:fill="0B2545" w:val="clear"/>
            <w:tcMar>
              <w:top w:type="dxa" w:w="100"/>
              <w:left w:type="dxa" w:w="120"/>
              <w:bottom w:type="dxa" w:w="100"/>
              <w:right w:type="dxa" w:w="120"/>
            </w:tcMar>
          </w:tcPr>
          <w:p>
            <w:pPr>
              <w:jc w:val="center"/>
            </w:pPr>
            <w:r>
              <w:rPr>
                <w:b/>
                <w:bCs/>
                <w:color w:val="FFFFFF"/>
                <w:sz w:val="20"/>
                <w:szCs w:val="20"/>
              </w:rPr>
              <w:t xml:space="preserve">AUC</w:t>
            </w:r>
          </w:p>
        </w:tc>
        <w:tc>
          <w:tcPr>
            <w:tcW w:type="dxa" w:w="1500"/>
            <w:shd w:fill="0B2545" w:val="clear"/>
            <w:tcMar>
              <w:top w:type="dxa" w:w="100"/>
              <w:left w:type="dxa" w:w="120"/>
              <w:bottom w:type="dxa" w:w="100"/>
              <w:right w:type="dxa" w:w="120"/>
            </w:tcMar>
          </w:tcPr>
          <w:p>
            <w:pPr>
              <w:jc w:val="center"/>
            </w:pPr>
            <w:r>
              <w:rPr>
                <w:b/>
                <w:bCs/>
                <w:color w:val="FFFFFF"/>
                <w:sz w:val="20"/>
                <w:szCs w:val="20"/>
              </w:rPr>
              <w:t xml:space="preserve">Sens</w:t>
            </w:r>
          </w:p>
        </w:tc>
        <w:tc>
          <w:tcPr>
            <w:tcW w:type="dxa" w:w="1500"/>
            <w:shd w:fill="0B2545" w:val="clear"/>
            <w:tcMar>
              <w:top w:type="dxa" w:w="100"/>
              <w:left w:type="dxa" w:w="120"/>
              <w:bottom w:type="dxa" w:w="100"/>
              <w:right w:type="dxa" w:w="120"/>
            </w:tcMar>
          </w:tcPr>
          <w:p>
            <w:pPr>
              <w:jc w:val="center"/>
            </w:pPr>
            <w:r>
              <w:rPr>
                <w:b/>
                <w:bCs/>
                <w:color w:val="FFFFFF"/>
                <w:sz w:val="20"/>
                <w:szCs w:val="20"/>
              </w:rPr>
              <w:t xml:space="preserve">Spec</w:t>
            </w:r>
          </w:p>
        </w:tc>
        <w:tc>
          <w:tcPr>
            <w:tcW w:type="dxa" w:w="2326"/>
            <w:shd w:fill="0B2545" w:val="clear"/>
            <w:tcMar>
              <w:top w:type="dxa" w:w="100"/>
              <w:left w:type="dxa" w:w="120"/>
              <w:bottom w:type="dxa" w:w="100"/>
              <w:right w:type="dxa" w:w="120"/>
            </w:tcMar>
          </w:tcPr>
          <w:p>
            <w:pPr>
              <w:jc w:val="center"/>
            </w:pPr>
            <w:r>
              <w:rPr>
                <w:b/>
                <w:bCs/>
                <w:color w:val="FFFFFF"/>
                <w:sz w:val="20"/>
                <w:szCs w:val="20"/>
              </w:rPr>
              <w:t xml:space="preserve">Resultado</w:t>
            </w:r>
          </w:p>
        </w:tc>
      </w:tr>
      <w:tr>
        <w:tc>
          <w:tcPr>
            <w:tcW w:type="dxa" w:w="2200"/>
            <w:shd w:fill="FFFFFF" w:val="clear"/>
            <w:tcMar>
              <w:top w:type="dxa" w:w="80"/>
              <w:left w:type="dxa" w:w="120"/>
              <w:bottom w:type="dxa" w:w="80"/>
              <w:right w:type="dxa" w:w="120"/>
            </w:tcMar>
          </w:tcPr>
          <w:p>
            <w:pPr>
              <w:jc w:val="left"/>
            </w:pPr>
            <w:r>
              <w:rPr>
                <w:sz w:val="20"/>
                <w:szCs w:val="20"/>
              </w:rPr>
              <w:t xml:space="preserve">Media simple</w:t>
            </w:r>
          </w:p>
        </w:tc>
        <w:tc>
          <w:tcPr>
            <w:tcW w:type="dxa" w:w="1500"/>
            <w:shd w:fill="FFFFFF" w:val="clear"/>
            <w:tcMar>
              <w:top w:type="dxa" w:w="80"/>
              <w:left w:type="dxa" w:w="120"/>
              <w:bottom w:type="dxa" w:w="80"/>
              <w:right w:type="dxa" w:w="120"/>
            </w:tcMar>
          </w:tcPr>
          <w:p>
            <w:pPr>
              <w:jc w:val="center"/>
            </w:pPr>
            <w:r>
              <w:rPr>
                <w:sz w:val="20"/>
                <w:szCs w:val="20"/>
              </w:rPr>
              <w:t xml:space="preserve">99.15 %</w:t>
            </w:r>
          </w:p>
        </w:tc>
        <w:tc>
          <w:tcPr>
            <w:tcW w:type="dxa" w:w="1500"/>
            <w:shd w:fill="FFFFFF" w:val="clear"/>
            <w:tcMar>
              <w:top w:type="dxa" w:w="80"/>
              <w:left w:type="dxa" w:w="120"/>
              <w:bottom w:type="dxa" w:w="80"/>
              <w:right w:type="dxa" w:w="120"/>
            </w:tcMar>
          </w:tcPr>
          <w:p>
            <w:pPr>
              <w:jc w:val="center"/>
            </w:pPr>
            <w:r>
              <w:rPr>
                <w:sz w:val="20"/>
                <w:szCs w:val="20"/>
              </w:rPr>
              <w:t xml:space="preserve">96.30 %</w:t>
            </w:r>
          </w:p>
        </w:tc>
        <w:tc>
          <w:tcPr>
            <w:tcW w:type="dxa" w:w="1500"/>
            <w:shd w:fill="FFFFFF" w:val="clear"/>
            <w:tcMar>
              <w:top w:type="dxa" w:w="80"/>
              <w:left w:type="dxa" w:w="120"/>
              <w:bottom w:type="dxa" w:w="80"/>
              <w:right w:type="dxa" w:w="120"/>
            </w:tcMar>
          </w:tcPr>
          <w:p>
            <w:pPr>
              <w:jc w:val="center"/>
            </w:pPr>
            <w:r>
              <w:rPr>
                <w:sz w:val="20"/>
                <w:szCs w:val="20"/>
              </w:rPr>
              <w:t xml:space="preserve">100 %</w:t>
            </w:r>
          </w:p>
        </w:tc>
        <w:tc>
          <w:tcPr>
            <w:tcW w:type="dxa" w:w="2326"/>
            <w:shd w:fill="FFFFFF" w:val="clear"/>
            <w:tcMar>
              <w:top w:type="dxa" w:w="80"/>
              <w:left w:type="dxa" w:w="120"/>
              <w:bottom w:type="dxa" w:w="80"/>
              <w:right w:type="dxa" w:w="120"/>
            </w:tcMar>
          </w:tcPr>
          <w:p>
            <w:pPr>
              <w:jc w:val="center"/>
            </w:pPr>
            <w:r>
              <w:rPr>
                <w:sz w:val="20"/>
                <w:szCs w:val="20"/>
              </w:rPr>
              <w:t xml:space="preserve">GANADORA</w:t>
            </w:r>
          </w:p>
        </w:tc>
      </w:tr>
      <w:tr>
        <w:tc>
          <w:tcPr>
            <w:tcW w:type="dxa" w:w="2200"/>
            <w:shd w:fill="F1F5F9" w:val="clear"/>
            <w:tcMar>
              <w:top w:type="dxa" w:w="80"/>
              <w:left w:type="dxa" w:w="120"/>
              <w:bottom w:type="dxa" w:w="80"/>
              <w:right w:type="dxa" w:w="120"/>
            </w:tcMar>
          </w:tcPr>
          <w:p>
            <w:pPr>
              <w:jc w:val="left"/>
            </w:pPr>
            <w:r>
              <w:rPr>
                <w:sz w:val="20"/>
                <w:szCs w:val="20"/>
              </w:rPr>
              <w:t xml:space="preserve">Media ponderada</w:t>
            </w:r>
          </w:p>
        </w:tc>
        <w:tc>
          <w:tcPr>
            <w:tcW w:type="dxa" w:w="1500"/>
            <w:shd w:fill="F1F5F9" w:val="clear"/>
            <w:tcMar>
              <w:top w:type="dxa" w:w="80"/>
              <w:left w:type="dxa" w:w="120"/>
              <w:bottom w:type="dxa" w:w="80"/>
              <w:right w:type="dxa" w:w="120"/>
            </w:tcMar>
          </w:tcPr>
          <w:p>
            <w:pPr>
              <w:jc w:val="center"/>
            </w:pPr>
            <w:r>
              <w:rPr>
                <w:sz w:val="20"/>
                <w:szCs w:val="20"/>
              </w:rPr>
              <w:t xml:space="preserve">99.15 %</w:t>
            </w:r>
          </w:p>
        </w:tc>
        <w:tc>
          <w:tcPr>
            <w:tcW w:type="dxa" w:w="1500"/>
            <w:shd w:fill="F1F5F9" w:val="clear"/>
            <w:tcMar>
              <w:top w:type="dxa" w:w="80"/>
              <w:left w:type="dxa" w:w="120"/>
              <w:bottom w:type="dxa" w:w="80"/>
              <w:right w:type="dxa" w:w="120"/>
            </w:tcMar>
          </w:tcPr>
          <w:p>
            <w:pPr>
              <w:jc w:val="center"/>
            </w:pPr>
            <w:r>
              <w:rPr>
                <w:sz w:val="20"/>
                <w:szCs w:val="20"/>
              </w:rPr>
              <w:t xml:space="preserve">96.30 %</w:t>
            </w:r>
          </w:p>
        </w:tc>
        <w:tc>
          <w:tcPr>
            <w:tcW w:type="dxa" w:w="1500"/>
            <w:shd w:fill="F1F5F9" w:val="clear"/>
            <w:tcMar>
              <w:top w:type="dxa" w:w="80"/>
              <w:left w:type="dxa" w:w="120"/>
              <w:bottom w:type="dxa" w:w="80"/>
              <w:right w:type="dxa" w:w="120"/>
            </w:tcMar>
          </w:tcPr>
          <w:p>
            <w:pPr>
              <w:jc w:val="center"/>
            </w:pPr>
            <w:r>
              <w:rPr>
                <w:sz w:val="20"/>
                <w:szCs w:val="20"/>
              </w:rPr>
              <w:t xml:space="preserve">100 %</w:t>
            </w:r>
          </w:p>
        </w:tc>
        <w:tc>
          <w:tcPr>
            <w:tcW w:type="dxa" w:w="2326"/>
            <w:shd w:fill="F1F5F9" w:val="clear"/>
            <w:tcMar>
              <w:top w:type="dxa" w:w="80"/>
              <w:left w:type="dxa" w:w="120"/>
              <w:bottom w:type="dxa" w:w="80"/>
              <w:right w:type="dxa" w:w="120"/>
            </w:tcMar>
          </w:tcPr>
          <w:p>
            <w:pPr>
              <w:jc w:val="center"/>
            </w:pPr>
            <w:r>
              <w:rPr>
                <w:sz w:val="20"/>
                <w:szCs w:val="20"/>
              </w:rPr>
              <w:t xml:space="preserve">Igual</w:t>
            </w:r>
          </w:p>
        </w:tc>
      </w:tr>
      <w:tr>
        <w:tc>
          <w:tcPr>
            <w:tcW w:type="dxa" w:w="2200"/>
            <w:shd w:fill="FFFFFF" w:val="clear"/>
            <w:tcMar>
              <w:top w:type="dxa" w:w="80"/>
              <w:left w:type="dxa" w:w="120"/>
              <w:bottom w:type="dxa" w:w="80"/>
              <w:right w:type="dxa" w:w="120"/>
            </w:tcMar>
          </w:tcPr>
          <w:p>
            <w:pPr>
              <w:jc w:val="left"/>
            </w:pPr>
            <w:r>
              <w:rPr>
                <w:sz w:val="20"/>
                <w:szCs w:val="20"/>
              </w:rPr>
              <w:t xml:space="preserve">Voto mayoritario</w:t>
            </w:r>
          </w:p>
        </w:tc>
        <w:tc>
          <w:tcPr>
            <w:tcW w:type="dxa" w:w="1500"/>
            <w:shd w:fill="FFFFFF" w:val="clear"/>
            <w:tcMar>
              <w:top w:type="dxa" w:w="80"/>
              <w:left w:type="dxa" w:w="120"/>
              <w:bottom w:type="dxa" w:w="80"/>
              <w:right w:type="dxa" w:w="120"/>
            </w:tcMar>
          </w:tcPr>
          <w:p>
            <w:pPr>
              <w:jc w:val="center"/>
            </w:pPr>
            <w:r>
              <w:rPr>
                <w:sz w:val="20"/>
                <w:szCs w:val="20"/>
              </w:rPr>
              <w:t xml:space="preserve">—</w:t>
            </w:r>
          </w:p>
        </w:tc>
        <w:tc>
          <w:tcPr>
            <w:tcW w:type="dxa" w:w="1500"/>
            <w:shd w:fill="FFFFFF" w:val="clear"/>
            <w:tcMar>
              <w:top w:type="dxa" w:w="80"/>
              <w:left w:type="dxa" w:w="120"/>
              <w:bottom w:type="dxa" w:w="80"/>
              <w:right w:type="dxa" w:w="120"/>
            </w:tcMar>
          </w:tcPr>
          <w:p>
            <w:pPr>
              <w:jc w:val="center"/>
            </w:pPr>
            <w:r>
              <w:rPr>
                <w:sz w:val="20"/>
                <w:szCs w:val="20"/>
              </w:rPr>
              <w:t xml:space="preserve">66.67 %</w:t>
            </w:r>
          </w:p>
        </w:tc>
        <w:tc>
          <w:tcPr>
            <w:tcW w:type="dxa" w:w="1500"/>
            <w:shd w:fill="FFFFFF" w:val="clear"/>
            <w:tcMar>
              <w:top w:type="dxa" w:w="80"/>
              <w:left w:type="dxa" w:w="120"/>
              <w:bottom w:type="dxa" w:w="80"/>
              <w:right w:type="dxa" w:w="120"/>
            </w:tcMar>
          </w:tcPr>
          <w:p>
            <w:pPr>
              <w:jc w:val="center"/>
            </w:pPr>
            <w:r>
              <w:rPr>
                <w:sz w:val="20"/>
                <w:szCs w:val="20"/>
              </w:rPr>
              <w:t xml:space="preserve">100 %</w:t>
            </w:r>
          </w:p>
        </w:tc>
        <w:tc>
          <w:tcPr>
            <w:tcW w:type="dxa" w:w="2326"/>
            <w:shd w:fill="FFFFFF" w:val="clear"/>
            <w:tcMar>
              <w:top w:type="dxa" w:w="80"/>
              <w:left w:type="dxa" w:w="120"/>
              <w:bottom w:type="dxa" w:w="80"/>
              <w:right w:type="dxa" w:w="120"/>
            </w:tcMar>
          </w:tcPr>
          <w:p>
            <w:pPr>
              <w:jc w:val="center"/>
            </w:pPr>
            <w:r>
              <w:rPr>
                <w:sz w:val="20"/>
                <w:szCs w:val="20"/>
              </w:rPr>
              <w:t xml:space="preserve">Mucho peor</w:t>
            </w:r>
          </w:p>
        </w:tc>
      </w:tr>
    </w:tbl>
    <w:p>
      <w:pPr>
        <w:spacing w:after="120"/>
      </w:pPr>
      <w:r>
        <w:t xml:space="preserve"> </w:t>
      </w:r>
    </w:p>
    <w:p>
      <w:pPr>
        <w:spacing w:after="120"/>
      </w:pPr>
      <w:r>
        <w:t xml:space="preserve">La que usa el sistema final es la </w:t>
      </w:r>
      <w:r>
        <w:rPr>
          <w:b/>
          <w:bCs/>
        </w:rPr>
        <w:t xml:space="preserve">media simple con recalibración Youden</w:t>
      </w:r>
      <w:r>
        <w:t xml:space="preserve">. Razones: es la más fácil de explicar al tribunal, igual de buena que la ponderada y mucho mejor que el voto mayoritario.</w:t>
      </w:r>
    </w:p>
    <w:p>
      <w:pPr>
        <w:pStyle w:val="Heading1"/>
        <w:spacing w:after="180" w:before="360"/>
      </w:pPr>
      <w:r>
        <w:rPr>
          <w:b/>
          <w:bCs/>
          <w:color w:val="0B2545"/>
          <w:sz w:val="32"/>
          <w:szCs w:val="32"/>
        </w:rPr>
        <w:t xml:space="preserve">5. Decisiones metodológicas que tendrás que defender</w:t>
      </w:r>
    </w:p>
    <w:p>
      <w:pPr>
        <w:spacing w:after="120"/>
      </w:pPr>
      <w:r>
        <w:t xml:space="preserve">Esta sección recoge tres decisiones clave del diseño del experimento, con la justificación que el hospital validó cuando consultamos con ellos. Todas pueden salir como pregunta del tribunal.</w:t>
      </w:r>
    </w:p>
    <w:p>
      <w:pPr>
        <w:pStyle w:val="Heading2"/>
        <w:spacing w:after="140" w:before="280"/>
      </w:pPr>
      <w:r>
        <w:rPr>
          <w:b/>
          <w:bCs/>
          <w:color w:val="13315C"/>
          <w:sz w:val="26"/>
          <w:szCs w:val="26"/>
        </w:rPr>
        <w:t xml:space="preserve">5.1 Cómo manejas la lateralidad (izquierdo vs derecho)</w:t>
      </w:r>
    </w:p>
    <w:p>
      <w:pPr>
        <w:spacing w:after="120"/>
      </w:pPr>
      <w:r>
        <w:t xml:space="preserve">Cada paciente tiene imágenes de </w:t>
      </w:r>
      <w:r>
        <w:rPr>
          <w:b/>
          <w:bCs/>
        </w:rPr>
        <w:t xml:space="preserve">ambos lados</w:t>
      </w:r>
      <w:r>
        <w:t xml:space="preserve"> (izquierdo y derecho) de cada músculo. La pregunta natural es: ¿son observaciones independientes o una repetición del mismo dato?</w:t>
      </w:r>
    </w:p>
    <w:p>
      <w:pPr>
        <w:spacing w:after="120"/>
      </w:pPr>
      <w:r>
        <w:t xml:space="preserve">La respuesta del hospital fue clara: </w:t>
      </w:r>
      <w:r>
        <w:t xml:space="preserve">la ELA NO afecta de forma simétrica entre lados</w:t>
      </w:r>
      <w:r>
        <w:t xml:space="preserve">, la aparición de síntomas y la progresión pueden ir por delante en un hemicuerpo. Por tanto las dos imágenes </w:t>
      </w:r>
      <w:r>
        <w:rPr>
          <w:b/>
          <w:bCs/>
        </w:rPr>
        <w:t xml:space="preserve">aportan información complementaria, no redundante</w:t>
      </w:r>
      <w:r>
        <w:t xml:space="preserve">.</w:t>
      </w:r>
    </w:p>
    <w:p>
      <w:pPr>
        <w:spacing w:after="120"/>
      </w:pPr>
      <w:r>
        <w:t xml:space="preserve">Lo que tu pipeline hace al respecto:</w:t>
      </w:r>
    </w:p>
    <w:p>
      <w:pPr>
        <w:spacing w:after="120"/>
      </w:pPr>
      <w:r>
        <w:rPr>
          <w:b/>
          <w:bCs/>
        </w:rPr>
        <w:t xml:space="preserve">· </w:t>
      </w:r>
      <w:r>
        <w:rPr>
          <w:b/>
          <w:bCs/>
        </w:rPr>
        <w:t xml:space="preserve">Durante el entrenamiento</w:t>
      </w:r>
      <w:r>
        <w:t xml:space="preserve">: los dos lados se usan como muestras separadas (más datos para la red, efecto de augmentación natural).</w:t>
      </w:r>
      <w:r>
        <w:rPr>
          <w:b/>
          <w:bCs/>
        </w:rPr>
        <w:t xml:space="preserve">· </w:t>
      </w:r>
      <w:r>
        <w:rPr>
          <w:b/>
          <w:bCs/>
        </w:rPr>
        <w:t xml:space="preserve">Para evitar fuga</w:t>
      </w:r>
      <w:r>
        <w:t xml:space="preserve">: StratifiedGroupKFold agrupa por subject_id, garantizando que ambas lateralidades de un mismo paciente caen siempre en el MISMO fold (nunca una en train y otra en val).</w:t>
      </w:r>
      <w:r>
        <w:rPr>
          <w:b/>
          <w:bCs/>
        </w:rPr>
        <w:t xml:space="preserve">· </w:t>
      </w:r>
      <w:r>
        <w:rPr>
          <w:b/>
          <w:bCs/>
        </w:rPr>
        <w:t xml:space="preserve">En la decisión final</w:t>
      </w:r>
      <w:r>
        <w:t xml:space="preserve">: las imágenes de ambos lados se promedian implícitamente al agregar a nivel (paciente × músculo), igual que harías al promediar varias tomas.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DA9C4" w:sz="1"/>
              <w:left w:val="single" w:color="13315C" w:sz="24"/>
              <w:bottom w:val="single" w:color="8DA9C4" w:sz="1"/>
              <w:right w:val="single" w:color="8DA9C4" w:sz="1"/>
            </w:tcBorders>
            <w:shd w:fill="EEF4ED" w:val="clear"/>
            <w:tcMar>
              <w:top w:type="dxa" w:w="160"/>
              <w:left w:type="dxa" w:w="200"/>
              <w:bottom w:type="dxa" w:w="160"/>
              <w:right w:type="dxa" w:w="200"/>
            </w:tcMar>
          </w:tcPr>
          <w:p>
            <w:r>
              <w:rPr>
                <w:b/>
                <w:bCs/>
                <w:color w:val="13315C"/>
                <w:sz w:val="18"/>
                <w:szCs w:val="18"/>
              </w:rPr>
              <w:t xml:space="preserve">IDEA CLAVE   </w:t>
            </w:r>
            <w:r>
              <w:rPr>
                <w:color w:val="1F2937"/>
                <w:sz w:val="22"/>
                <w:szCs w:val="22"/>
              </w:rPr>
              <w:t xml:space="preserve">Esto es equivalente al “modelo anidado con factor intrasujeto por lateralidad” que usaron en el análisis estadístico clásico del hospital. Tú haces lo mismo en spirit pero con CV agrupada en lugar de mixed effects.</w:t>
            </w:r>
          </w:p>
        </w:tc>
      </w:tr>
    </w:tbl>
    <w:p>
      <w:pPr>
        <w:pStyle w:val="Heading2"/>
        <w:spacing w:after="140" w:before="280"/>
      </w:pPr>
      <w:r>
        <w:rPr>
          <w:b/>
          <w:bCs/>
          <w:color w:val="13315C"/>
          <w:sz w:val="26"/>
          <w:szCs w:val="26"/>
        </w:rPr>
        <w:t xml:space="preserve">5.2 Por qué el ROI es clínicamente válido por construcción</w:t>
      </w:r>
    </w:p>
    <w:p>
      <w:pPr>
        <w:spacing w:after="120"/>
      </w:pPr>
      <w:r>
        <w:t xml:space="preserve">El ROI no se eligió al azar ni de forma automática. El hospital aclaró que un especialista marcó previamente </w:t>
      </w:r>
      <w:r>
        <w:rPr>
          <w:b/>
          <w:bCs/>
        </w:rPr>
        <w:t xml:space="preserve">la zona de máxima reflexión ecográfica</w:t>
      </w:r>
      <w:r>
        <w:t xml:space="preserve"> para cada músculo, evitando deliberadamente:</w:t>
      </w:r>
    </w:p>
    <w:p>
      <w:pPr>
        <w:spacing w:after="120"/>
      </w:pPr>
      <w:r>
        <w:t xml:space="preserve">· Bordes y fascias (que dan reflexiones espurias).</w:t>
      </w:r>
      <w:r>
        <w:t xml:space="preserve">· Grasa intramuscular (señal hiperecoica que no es músculo).</w:t>
      </w:r>
      <w:r>
        <w:t xml:space="preserve">· Tejido conectivo intramuscular (también hiperecoico, también no muscular).</w:t>
      </w:r>
    </w:p>
    <w:p>
      <w:pPr>
        <w:spacing w:after="120"/>
      </w:pPr>
      <w:r>
        <w:t xml:space="preserve">Como consecuencia, </w:t>
      </w:r>
      <w:r>
        <w:rPr>
          <w:b/>
          <w:bCs/>
        </w:rPr>
        <w:t xml:space="preserve">cualquier patrón que el modelo aprenda dentro del ROI ya está mirando tejido muscular puro</w:t>
      </w:r>
      <w:r>
        <w:t xml:space="preserve">. Si el modelo detecta cambios, esos cambios reflejan alteraciones reales del parénquima muscular: infiltración grasa, inflamación, fibrosis — exactamente los marcadores clínicos de ELA.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DA9C4" w:sz="1"/>
              <w:left w:val="single" w:color="13315C" w:sz="24"/>
              <w:bottom w:val="single" w:color="8DA9C4" w:sz="1"/>
              <w:right w:val="single" w:color="8DA9C4" w:sz="1"/>
            </w:tcBorders>
            <w:shd w:fill="EEF4ED" w:val="clear"/>
            <w:tcMar>
              <w:top w:type="dxa" w:w="160"/>
              <w:left w:type="dxa" w:w="200"/>
              <w:bottom w:type="dxa" w:w="160"/>
              <w:right w:type="dxa" w:w="200"/>
            </w:tcMar>
          </w:tcPr>
          <w:p>
            <w:r>
              <w:rPr>
                <w:b/>
                <w:bCs/>
                <w:color w:val="13315C"/>
                <w:sz w:val="18"/>
                <w:szCs w:val="18"/>
              </w:rPr>
              <w:t xml:space="preserve">IDEA CLAVE   </w:t>
            </w:r>
            <w:r>
              <w:rPr>
                <w:color w:val="1F2937"/>
                <w:sz w:val="22"/>
                <w:szCs w:val="22"/>
              </w:rPr>
              <w:t xml:space="preserve">Si el tribunal te pregunta “¿cómo sabes que el modelo no está aprendiendo artefactos del ecógrafo?”, tu respuesta es: porque el ROI está pre-seleccionado por un especialista como zona muscular pura, y los Grad-CAM lo confirman: las activaciones se concentran dentro del ROI sobre parénquima.</w:t>
            </w:r>
          </w:p>
        </w:tc>
      </w:tr>
    </w:tbl>
    <w:p>
      <w:pPr>
        <w:pStyle w:val="Heading2"/>
        <w:spacing w:after="140" w:before="280"/>
      </w:pPr>
      <w:r>
        <w:rPr>
          <w:b/>
          <w:bCs/>
          <w:color w:val="13315C"/>
          <w:sz w:val="26"/>
          <w:szCs w:val="26"/>
        </w:rPr>
        <w:t xml:space="preserve">5.3 Por qué no hicimos análisis de sensibilidad por lateralidad</w:t>
      </w:r>
    </w:p>
    <w:p>
      <w:pPr>
        <w:spacing w:after="120"/>
      </w:pPr>
      <w:r>
        <w:t xml:space="preserve">El hospital sugirió hacer un análisis de sensibilidad comparando estrategias (lados como independientes vs promediar lados vs usar uno solo). Tu decisión razonada fue NO hacerlo, por estas razones:</w:t>
      </w:r>
    </w:p>
    <w:p>
      <w:pPr>
        <w:spacing w:after="120"/>
      </w:pPr>
      <w:r>
        <w:rPr>
          <w:b/>
          <w:bCs/>
        </w:rPr>
        <w:t xml:space="preserve">· </w:t>
      </w:r>
      <w:r>
        <w:rPr>
          <w:b/>
          <w:bCs/>
        </w:rPr>
        <w:t xml:space="preserve">Promediar antes de entrenar</w:t>
      </w:r>
      <w:r>
        <w:t xml:space="preserve"> destruye información útil: si la ELA progresa asimétricamente, promediar diluye la señal del lado más afectado con el menos afectado.</w:t>
      </w:r>
      <w:r>
        <w:rPr>
          <w:b/>
          <w:bCs/>
        </w:rPr>
        <w:t xml:space="preserve">· </w:t>
      </w:r>
      <w:r>
        <w:rPr>
          <w:b/>
          <w:bCs/>
        </w:rPr>
        <w:t xml:space="preserve">Usar un solo lado</w:t>
      </w:r>
      <w:r>
        <w:t xml:space="preserve"> tira la mitad de las imágenes, cosa que no se puede permitir con n=53 pacientes.</w:t>
      </w:r>
      <w:r>
        <w:rPr>
          <w:b/>
          <w:bCs/>
        </w:rPr>
        <w:t xml:space="preserve">· </w:t>
      </w:r>
      <w:r>
        <w:rPr>
          <w:b/>
          <w:bCs/>
        </w:rPr>
        <w:t xml:space="preserve">Tu estrategia actual (independencia + agrupación por sujeto + agregación en fusión)</w:t>
      </w:r>
      <w:r>
        <w:t xml:space="preserve"> combina lo mejor: máxima información durante el aprendizaje y agregación correcta en el momento de decidir. Es lo que el hospital hace en spirit con su modelo anidado.</w:t>
      </w:r>
    </w:p>
    <w:p>
      <w:pPr>
        <w:pStyle w:val="Heading1"/>
        <w:spacing w:after="180" w:before="360"/>
      </w:pPr>
      <w:r>
        <w:rPr>
          <w:b/>
          <w:bCs/>
          <w:color w:val="0B2545"/>
          <w:sz w:val="32"/>
          <w:szCs w:val="32"/>
        </w:rPr>
        <w:t xml:space="preserve">6. Resultados finales · qué decir cuando te pregunten</w:t>
      </w:r>
    </w:p>
    <w:p>
      <w:pPr>
        <w:pStyle w:val="Heading2"/>
        <w:spacing w:after="140" w:before="280"/>
      </w:pPr>
      <w:r>
        <w:rPr>
          <w:b/>
          <w:bCs/>
          <w:color w:val="13315C"/>
          <w:sz w:val="26"/>
          <w:szCs w:val="26"/>
        </w:rPr>
        <w:t xml:space="preserve">6.1 Métricas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526"/>
      </w:tblGrid>
      <w:tr>
        <w:trPr>
          <w:tblHeader/>
        </w:trPr>
        <w:tc>
          <w:tcPr>
            <w:tcW w:type="dxa" w:w="3000"/>
            <w:shd w:fill="0B2545" w:val="clear"/>
            <w:tcMar>
              <w:top w:type="dxa" w:w="100"/>
              <w:left w:type="dxa" w:w="120"/>
              <w:bottom w:type="dxa" w:w="100"/>
              <w:right w:type="dxa" w:w="120"/>
            </w:tcMar>
          </w:tcPr>
          <w:p>
            <w:pPr>
              <w:jc w:val="center"/>
            </w:pPr>
            <w:r>
              <w:rPr>
                <w:b/>
                <w:bCs/>
                <w:color w:val="FFFFFF"/>
                <w:sz w:val="20"/>
                <w:szCs w:val="20"/>
              </w:rPr>
              <w:t xml:space="preserve">Métrica</w:t>
            </w:r>
          </w:p>
        </w:tc>
        <w:tc>
          <w:tcPr>
            <w:tcW w:type="dxa" w:w="2500"/>
            <w:shd w:fill="0B2545" w:val="clear"/>
            <w:tcMar>
              <w:top w:type="dxa" w:w="100"/>
              <w:left w:type="dxa" w:w="120"/>
              <w:bottom w:type="dxa" w:w="100"/>
              <w:right w:type="dxa" w:w="120"/>
            </w:tcMar>
          </w:tcPr>
          <w:p>
            <w:pPr>
              <w:jc w:val="center"/>
            </w:pPr>
            <w:r>
              <w:rPr>
                <w:b/>
                <w:bCs/>
                <w:color w:val="FFFFFF"/>
                <w:sz w:val="20"/>
                <w:szCs w:val="20"/>
              </w:rPr>
              <w:t xml:space="preserve">Valor</w:t>
            </w:r>
          </w:p>
        </w:tc>
        <w:tc>
          <w:tcPr>
            <w:tcW w:type="dxa" w:w="3526"/>
            <w:shd w:fill="0B2545" w:val="clear"/>
            <w:tcMar>
              <w:top w:type="dxa" w:w="100"/>
              <w:left w:type="dxa" w:w="120"/>
              <w:bottom w:type="dxa" w:w="100"/>
              <w:right w:type="dxa" w:w="120"/>
            </w:tcMar>
          </w:tcPr>
          <w:p>
            <w:pPr>
              <w:jc w:val="center"/>
            </w:pPr>
            <w:r>
              <w:rPr>
                <w:b/>
                <w:bCs/>
                <w:color w:val="FFFFFF"/>
                <w:sz w:val="20"/>
                <w:szCs w:val="20"/>
              </w:rPr>
              <w:t xml:space="preserve">IC95 %</w:t>
            </w:r>
          </w:p>
        </w:tc>
      </w:tr>
      <w:tr>
        <w:tc>
          <w:tcPr>
            <w:tcW w:type="dxa" w:w="3000"/>
            <w:shd w:fill="FFFFFF" w:val="clear"/>
            <w:tcMar>
              <w:top w:type="dxa" w:w="80"/>
              <w:left w:type="dxa" w:w="120"/>
              <w:bottom w:type="dxa" w:w="80"/>
              <w:right w:type="dxa" w:w="120"/>
            </w:tcMar>
          </w:tcPr>
          <w:p>
            <w:pPr>
              <w:jc w:val="left"/>
            </w:pPr>
            <w:r>
              <w:rPr>
                <w:sz w:val="20"/>
                <w:szCs w:val="20"/>
              </w:rPr>
              <w:t xml:space="preserve">AUC</w:t>
            </w:r>
          </w:p>
        </w:tc>
        <w:tc>
          <w:tcPr>
            <w:tcW w:type="dxa" w:w="2500"/>
            <w:shd w:fill="FFFFFF" w:val="clear"/>
            <w:tcMar>
              <w:top w:type="dxa" w:w="80"/>
              <w:left w:type="dxa" w:w="120"/>
              <w:bottom w:type="dxa" w:w="80"/>
              <w:right w:type="dxa" w:w="120"/>
            </w:tcMar>
          </w:tcPr>
          <w:p>
            <w:pPr>
              <w:jc w:val="center"/>
            </w:pPr>
            <w:r>
              <w:rPr>
                <w:sz w:val="20"/>
                <w:szCs w:val="20"/>
              </w:rPr>
              <w:t xml:space="preserve">99.15 %</w:t>
            </w:r>
          </w:p>
        </w:tc>
        <w:tc>
          <w:tcPr>
            <w:tcW w:type="dxa" w:w="3526"/>
            <w:shd w:fill="FFFFFF" w:val="clear"/>
            <w:tcMar>
              <w:top w:type="dxa" w:w="80"/>
              <w:left w:type="dxa" w:w="120"/>
              <w:bottom w:type="dxa" w:w="80"/>
              <w:right w:type="dxa" w:w="120"/>
            </w:tcMar>
          </w:tcPr>
          <w:p>
            <w:pPr>
              <w:jc w:val="center"/>
            </w:pPr>
            <w:r>
              <w:rPr>
                <w:sz w:val="20"/>
                <w:szCs w:val="20"/>
              </w:rPr>
              <w:t xml:space="preserve">[96.8, 100.0]</w:t>
            </w:r>
          </w:p>
        </w:tc>
      </w:tr>
      <w:tr>
        <w:tc>
          <w:tcPr>
            <w:tcW w:type="dxa" w:w="3000"/>
            <w:shd w:fill="F1F5F9" w:val="clear"/>
            <w:tcMar>
              <w:top w:type="dxa" w:w="80"/>
              <w:left w:type="dxa" w:w="120"/>
              <w:bottom w:type="dxa" w:w="80"/>
              <w:right w:type="dxa" w:w="120"/>
            </w:tcMar>
          </w:tcPr>
          <w:p>
            <w:pPr>
              <w:jc w:val="left"/>
            </w:pPr>
            <w:r>
              <w:rPr>
                <w:sz w:val="20"/>
                <w:szCs w:val="20"/>
              </w:rPr>
              <w:t xml:space="preserve">Accuracy</w:t>
            </w:r>
          </w:p>
        </w:tc>
        <w:tc>
          <w:tcPr>
            <w:tcW w:type="dxa" w:w="2500"/>
            <w:shd w:fill="F1F5F9" w:val="clear"/>
            <w:tcMar>
              <w:top w:type="dxa" w:w="80"/>
              <w:left w:type="dxa" w:w="120"/>
              <w:bottom w:type="dxa" w:w="80"/>
              <w:right w:type="dxa" w:w="120"/>
            </w:tcMar>
          </w:tcPr>
          <w:p>
            <w:pPr>
              <w:jc w:val="center"/>
            </w:pPr>
            <w:r>
              <w:rPr>
                <w:sz w:val="20"/>
                <w:szCs w:val="20"/>
              </w:rPr>
              <w:t xml:space="preserve">98.11 %</w:t>
            </w:r>
          </w:p>
        </w:tc>
        <w:tc>
          <w:tcPr>
            <w:tcW w:type="dxa" w:w="3526"/>
            <w:shd w:fill="F1F5F9" w:val="clear"/>
            <w:tcMar>
              <w:top w:type="dxa" w:w="80"/>
              <w:left w:type="dxa" w:w="120"/>
              <w:bottom w:type="dxa" w:w="80"/>
              <w:right w:type="dxa" w:w="120"/>
            </w:tcMar>
          </w:tcPr>
          <w:p>
            <w:pPr>
              <w:jc w:val="center"/>
            </w:pPr>
            <w:r>
              <w:rPr>
                <w:sz w:val="20"/>
                <w:szCs w:val="20"/>
              </w:rPr>
              <w:t xml:space="preserve">[94.3, 100.0]</w:t>
            </w:r>
          </w:p>
        </w:tc>
      </w:tr>
      <w:tr>
        <w:tc>
          <w:tcPr>
            <w:tcW w:type="dxa" w:w="3000"/>
            <w:shd w:fill="FFFFFF" w:val="clear"/>
            <w:tcMar>
              <w:top w:type="dxa" w:w="80"/>
              <w:left w:type="dxa" w:w="120"/>
              <w:bottom w:type="dxa" w:w="80"/>
              <w:right w:type="dxa" w:w="120"/>
            </w:tcMar>
          </w:tcPr>
          <w:p>
            <w:pPr>
              <w:jc w:val="left"/>
            </w:pPr>
            <w:r>
              <w:rPr>
                <w:sz w:val="20"/>
                <w:szCs w:val="20"/>
              </w:rPr>
              <w:t xml:space="preserve">Sensibilidad</w:t>
            </w:r>
          </w:p>
        </w:tc>
        <w:tc>
          <w:tcPr>
            <w:tcW w:type="dxa" w:w="2500"/>
            <w:shd w:fill="FFFFFF" w:val="clear"/>
            <w:tcMar>
              <w:top w:type="dxa" w:w="80"/>
              <w:left w:type="dxa" w:w="120"/>
              <w:bottom w:type="dxa" w:w="80"/>
              <w:right w:type="dxa" w:w="120"/>
            </w:tcMar>
          </w:tcPr>
          <w:p>
            <w:pPr>
              <w:jc w:val="center"/>
            </w:pPr>
            <w:r>
              <w:rPr>
                <w:sz w:val="20"/>
                <w:szCs w:val="20"/>
              </w:rPr>
              <w:t xml:space="preserve">96.30 %</w:t>
            </w:r>
          </w:p>
        </w:tc>
        <w:tc>
          <w:tcPr>
            <w:tcW w:type="dxa" w:w="3526"/>
            <w:shd w:fill="FFFFFF" w:val="clear"/>
            <w:tcMar>
              <w:top w:type="dxa" w:w="80"/>
              <w:left w:type="dxa" w:w="120"/>
              <w:bottom w:type="dxa" w:w="80"/>
              <w:right w:type="dxa" w:w="120"/>
            </w:tcMar>
          </w:tcPr>
          <w:p>
            <w:pPr>
              <w:jc w:val="center"/>
            </w:pPr>
            <w:r>
              <w:rPr>
                <w:sz w:val="20"/>
                <w:szCs w:val="20"/>
              </w:rPr>
              <w:t xml:space="preserve">[88.2, 100.0]</w:t>
            </w:r>
          </w:p>
        </w:tc>
      </w:tr>
      <w:tr>
        <w:tc>
          <w:tcPr>
            <w:tcW w:type="dxa" w:w="3000"/>
            <w:shd w:fill="F1F5F9" w:val="clear"/>
            <w:tcMar>
              <w:top w:type="dxa" w:w="80"/>
              <w:left w:type="dxa" w:w="120"/>
              <w:bottom w:type="dxa" w:w="80"/>
              <w:right w:type="dxa" w:w="120"/>
            </w:tcMar>
          </w:tcPr>
          <w:p>
            <w:pPr>
              <w:jc w:val="left"/>
            </w:pPr>
            <w:r>
              <w:rPr>
                <w:sz w:val="20"/>
                <w:szCs w:val="20"/>
              </w:rPr>
              <w:t xml:space="preserve">Especificidad</w:t>
            </w:r>
          </w:p>
        </w:tc>
        <w:tc>
          <w:tcPr>
            <w:tcW w:type="dxa" w:w="2500"/>
            <w:shd w:fill="F1F5F9" w:val="clear"/>
            <w:tcMar>
              <w:top w:type="dxa" w:w="80"/>
              <w:left w:type="dxa" w:w="120"/>
              <w:bottom w:type="dxa" w:w="80"/>
              <w:right w:type="dxa" w:w="120"/>
            </w:tcMar>
          </w:tcPr>
          <w:p>
            <w:pPr>
              <w:jc w:val="center"/>
            </w:pPr>
            <w:r>
              <w:rPr>
                <w:sz w:val="20"/>
                <w:szCs w:val="20"/>
              </w:rPr>
              <w:t xml:space="preserve">100.00 %</w:t>
            </w:r>
          </w:p>
        </w:tc>
        <w:tc>
          <w:tcPr>
            <w:tcW w:type="dxa" w:w="3526"/>
            <w:shd w:fill="F1F5F9" w:val="clear"/>
            <w:tcMar>
              <w:top w:type="dxa" w:w="80"/>
              <w:left w:type="dxa" w:w="120"/>
              <w:bottom w:type="dxa" w:w="80"/>
              <w:right w:type="dxa" w:w="120"/>
            </w:tcMar>
          </w:tcPr>
          <w:p>
            <w:pPr>
              <w:jc w:val="center"/>
            </w:pPr>
            <w:r>
              <w:rPr>
                <w:sz w:val="20"/>
                <w:szCs w:val="20"/>
              </w:rPr>
              <w:t xml:space="preserve">[100.0, 100.0]</w:t>
            </w:r>
          </w:p>
        </w:tc>
      </w:tr>
    </w:tbl>
    <w:p>
      <w:pPr>
        <w:spacing w:after="120"/>
      </w:pPr>
      <w:r>
        <w:t xml:space="preserve"> </w:t>
      </w:r>
    </w:p>
    <w:p>
      <w:pPr>
        <w:spacing w:after="120"/>
      </w:pPr>
      <w:r>
        <w:t xml:space="preserve">Matriz de confusión: 26 verdaderos positivos, 26 verdaderos negativos, </w:t>
      </w:r>
      <w:r>
        <w:rPr>
          <w:b/>
          <w:bCs/>
          <w:color w:val="10B981"/>
        </w:rPr>
        <w:t xml:space="preserve">0 falsos positivos</w:t>
      </w:r>
      <w:r>
        <w:t xml:space="preserve">, 1 falso negativo. De 53 pacientes, el sistema acierta 52.</w:t>
      </w:r>
    </w:p>
    <w:p>
      <w:pPr>
        <w:pStyle w:val="Heading2"/>
        <w:spacing w:after="140" w:before="280"/>
      </w:pPr>
      <w:r>
        <w:rPr>
          <w:b/>
          <w:bCs/>
          <w:color w:val="13315C"/>
          <w:sz w:val="26"/>
          <w:szCs w:val="26"/>
        </w:rPr>
        <w:t xml:space="preserve">6.2 Comparación con Martínez-Payá 2017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2300"/>
        <w:gridCol w:w="1726"/>
      </w:tblGrid>
      <w:tr>
        <w:trPr>
          <w:tblHeader/>
        </w:trPr>
        <w:tc>
          <w:tcPr>
            <w:tcW w:type="dxa" w:w="2700"/>
            <w:shd w:fill="0B2545" w:val="clear"/>
            <w:tcMar>
              <w:top w:type="dxa" w:w="100"/>
              <w:left w:type="dxa" w:w="120"/>
              <w:bottom w:type="dxa" w:w="100"/>
              <w:right w:type="dxa" w:w="120"/>
            </w:tcMar>
          </w:tcPr>
          <w:p>
            <w:pPr>
              <w:jc w:val="center"/>
            </w:pPr>
            <w:r>
              <w:rPr>
                <w:b/>
                <w:bCs/>
                <w:color w:val="FFFFFF"/>
                <w:sz w:val="20"/>
                <w:szCs w:val="20"/>
              </w:rPr>
              <w:t xml:space="preserve">Métrica</w:t>
            </w:r>
          </w:p>
        </w:tc>
        <w:tc>
          <w:tcPr>
            <w:tcW w:type="dxa" w:w="2300"/>
            <w:shd w:fill="0B2545" w:val="clear"/>
            <w:tcMar>
              <w:top w:type="dxa" w:w="100"/>
              <w:left w:type="dxa" w:w="120"/>
              <w:bottom w:type="dxa" w:w="100"/>
              <w:right w:type="dxa" w:w="120"/>
            </w:tcMar>
          </w:tcPr>
          <w:p>
            <w:pPr>
              <w:jc w:val="center"/>
            </w:pPr>
            <w:r>
              <w:rPr>
                <w:b/>
                <w:bCs/>
                <w:color w:val="FFFFFF"/>
                <w:sz w:val="20"/>
                <w:szCs w:val="20"/>
              </w:rPr>
              <w:t xml:space="preserve">Baseline</w:t>
            </w:r>
          </w:p>
        </w:tc>
        <w:tc>
          <w:tcPr>
            <w:tcW w:type="dxa" w:w="2300"/>
            <w:shd w:fill="0B2545" w:val="clear"/>
            <w:tcMar>
              <w:top w:type="dxa" w:w="100"/>
              <w:left w:type="dxa" w:w="120"/>
              <w:bottom w:type="dxa" w:w="100"/>
              <w:right w:type="dxa" w:w="120"/>
            </w:tcMar>
          </w:tcPr>
          <w:p>
            <w:pPr>
              <w:jc w:val="center"/>
            </w:pPr>
            <w:r>
              <w:rPr>
                <w:b/>
                <w:bCs/>
                <w:color w:val="FFFFFF"/>
                <w:sz w:val="20"/>
                <w:szCs w:val="20"/>
              </w:rPr>
              <w:t xml:space="preserve">Tu sistema</w:t>
            </w:r>
          </w:p>
        </w:tc>
        <w:tc>
          <w:tcPr>
            <w:tcW w:type="dxa" w:w="1726"/>
            <w:shd w:fill="0B2545" w:val="clear"/>
            <w:tcMar>
              <w:top w:type="dxa" w:w="100"/>
              <w:left w:type="dxa" w:w="120"/>
              <w:bottom w:type="dxa" w:w="100"/>
              <w:right w:type="dxa" w:w="120"/>
            </w:tcMar>
          </w:tcPr>
          <w:p>
            <w:pPr>
              <w:jc w:val="center"/>
            </w:pPr>
            <w:r>
              <w:rPr>
                <w:b/>
                <w:bCs/>
                <w:color w:val="FFFFFF"/>
                <w:sz w:val="20"/>
                <w:szCs w:val="20"/>
              </w:rPr>
              <w:t xml:space="preserve">Δ</w:t>
            </w:r>
          </w:p>
        </w:tc>
      </w:tr>
      <w:tr>
        <w:tc>
          <w:tcPr>
            <w:tcW w:type="dxa" w:w="2700"/>
            <w:shd w:fill="FFFFFF" w:val="clear"/>
            <w:tcMar>
              <w:top w:type="dxa" w:w="80"/>
              <w:left w:type="dxa" w:w="120"/>
              <w:bottom w:type="dxa" w:w="80"/>
              <w:right w:type="dxa" w:w="120"/>
            </w:tcMar>
          </w:tcPr>
          <w:p>
            <w:pPr>
              <w:jc w:val="left"/>
            </w:pPr>
            <w:r>
              <w:rPr>
                <w:sz w:val="20"/>
                <w:szCs w:val="20"/>
              </w:rPr>
              <w:t xml:space="preserve">AUC</w:t>
            </w:r>
          </w:p>
        </w:tc>
        <w:tc>
          <w:tcPr>
            <w:tcW w:type="dxa" w:w="2300"/>
            <w:shd w:fill="FFFFFF" w:val="clear"/>
            <w:tcMar>
              <w:top w:type="dxa" w:w="80"/>
              <w:left w:type="dxa" w:w="120"/>
              <w:bottom w:type="dxa" w:w="80"/>
              <w:right w:type="dxa" w:w="120"/>
            </w:tcMar>
          </w:tcPr>
          <w:p>
            <w:pPr>
              <w:jc w:val="center"/>
            </w:pPr>
            <w:r>
              <w:rPr>
                <w:sz w:val="20"/>
                <w:szCs w:val="20"/>
              </w:rPr>
              <w:t xml:space="preserve">≈ 94.2 %</w:t>
            </w:r>
          </w:p>
        </w:tc>
        <w:tc>
          <w:tcPr>
            <w:tcW w:type="dxa" w:w="2300"/>
            <w:shd w:fill="FFFFFF" w:val="clear"/>
            <w:tcMar>
              <w:top w:type="dxa" w:w="80"/>
              <w:left w:type="dxa" w:w="120"/>
              <w:bottom w:type="dxa" w:w="80"/>
              <w:right w:type="dxa" w:w="120"/>
            </w:tcMar>
          </w:tcPr>
          <w:p>
            <w:pPr>
              <w:jc w:val="center"/>
            </w:pPr>
            <w:r>
              <w:rPr>
                <w:sz w:val="20"/>
                <w:szCs w:val="20"/>
              </w:rPr>
              <w:t xml:space="preserve">99.15 %</w:t>
            </w:r>
          </w:p>
        </w:tc>
        <w:tc>
          <w:tcPr>
            <w:tcW w:type="dxa" w:w="1726"/>
            <w:shd w:fill="FFFFFF" w:val="clear"/>
            <w:tcMar>
              <w:top w:type="dxa" w:w="80"/>
              <w:left w:type="dxa" w:w="120"/>
              <w:bottom w:type="dxa" w:w="80"/>
              <w:right w:type="dxa" w:w="120"/>
            </w:tcMar>
          </w:tcPr>
          <w:p>
            <w:pPr>
              <w:jc w:val="center"/>
            </w:pPr>
            <w:r>
              <w:rPr>
                <w:sz w:val="20"/>
                <w:szCs w:val="20"/>
              </w:rPr>
              <w:t xml:space="preserve">+5</w:t>
            </w:r>
          </w:p>
        </w:tc>
      </w:tr>
      <w:tr>
        <w:tc>
          <w:tcPr>
            <w:tcW w:type="dxa" w:w="2700"/>
            <w:shd w:fill="F1F5F9" w:val="clear"/>
            <w:tcMar>
              <w:top w:type="dxa" w:w="80"/>
              <w:left w:type="dxa" w:w="120"/>
              <w:bottom w:type="dxa" w:w="80"/>
              <w:right w:type="dxa" w:w="120"/>
            </w:tcMar>
          </w:tcPr>
          <w:p>
            <w:pPr>
              <w:jc w:val="left"/>
            </w:pPr>
            <w:r>
              <w:rPr>
                <w:sz w:val="20"/>
                <w:szCs w:val="20"/>
              </w:rPr>
              <w:t xml:space="preserve">Sensibilidad</w:t>
            </w:r>
          </w:p>
        </w:tc>
        <w:tc>
          <w:tcPr>
            <w:tcW w:type="dxa" w:w="2300"/>
            <w:shd w:fill="F1F5F9" w:val="clear"/>
            <w:tcMar>
              <w:top w:type="dxa" w:w="80"/>
              <w:left w:type="dxa" w:w="120"/>
              <w:bottom w:type="dxa" w:w="80"/>
              <w:right w:type="dxa" w:w="120"/>
            </w:tcMar>
          </w:tcPr>
          <w:p>
            <w:pPr>
              <w:jc w:val="center"/>
            </w:pPr>
            <w:r>
              <w:rPr>
                <w:sz w:val="20"/>
                <w:szCs w:val="20"/>
              </w:rPr>
              <w:t xml:space="preserve">≈ 87.0 %</w:t>
            </w:r>
          </w:p>
        </w:tc>
        <w:tc>
          <w:tcPr>
            <w:tcW w:type="dxa" w:w="2300"/>
            <w:shd w:fill="F1F5F9" w:val="clear"/>
            <w:tcMar>
              <w:top w:type="dxa" w:w="80"/>
              <w:left w:type="dxa" w:w="120"/>
              <w:bottom w:type="dxa" w:w="80"/>
              <w:right w:type="dxa" w:w="120"/>
            </w:tcMar>
          </w:tcPr>
          <w:p>
            <w:pPr>
              <w:jc w:val="center"/>
            </w:pPr>
            <w:r>
              <w:rPr>
                <w:sz w:val="20"/>
                <w:szCs w:val="20"/>
              </w:rPr>
              <w:t xml:space="preserve">96.30 %</w:t>
            </w:r>
          </w:p>
        </w:tc>
        <w:tc>
          <w:tcPr>
            <w:tcW w:type="dxa" w:w="1726"/>
            <w:shd w:fill="F1F5F9" w:val="clear"/>
            <w:tcMar>
              <w:top w:type="dxa" w:w="80"/>
              <w:left w:type="dxa" w:w="120"/>
              <w:bottom w:type="dxa" w:w="80"/>
              <w:right w:type="dxa" w:w="120"/>
            </w:tcMar>
          </w:tcPr>
          <w:p>
            <w:pPr>
              <w:jc w:val="center"/>
            </w:pPr>
            <w:r>
              <w:rPr>
                <w:sz w:val="20"/>
                <w:szCs w:val="20"/>
              </w:rPr>
              <w:t xml:space="preserve">+9</w:t>
            </w:r>
          </w:p>
        </w:tc>
      </w:tr>
      <w:tr>
        <w:tc>
          <w:tcPr>
            <w:tcW w:type="dxa" w:w="2700"/>
            <w:shd w:fill="FFFFFF" w:val="clear"/>
            <w:tcMar>
              <w:top w:type="dxa" w:w="80"/>
              <w:left w:type="dxa" w:w="120"/>
              <w:bottom w:type="dxa" w:w="80"/>
              <w:right w:type="dxa" w:w="120"/>
            </w:tcMar>
          </w:tcPr>
          <w:p>
            <w:pPr>
              <w:jc w:val="left"/>
            </w:pPr>
            <w:r>
              <w:rPr>
                <w:sz w:val="20"/>
                <w:szCs w:val="20"/>
              </w:rPr>
              <w:t xml:space="preserve">Especificidad</w:t>
            </w:r>
          </w:p>
        </w:tc>
        <w:tc>
          <w:tcPr>
            <w:tcW w:type="dxa" w:w="2300"/>
            <w:shd w:fill="FFFFFF" w:val="clear"/>
            <w:tcMar>
              <w:top w:type="dxa" w:w="80"/>
              <w:left w:type="dxa" w:w="120"/>
              <w:bottom w:type="dxa" w:w="80"/>
              <w:right w:type="dxa" w:w="120"/>
            </w:tcMar>
          </w:tcPr>
          <w:p>
            <w:pPr>
              <w:jc w:val="center"/>
            </w:pPr>
            <w:r>
              <w:rPr>
                <w:sz w:val="20"/>
                <w:szCs w:val="20"/>
              </w:rPr>
              <w:t xml:space="preserve">≈ 87.5 %</w:t>
            </w:r>
          </w:p>
        </w:tc>
        <w:tc>
          <w:tcPr>
            <w:tcW w:type="dxa" w:w="2300"/>
            <w:shd w:fill="FFFFFF" w:val="clear"/>
            <w:tcMar>
              <w:top w:type="dxa" w:w="80"/>
              <w:left w:type="dxa" w:w="120"/>
              <w:bottom w:type="dxa" w:w="80"/>
              <w:right w:type="dxa" w:w="120"/>
            </w:tcMar>
          </w:tcPr>
          <w:p>
            <w:pPr>
              <w:jc w:val="center"/>
            </w:pPr>
            <w:r>
              <w:rPr>
                <w:sz w:val="20"/>
                <w:szCs w:val="20"/>
              </w:rPr>
              <w:t xml:space="preserve">100 %</w:t>
            </w:r>
          </w:p>
        </w:tc>
        <w:tc>
          <w:tcPr>
            <w:tcW w:type="dxa" w:w="1726"/>
            <w:shd w:fill="FFFFFF" w:val="clear"/>
            <w:tcMar>
              <w:top w:type="dxa" w:w="80"/>
              <w:left w:type="dxa" w:w="120"/>
              <w:bottom w:type="dxa" w:w="80"/>
              <w:right w:type="dxa" w:w="120"/>
            </w:tcMar>
          </w:tcPr>
          <w:p>
            <w:pPr>
              <w:jc w:val="center"/>
            </w:pPr>
            <w:r>
              <w:rPr>
                <w:sz w:val="20"/>
                <w:szCs w:val="20"/>
              </w:rPr>
              <w:t xml:space="preserve">+13</w:t>
            </w:r>
          </w:p>
        </w:tc>
      </w:tr>
    </w:tbl>
    <w:p>
      <w:pPr>
        <w:spacing w:after="12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DA9C4" w:sz="1"/>
              <w:left w:val="single" w:color="13315C" w:sz="24"/>
              <w:bottom w:val="single" w:color="8DA9C4" w:sz="1"/>
              <w:right w:val="single" w:color="8DA9C4" w:sz="1"/>
            </w:tcBorders>
            <w:shd w:fill="EEF4ED" w:val="clear"/>
            <w:tcMar>
              <w:top w:type="dxa" w:w="160"/>
              <w:left w:type="dxa" w:w="200"/>
              <w:bottom w:type="dxa" w:w="160"/>
              <w:right w:type="dxa" w:w="200"/>
            </w:tcMar>
          </w:tcPr>
          <w:p>
            <w:r>
              <w:rPr>
                <w:b/>
                <w:bCs/>
                <w:color w:val="13315C"/>
                <w:sz w:val="18"/>
                <w:szCs w:val="18"/>
              </w:rPr>
              <w:t xml:space="preserve">IDEA CLAVE   </w:t>
            </w:r>
            <w:r>
              <w:rPr>
                <w:color w:val="1F2937"/>
                <w:sz w:val="22"/>
                <w:szCs w:val="22"/>
              </w:rPr>
              <w:t xml:space="preserve">La asimetría que tienes que declarar honestamente: el baseline mide a nivel imagen, tu sistema a nivel paciente. La asimetría es PRECISAMENTE la motivación del trabajo: el médico diagnostica al paciente, no a la imagen.</w:t>
            </w:r>
          </w:p>
        </w:tc>
      </w:tr>
    </w:tbl>
    <w:p>
      <w:pPr>
        <w:pStyle w:val="Heading1"/>
        <w:spacing w:after="180" w:before="360"/>
      </w:pPr>
      <w:r>
        <w:rPr>
          <w:b/>
          <w:bCs/>
          <w:color w:val="0B2545"/>
          <w:sz w:val="32"/>
          <w:szCs w:val="32"/>
        </w:rPr>
        <w:t xml:space="preserve">7. Glosario rápido (cheat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0B2545" w:val="clear"/>
            <w:tcMar>
              <w:top w:type="dxa" w:w="100"/>
              <w:left w:type="dxa" w:w="120"/>
              <w:bottom w:type="dxa" w:w="100"/>
              <w:right w:type="dxa" w:w="120"/>
            </w:tcMar>
          </w:tcPr>
          <w:p>
            <w:pPr>
              <w:jc w:val="center"/>
            </w:pPr>
            <w:r>
              <w:rPr>
                <w:b/>
                <w:bCs/>
                <w:color w:val="FFFFFF"/>
                <w:sz w:val="20"/>
                <w:szCs w:val="20"/>
              </w:rPr>
              <w:t xml:space="preserve">Término</w:t>
            </w:r>
          </w:p>
        </w:tc>
        <w:tc>
          <w:tcPr>
            <w:tcW w:type="dxa" w:w="6826"/>
            <w:shd w:fill="0B2545" w:val="clear"/>
            <w:tcMar>
              <w:top w:type="dxa" w:w="100"/>
              <w:left w:type="dxa" w:w="120"/>
              <w:bottom w:type="dxa" w:w="100"/>
              <w:right w:type="dxa" w:w="120"/>
            </w:tcMar>
          </w:tcPr>
          <w:p>
            <w:pPr>
              <w:jc w:val="center"/>
            </w:pPr>
            <w:r>
              <w:rPr>
                <w:b/>
                <w:bCs/>
                <w:color w:val="FFFFFF"/>
                <w:sz w:val="20"/>
                <w:szCs w:val="20"/>
              </w:rPr>
              <w:t xml:space="preserve">Definición rápida</w:t>
            </w:r>
          </w:p>
        </w:tc>
      </w:tr>
      <w:tr>
        <w:tc>
          <w:tcPr>
            <w:tcW w:type="dxa" w:w="2200"/>
            <w:shd w:fill="FFFFFF" w:val="clear"/>
            <w:tcMar>
              <w:top w:type="dxa" w:w="80"/>
              <w:left w:type="dxa" w:w="120"/>
              <w:bottom w:type="dxa" w:w="80"/>
              <w:right w:type="dxa" w:w="120"/>
            </w:tcMar>
          </w:tcPr>
          <w:p>
            <w:pPr>
              <w:jc w:val="left"/>
            </w:pPr>
            <w:r>
              <w:rPr>
                <w:sz w:val="20"/>
                <w:szCs w:val="20"/>
              </w:rPr>
              <w:t xml:space="preserve">AUC</w:t>
            </w:r>
          </w:p>
        </w:tc>
        <w:tc>
          <w:tcPr>
            <w:tcW w:type="dxa" w:w="6826"/>
            <w:shd w:fill="FFFFFF" w:val="clear"/>
            <w:tcMar>
              <w:top w:type="dxa" w:w="80"/>
              <w:left w:type="dxa" w:w="120"/>
              <w:bottom w:type="dxa" w:w="80"/>
              <w:right w:type="dxa" w:w="120"/>
            </w:tcMar>
          </w:tcPr>
          <w:p>
            <w:pPr>
              <w:jc w:val="center"/>
            </w:pPr>
            <w:r>
              <w:rPr>
                <w:sz w:val="20"/>
                <w:szCs w:val="20"/>
              </w:rPr>
              <w:t xml:space="preserve">Área bajo la curva ROC. Probabilidad de que el modelo ordene bien un par (ELA, Control) cogido al azar. Va de 0.5 (azar) a 1.0 (perfecto).</w:t>
            </w:r>
          </w:p>
        </w:tc>
      </w:tr>
      <w:tr>
        <w:tc>
          <w:tcPr>
            <w:tcW w:type="dxa" w:w="2200"/>
            <w:shd w:fill="F1F5F9" w:val="clear"/>
            <w:tcMar>
              <w:top w:type="dxa" w:w="80"/>
              <w:left w:type="dxa" w:w="120"/>
              <w:bottom w:type="dxa" w:w="80"/>
              <w:right w:type="dxa" w:w="120"/>
            </w:tcMar>
          </w:tcPr>
          <w:p>
            <w:pPr>
              <w:jc w:val="left"/>
            </w:pPr>
            <w:r>
              <w:rPr>
                <w:sz w:val="20"/>
                <w:szCs w:val="20"/>
              </w:rPr>
              <w:t xml:space="preserve">Sensibilidad (Sens)</w:t>
            </w:r>
          </w:p>
        </w:tc>
        <w:tc>
          <w:tcPr>
            <w:tcW w:type="dxa" w:w="6826"/>
            <w:shd w:fill="F1F5F9" w:val="clear"/>
            <w:tcMar>
              <w:top w:type="dxa" w:w="80"/>
              <w:left w:type="dxa" w:w="120"/>
              <w:bottom w:type="dxa" w:w="80"/>
              <w:right w:type="dxa" w:w="120"/>
            </w:tcMar>
          </w:tcPr>
          <w:p>
            <w:pPr>
              <w:jc w:val="center"/>
            </w:pPr>
            <w:r>
              <w:rPr>
                <w:sz w:val="20"/>
                <w:szCs w:val="20"/>
              </w:rPr>
              <w:t xml:space="preserve">De los pacientes con ELA, qué proporción detecto correctamente. También llamado “recall” o tasa de verdaderos positivos.</w:t>
            </w:r>
          </w:p>
        </w:tc>
      </w:tr>
      <w:tr>
        <w:tc>
          <w:tcPr>
            <w:tcW w:type="dxa" w:w="2200"/>
            <w:shd w:fill="FFFFFF" w:val="clear"/>
            <w:tcMar>
              <w:top w:type="dxa" w:w="80"/>
              <w:left w:type="dxa" w:w="120"/>
              <w:bottom w:type="dxa" w:w="80"/>
              <w:right w:type="dxa" w:w="120"/>
            </w:tcMar>
          </w:tcPr>
          <w:p>
            <w:pPr>
              <w:jc w:val="left"/>
            </w:pPr>
            <w:r>
              <w:rPr>
                <w:sz w:val="20"/>
                <w:szCs w:val="20"/>
              </w:rPr>
              <w:t xml:space="preserve">Especificidad (Spec)</w:t>
            </w:r>
          </w:p>
        </w:tc>
        <w:tc>
          <w:tcPr>
            <w:tcW w:type="dxa" w:w="6826"/>
            <w:shd w:fill="FFFFFF" w:val="clear"/>
            <w:tcMar>
              <w:top w:type="dxa" w:w="80"/>
              <w:left w:type="dxa" w:w="120"/>
              <w:bottom w:type="dxa" w:w="80"/>
              <w:right w:type="dxa" w:w="120"/>
            </w:tcMar>
          </w:tcPr>
          <w:p>
            <w:pPr>
              <w:jc w:val="center"/>
            </w:pPr>
            <w:r>
              <w:rPr>
                <w:sz w:val="20"/>
                <w:szCs w:val="20"/>
              </w:rPr>
              <w:t xml:space="preserve">De los controles sanos, qué proporción clasifico bien como sanos. Tasa de verdaderos negativos.</w:t>
            </w:r>
          </w:p>
        </w:tc>
      </w:tr>
      <w:tr>
        <w:tc>
          <w:tcPr>
            <w:tcW w:type="dxa" w:w="2200"/>
            <w:shd w:fill="F1F5F9" w:val="clear"/>
            <w:tcMar>
              <w:top w:type="dxa" w:w="80"/>
              <w:left w:type="dxa" w:w="120"/>
              <w:bottom w:type="dxa" w:w="80"/>
              <w:right w:type="dxa" w:w="120"/>
            </w:tcMar>
          </w:tcPr>
          <w:p>
            <w:pPr>
              <w:jc w:val="left"/>
            </w:pPr>
            <w:r>
              <w:rPr>
                <w:sz w:val="20"/>
                <w:szCs w:val="20"/>
              </w:rPr>
              <w:t xml:space="preserve">IC95 %</w:t>
            </w:r>
          </w:p>
        </w:tc>
        <w:tc>
          <w:tcPr>
            <w:tcW w:type="dxa" w:w="6826"/>
            <w:shd w:fill="F1F5F9" w:val="clear"/>
            <w:tcMar>
              <w:top w:type="dxa" w:w="80"/>
              <w:left w:type="dxa" w:w="120"/>
              <w:bottom w:type="dxa" w:w="80"/>
              <w:right w:type="dxa" w:w="120"/>
            </w:tcMar>
          </w:tcPr>
          <w:p>
            <w:pPr>
              <w:jc w:val="center"/>
            </w:pPr>
            <w:r>
              <w:rPr>
                <w:sz w:val="20"/>
                <w:szCs w:val="20"/>
              </w:rPr>
              <w:t xml:space="preserve">Intervalo de confianza al 95 %. Rango en el que estoy 95 % seguro de que está el valor verdadero.</w:t>
            </w:r>
          </w:p>
        </w:tc>
      </w:tr>
      <w:tr>
        <w:tc>
          <w:tcPr>
            <w:tcW w:type="dxa" w:w="2200"/>
            <w:shd w:fill="FFFFFF" w:val="clear"/>
            <w:tcMar>
              <w:top w:type="dxa" w:w="80"/>
              <w:left w:type="dxa" w:w="120"/>
              <w:bottom w:type="dxa" w:w="80"/>
              <w:right w:type="dxa" w:w="120"/>
            </w:tcMar>
          </w:tcPr>
          <w:p>
            <w:pPr>
              <w:jc w:val="left"/>
            </w:pPr>
            <w:r>
              <w:rPr>
                <w:sz w:val="20"/>
                <w:szCs w:val="20"/>
              </w:rPr>
              <w:t xml:space="preserve">t-Student</w:t>
            </w:r>
          </w:p>
        </w:tc>
        <w:tc>
          <w:tcPr>
            <w:tcW w:type="dxa" w:w="6826"/>
            <w:shd w:fill="FFFFFF" w:val="clear"/>
            <w:tcMar>
              <w:top w:type="dxa" w:w="80"/>
              <w:left w:type="dxa" w:w="120"/>
              <w:bottom w:type="dxa" w:w="80"/>
              <w:right w:type="dxa" w:w="120"/>
            </w:tcMar>
          </w:tcPr>
          <w:p>
            <w:pPr>
              <w:jc w:val="center"/>
            </w:pPr>
            <w:r>
              <w:rPr>
                <w:sz w:val="20"/>
                <w:szCs w:val="20"/>
              </w:rPr>
              <w:t xml:space="preserve">Distribución estadística usada para calcular IC con pocos datos. Da la fórmula media ± t · std/√n.</w:t>
            </w:r>
          </w:p>
        </w:tc>
      </w:tr>
      <w:tr>
        <w:tc>
          <w:tcPr>
            <w:tcW w:type="dxa" w:w="2200"/>
            <w:shd w:fill="F1F5F9" w:val="clear"/>
            <w:tcMar>
              <w:top w:type="dxa" w:w="80"/>
              <w:left w:type="dxa" w:w="120"/>
              <w:bottom w:type="dxa" w:w="80"/>
              <w:right w:type="dxa" w:w="120"/>
            </w:tcMar>
          </w:tcPr>
          <w:p>
            <w:pPr>
              <w:jc w:val="left"/>
            </w:pPr>
            <w:r>
              <w:rPr>
                <w:sz w:val="20"/>
                <w:szCs w:val="20"/>
              </w:rPr>
              <w:t xml:space="preserve">Bootstrap</w:t>
            </w:r>
          </w:p>
        </w:tc>
        <w:tc>
          <w:tcPr>
            <w:tcW w:type="dxa" w:w="6826"/>
            <w:shd w:fill="F1F5F9" w:val="clear"/>
            <w:tcMar>
              <w:top w:type="dxa" w:w="80"/>
              <w:left w:type="dxa" w:w="120"/>
              <w:bottom w:type="dxa" w:w="80"/>
              <w:right w:type="dxa" w:w="120"/>
            </w:tcMar>
          </w:tcPr>
          <w:p>
            <w:pPr>
              <w:jc w:val="center"/>
            </w:pPr>
            <w:r>
              <w:rPr>
                <w:sz w:val="20"/>
                <w:szCs w:val="20"/>
              </w:rPr>
              <w:t xml:space="preserve">Método sin fórmulas: simulo muchas muestras con reemplazo y miro la dispersión de las medias.</w:t>
            </w:r>
          </w:p>
        </w:tc>
      </w:tr>
      <w:tr>
        <w:tc>
          <w:tcPr>
            <w:tcW w:type="dxa" w:w="2200"/>
            <w:shd w:fill="FFFFFF" w:val="clear"/>
            <w:tcMar>
              <w:top w:type="dxa" w:w="80"/>
              <w:left w:type="dxa" w:w="120"/>
              <w:bottom w:type="dxa" w:w="80"/>
              <w:right w:type="dxa" w:w="120"/>
            </w:tcMar>
          </w:tcPr>
          <w:p>
            <w:pPr>
              <w:jc w:val="left"/>
            </w:pPr>
            <w:r>
              <w:rPr>
                <w:sz w:val="20"/>
                <w:szCs w:val="20"/>
              </w:rPr>
              <w:t xml:space="preserve">Youden's J</w:t>
            </w:r>
          </w:p>
        </w:tc>
        <w:tc>
          <w:tcPr>
            <w:tcW w:type="dxa" w:w="6826"/>
            <w:shd w:fill="FFFFFF" w:val="clear"/>
            <w:tcMar>
              <w:top w:type="dxa" w:w="80"/>
              <w:left w:type="dxa" w:w="120"/>
              <w:bottom w:type="dxa" w:w="80"/>
              <w:right w:type="dxa" w:w="120"/>
            </w:tcMar>
          </w:tcPr>
          <w:p>
            <w:pPr>
              <w:jc w:val="center"/>
            </w:pPr>
            <w:r>
              <w:rPr>
                <w:sz w:val="20"/>
                <w:szCs w:val="20"/>
              </w:rPr>
              <w:t xml:space="preserve">Índice J = Sens + Spec − 1. Se usa para elegir el umbral óptimo que balancea sensibilidad y especificidad.</w:t>
            </w:r>
          </w:p>
        </w:tc>
      </w:tr>
      <w:tr>
        <w:tc>
          <w:tcPr>
            <w:tcW w:type="dxa" w:w="2200"/>
            <w:shd w:fill="F1F5F9" w:val="clear"/>
            <w:tcMar>
              <w:top w:type="dxa" w:w="80"/>
              <w:left w:type="dxa" w:w="120"/>
              <w:bottom w:type="dxa" w:w="80"/>
              <w:right w:type="dxa" w:w="120"/>
            </w:tcMar>
          </w:tcPr>
          <w:p>
            <w:pPr>
              <w:jc w:val="left"/>
            </w:pPr>
            <w:r>
              <w:rPr>
                <w:sz w:val="20"/>
                <w:szCs w:val="20"/>
              </w:rPr>
              <w:t xml:space="preserve">DeLong</w:t>
            </w:r>
          </w:p>
        </w:tc>
        <w:tc>
          <w:tcPr>
            <w:tcW w:type="dxa" w:w="6826"/>
            <w:shd w:fill="F1F5F9" w:val="clear"/>
            <w:tcMar>
              <w:top w:type="dxa" w:w="80"/>
              <w:left w:type="dxa" w:w="120"/>
              <w:bottom w:type="dxa" w:w="80"/>
              <w:right w:type="dxa" w:w="120"/>
            </w:tcMar>
          </w:tcPr>
          <w:p>
            <w:pPr>
              <w:jc w:val="center"/>
            </w:pPr>
            <w:r>
              <w:rPr>
                <w:sz w:val="20"/>
                <w:szCs w:val="20"/>
              </w:rPr>
              <w:t xml:space="preserve">Test estadístico para comparar dos AUCs sobre los mismos pacientes. Usado en literatura médica.</w:t>
            </w:r>
          </w:p>
        </w:tc>
      </w:tr>
      <w:tr>
        <w:tc>
          <w:tcPr>
            <w:tcW w:type="dxa" w:w="2200"/>
            <w:shd w:fill="FFFFFF" w:val="clear"/>
            <w:tcMar>
              <w:top w:type="dxa" w:w="80"/>
              <w:left w:type="dxa" w:w="120"/>
              <w:bottom w:type="dxa" w:w="80"/>
              <w:right w:type="dxa" w:w="120"/>
            </w:tcMar>
          </w:tcPr>
          <w:p>
            <w:pPr>
              <w:jc w:val="left"/>
            </w:pPr>
            <w:r>
              <w:rPr>
                <w:sz w:val="20"/>
                <w:szCs w:val="20"/>
              </w:rPr>
              <w:t xml:space="preserve">Wilcoxon signed-rank</w:t>
            </w:r>
          </w:p>
        </w:tc>
        <w:tc>
          <w:tcPr>
            <w:tcW w:type="dxa" w:w="6826"/>
            <w:shd w:fill="FFFFFF" w:val="clear"/>
            <w:tcMar>
              <w:top w:type="dxa" w:w="80"/>
              <w:left w:type="dxa" w:w="120"/>
              <w:bottom w:type="dxa" w:w="80"/>
              <w:right w:type="dxa" w:w="120"/>
            </w:tcMar>
          </w:tcPr>
          <w:p>
            <w:pPr>
              <w:jc w:val="center"/>
            </w:pPr>
            <w:r>
              <w:rPr>
                <w:sz w:val="20"/>
                <w:szCs w:val="20"/>
              </w:rPr>
              <w:t xml:space="preserve">Test no paramétrico para comparar dos métricas pareadas. No asume distribución normal.</w:t>
            </w:r>
          </w:p>
        </w:tc>
      </w:tr>
      <w:tr>
        <w:tc>
          <w:tcPr>
            <w:tcW w:type="dxa" w:w="2200"/>
            <w:shd w:fill="F1F5F9" w:val="clear"/>
            <w:tcMar>
              <w:top w:type="dxa" w:w="80"/>
              <w:left w:type="dxa" w:w="120"/>
              <w:bottom w:type="dxa" w:w="80"/>
              <w:right w:type="dxa" w:w="120"/>
            </w:tcMar>
          </w:tcPr>
          <w:p>
            <w:pPr>
              <w:jc w:val="left"/>
            </w:pPr>
            <w:r>
              <w:rPr>
                <w:sz w:val="20"/>
                <w:szCs w:val="20"/>
              </w:rPr>
              <w:t xml:space="preserve">StratifiedGroupKFold</w:t>
            </w:r>
          </w:p>
        </w:tc>
        <w:tc>
          <w:tcPr>
            <w:tcW w:type="dxa" w:w="6826"/>
            <w:shd w:fill="F1F5F9" w:val="clear"/>
            <w:tcMar>
              <w:top w:type="dxa" w:w="80"/>
              <w:left w:type="dxa" w:w="120"/>
              <w:bottom w:type="dxa" w:w="80"/>
              <w:right w:type="dxa" w:w="120"/>
            </w:tcMar>
          </w:tcPr>
          <w:p>
            <w:pPr>
              <w:jc w:val="center"/>
            </w:pPr>
            <w:r>
              <w:rPr>
                <w:sz w:val="20"/>
                <w:szCs w:val="20"/>
              </w:rPr>
              <w:t xml:space="preserve">Validación cruzada que (a) preserva el balance de clases en cada fold y (b) evita que un mismo paciente caiga a la vez en train y validación.</w:t>
            </w:r>
          </w:p>
        </w:tc>
      </w:tr>
      <w:tr>
        <w:tc>
          <w:tcPr>
            <w:tcW w:type="dxa" w:w="2200"/>
            <w:shd w:fill="FFFFFF" w:val="clear"/>
            <w:tcMar>
              <w:top w:type="dxa" w:w="80"/>
              <w:left w:type="dxa" w:w="120"/>
              <w:bottom w:type="dxa" w:w="80"/>
              <w:right w:type="dxa" w:w="120"/>
            </w:tcMar>
          </w:tcPr>
          <w:p>
            <w:pPr>
              <w:jc w:val="left"/>
            </w:pPr>
            <w:r>
              <w:rPr>
                <w:sz w:val="20"/>
                <w:szCs w:val="20"/>
              </w:rPr>
              <w:t xml:space="preserve">Out-of-fold (OOF)</w:t>
            </w:r>
          </w:p>
        </w:tc>
        <w:tc>
          <w:tcPr>
            <w:tcW w:type="dxa" w:w="6826"/>
            <w:shd w:fill="FFFFFF" w:val="clear"/>
            <w:tcMar>
              <w:top w:type="dxa" w:w="80"/>
              <w:left w:type="dxa" w:w="120"/>
              <w:bottom w:type="dxa" w:w="80"/>
              <w:right w:type="dxa" w:w="120"/>
            </w:tcMar>
          </w:tcPr>
          <w:p>
            <w:pPr>
              <w:jc w:val="center"/>
            </w:pPr>
            <w:r>
              <w:rPr>
                <w:sz w:val="20"/>
                <w:szCs w:val="20"/>
              </w:rPr>
              <w:t xml:space="preserve">Predicción de un paciente hecha por el modelo del fold que no le vio entrenar. Es lo que hace las métricas honestas.</w:t>
            </w:r>
          </w:p>
        </w:tc>
      </w:tr>
      <w:tr>
        <w:tc>
          <w:tcPr>
            <w:tcW w:type="dxa" w:w="2200"/>
            <w:shd w:fill="F1F5F9" w:val="clear"/>
            <w:tcMar>
              <w:top w:type="dxa" w:w="80"/>
              <w:left w:type="dxa" w:w="120"/>
              <w:bottom w:type="dxa" w:w="80"/>
              <w:right w:type="dxa" w:w="120"/>
            </w:tcMar>
          </w:tcPr>
          <w:p>
            <w:pPr>
              <w:jc w:val="left"/>
            </w:pPr>
            <w:r>
              <w:rPr>
                <w:sz w:val="20"/>
                <w:szCs w:val="20"/>
              </w:rPr>
              <w:t xml:space="preserve">Fusión a nivel paciente</w:t>
            </w:r>
          </w:p>
        </w:tc>
        <w:tc>
          <w:tcPr>
            <w:tcW w:type="dxa" w:w="6826"/>
            <w:shd w:fill="F1F5F9" w:val="clear"/>
            <w:tcMar>
              <w:top w:type="dxa" w:w="80"/>
              <w:left w:type="dxa" w:w="120"/>
              <w:bottom w:type="dxa" w:w="80"/>
              <w:right w:type="dxa" w:w="120"/>
            </w:tcMar>
          </w:tcPr>
          <w:p>
            <w:pPr>
              <w:jc w:val="center"/>
            </w:pPr>
            <w:r>
              <w:rPr>
                <w:sz w:val="20"/>
                <w:szCs w:val="20"/>
              </w:rPr>
              <w:t xml:space="preserve">Combinar las cuatro probabilidades de los músculos de un mismo paciente en una sola probabilidad de ELA.</w:t>
            </w:r>
          </w:p>
        </w:tc>
      </w:tr>
      <w:tr>
        <w:tc>
          <w:tcPr>
            <w:tcW w:type="dxa" w:w="2200"/>
            <w:shd w:fill="FFFFFF" w:val="clear"/>
            <w:tcMar>
              <w:top w:type="dxa" w:w="80"/>
              <w:left w:type="dxa" w:w="120"/>
              <w:bottom w:type="dxa" w:w="80"/>
              <w:right w:type="dxa" w:w="120"/>
            </w:tcMar>
          </w:tcPr>
          <w:p>
            <w:pPr>
              <w:jc w:val="left"/>
            </w:pPr>
            <w:r>
              <w:rPr>
                <w:sz w:val="20"/>
                <w:szCs w:val="20"/>
              </w:rPr>
              <w:t xml:space="preserve">Grad-CAM</w:t>
            </w:r>
          </w:p>
        </w:tc>
        <w:tc>
          <w:tcPr>
            <w:tcW w:type="dxa" w:w="6826"/>
            <w:shd w:fill="FFFFFF" w:val="clear"/>
            <w:tcMar>
              <w:top w:type="dxa" w:w="80"/>
              <w:left w:type="dxa" w:w="120"/>
              <w:bottom w:type="dxa" w:w="80"/>
              <w:right w:type="dxa" w:w="120"/>
            </w:tcMar>
          </w:tcPr>
          <w:p>
            <w:pPr>
              <w:jc w:val="center"/>
            </w:pPr>
            <w:r>
              <w:rPr>
                <w:sz w:val="20"/>
                <w:szCs w:val="20"/>
              </w:rPr>
              <w:t xml:space="preserve">Mapa de calor que muestra qué partes de la imagen activaron más al modelo a la hora de tomar su decisión. Sirve para explicabilidad.</w:t>
            </w:r>
          </w:p>
        </w:tc>
      </w:tr>
      <w:tr>
        <w:tc>
          <w:tcPr>
            <w:tcW w:type="dxa" w:w="2200"/>
            <w:shd w:fill="F1F5F9" w:val="clear"/>
            <w:tcMar>
              <w:top w:type="dxa" w:w="80"/>
              <w:left w:type="dxa" w:w="120"/>
              <w:bottom w:type="dxa" w:w="80"/>
              <w:right w:type="dxa" w:w="120"/>
            </w:tcMar>
          </w:tcPr>
          <w:p>
            <w:pPr>
              <w:jc w:val="left"/>
            </w:pPr>
            <w:r>
              <w:rPr>
                <w:sz w:val="20"/>
                <w:szCs w:val="20"/>
              </w:rPr>
              <w:t xml:space="preserve">Transfer learning</w:t>
            </w:r>
          </w:p>
        </w:tc>
        <w:tc>
          <w:tcPr>
            <w:tcW w:type="dxa" w:w="6826"/>
            <w:shd w:fill="F1F5F9" w:val="clear"/>
            <w:tcMar>
              <w:top w:type="dxa" w:w="80"/>
              <w:left w:type="dxa" w:w="120"/>
              <w:bottom w:type="dxa" w:w="80"/>
              <w:right w:type="dxa" w:w="120"/>
            </w:tcMar>
          </w:tcPr>
          <w:p>
            <w:pPr>
              <w:jc w:val="center"/>
            </w:pPr>
            <w:r>
              <w:rPr>
                <w:sz w:val="20"/>
                <w:szCs w:val="20"/>
              </w:rPr>
              <w:t xml:space="preserve">Aprovechar una red pre-entrenada en un dataset enorme (ImageNet) y solo afinarla para tu problema. Necesario porque tienes pocos datos.</w:t>
            </w:r>
          </w:p>
        </w:tc>
      </w:tr>
      <w:tr>
        <w:tc>
          <w:tcPr>
            <w:tcW w:type="dxa" w:w="2200"/>
            <w:shd w:fill="FFFFFF" w:val="clear"/>
            <w:tcMar>
              <w:top w:type="dxa" w:w="80"/>
              <w:left w:type="dxa" w:w="120"/>
              <w:bottom w:type="dxa" w:w="80"/>
              <w:right w:type="dxa" w:w="120"/>
            </w:tcMar>
          </w:tcPr>
          <w:p>
            <w:pPr>
              <w:jc w:val="left"/>
            </w:pPr>
            <w:r>
              <w:rPr>
                <w:sz w:val="20"/>
                <w:szCs w:val="20"/>
              </w:rPr>
              <w:t xml:space="preserve">Baseline</w:t>
            </w:r>
          </w:p>
        </w:tc>
        <w:tc>
          <w:tcPr>
            <w:tcW w:type="dxa" w:w="6826"/>
            <w:shd w:fill="FFFFFF" w:val="clear"/>
            <w:tcMar>
              <w:top w:type="dxa" w:w="80"/>
              <w:left w:type="dxa" w:w="120"/>
              <w:bottom w:type="dxa" w:w="80"/>
              <w:right w:type="dxa" w:w="120"/>
            </w:tcMar>
          </w:tcPr>
          <w:p>
            <w:pPr>
              <w:jc w:val="center"/>
            </w:pPr>
            <w:r>
              <w:rPr>
                <w:sz w:val="20"/>
                <w:szCs w:val="20"/>
              </w:rPr>
              <w:t xml:space="preserve">El método de referencia contra el que comparas. En tu TFG, Martínez-Payá 2017 con features texturales.</w:t>
            </w:r>
          </w:p>
        </w:tc>
      </w:tr>
    </w:tbl>
    <w:p>
      <w:pPr>
        <w:spacing w:after="120"/>
      </w:pPr>
      <w:r>
        <w:t xml:space="preserve"> </w:t>
      </w:r>
    </w:p>
    <w:p>
      <w:pPr>
        <w:pStyle w:val="Heading1"/>
        <w:spacing w:after="180" w:before="360"/>
      </w:pPr>
      <w:r>
        <w:rPr>
          <w:b/>
          <w:bCs/>
          <w:color w:val="0B2545"/>
          <w:sz w:val="32"/>
          <w:szCs w:val="32"/>
        </w:rPr>
        <w:t xml:space="preserve">8. Si solo recuerdas tres cosas...</w:t>
      </w:r>
    </w:p>
    <w:p>
      <w:pPr>
        <w:spacing w:after="120"/>
      </w:pPr>
      <w:r>
        <w:rPr>
          <w:b/>
          <w:bCs/>
        </w:rPr>
        <w:t xml:space="preserve">1. </w:t>
      </w:r>
      <w:r>
        <w:t xml:space="preserve">La aportación principal es la fusión a nivel paciente, no que ResNet-50 sea mejor que DenseNet-121.</w:t>
      </w:r>
    </w:p>
    <w:p>
      <w:pPr>
        <w:spacing w:after="120"/>
      </w:pPr>
      <w:r>
        <w:rPr>
          <w:b/>
          <w:bCs/>
        </w:rPr>
        <w:t xml:space="preserve">2. </w:t>
      </w:r>
      <w:r>
        <w:t xml:space="preserve">El cambio metodológico clave fue pasar de torch.randperm a StratifiedGroupKFold por subject_id. Sin eso, los resultados anteriores estaban inflados por fuga de datos.</w:t>
      </w:r>
    </w:p>
    <w:p>
      <w:pPr>
        <w:spacing w:after="120"/>
      </w:pPr>
      <w:r>
        <w:rPr>
          <w:b/>
          <w:bCs/>
        </w:rPr>
        <w:t xml:space="preserve">3. </w:t>
      </w:r>
      <w:r>
        <w:t xml:space="preserve">Toda la estadística (IC, Youden, DeLong, Wilcoxon) sirve para una cosa: convertir “tengo un número” en “tengo un número con su incertidumbre, comparado correctamente”. Eso es lo que hace el TFG defendible ante un tribunal.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B2545"/>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3315C"/>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331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rápida del TFG ELA</dc:title>
  <dc:creator>Jose Juan Cortina</dc:creator>
  <cp:lastModifiedBy>Un-named</cp:lastModifiedBy>
  <cp:revision>1</cp:revision>
  <dcterms:created xsi:type="dcterms:W3CDTF">2026-05-03T22:36:16.573Z</dcterms:created>
  <dcterms:modified xsi:type="dcterms:W3CDTF">2026-05-03T22:36:16.574Z</dcterms:modified>
</cp:coreProperties>
</file>

<file path=docProps/custom.xml><?xml version="1.0" encoding="utf-8"?>
<Properties xmlns="http://schemas.openxmlformats.org/officeDocument/2006/custom-properties" xmlns:vt="http://schemas.openxmlformats.org/officeDocument/2006/docPropsVTypes"/>
</file>