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eastAsia="方正小标宋简体"/>
          <w:b/>
          <w:sz w:val="36"/>
          <w:szCs w:val="36"/>
        </w:rPr>
      </w:pPr>
      <w:r>
        <w:rPr>
          <w:rFonts w:hint="eastAsia" w:ascii="方正小标宋简体" w:eastAsia="方正小标宋简体"/>
          <w:b/>
          <w:sz w:val="36"/>
          <w:szCs w:val="36"/>
        </w:rPr>
        <w:t>大学生应征入伍条件及优惠政策（摘编）</w:t>
      </w:r>
    </w:p>
    <w:p>
      <w:pPr>
        <w:ind w:firstLine="640" w:firstLineChars="200"/>
        <w:rPr>
          <w:sz w:val="32"/>
          <w:szCs w:val="32"/>
        </w:rPr>
      </w:pPr>
    </w:p>
    <w:p>
      <w:pPr>
        <w:pStyle w:val="2"/>
        <w:shd w:val="clear" w:color="auto" w:fill="FFFFFF"/>
        <w:spacing w:before="0" w:beforeAutospacing="0" w:after="0" w:afterAutospacing="0" w:line="600" w:lineRule="atLeast"/>
        <w:ind w:firstLine="643" w:firstLineChars="200"/>
        <w:rPr>
          <w:rFonts w:ascii="微软雅黑" w:hAnsi="微软雅黑" w:eastAsia="微软雅黑"/>
          <w:b w:val="0"/>
          <w:bCs w:val="0"/>
          <w:color w:val="497D3B"/>
        </w:rPr>
      </w:pPr>
      <w:r>
        <w:rPr>
          <w:rFonts w:hint="eastAsia" w:ascii="楷体_GB2312" w:eastAsia="楷体_GB2312"/>
          <w:sz w:val="32"/>
          <w:szCs w:val="32"/>
        </w:rPr>
        <w:t>（一）征集主要条件。</w:t>
      </w:r>
      <w:r>
        <w:rPr>
          <w:rFonts w:hint="eastAsia"/>
          <w:b w:val="0"/>
          <w:sz w:val="32"/>
          <w:szCs w:val="32"/>
        </w:rPr>
        <w:t>年龄：男性本科新生、在校生18至22周岁，本科毕业生24周岁，研究生可以放宽至26周岁；女性本科生征集年龄1</w:t>
      </w:r>
      <w:r>
        <w:rPr>
          <w:b w:val="0"/>
          <w:sz w:val="32"/>
          <w:szCs w:val="32"/>
        </w:rPr>
        <w:t>8</w:t>
      </w:r>
      <w:r>
        <w:rPr>
          <w:rFonts w:hint="eastAsia"/>
          <w:b w:val="0"/>
          <w:sz w:val="32"/>
          <w:szCs w:val="32"/>
        </w:rPr>
        <w:t>至2</w:t>
      </w:r>
      <w:r>
        <w:rPr>
          <w:b w:val="0"/>
          <w:sz w:val="32"/>
          <w:szCs w:val="32"/>
        </w:rPr>
        <w:t>2</w:t>
      </w:r>
      <w:r>
        <w:rPr>
          <w:rFonts w:hint="eastAsia"/>
          <w:b w:val="0"/>
          <w:sz w:val="32"/>
          <w:szCs w:val="32"/>
        </w:rPr>
        <w:t>周岁，研究生放宽至2</w:t>
      </w:r>
      <w:r>
        <w:rPr>
          <w:b w:val="0"/>
          <w:sz w:val="32"/>
          <w:szCs w:val="32"/>
        </w:rPr>
        <w:t>6</w:t>
      </w:r>
      <w:r>
        <w:rPr>
          <w:rFonts w:hint="eastAsia"/>
          <w:b w:val="0"/>
          <w:sz w:val="32"/>
          <w:szCs w:val="32"/>
        </w:rPr>
        <w:t>周岁；直招军官</w:t>
      </w:r>
      <w:r>
        <w:rPr>
          <w:b w:val="0"/>
          <w:sz w:val="32"/>
          <w:szCs w:val="32"/>
        </w:rPr>
        <w:t>本科生、硕士研究生、博士研究生年龄分别不超过24岁、29岁、34岁</w:t>
      </w:r>
      <w:r>
        <w:rPr>
          <w:rFonts w:hint="eastAsia"/>
          <w:b w:val="0"/>
          <w:sz w:val="32"/>
          <w:szCs w:val="32"/>
        </w:rPr>
        <w:t>，同时符合《军队选拔军官和文职人员体检标准》和政治考核条件。</w:t>
      </w:r>
    </w:p>
    <w:p>
      <w:pPr>
        <w:ind w:firstLine="643" w:firstLineChars="200"/>
        <w:rPr>
          <w:sz w:val="32"/>
          <w:szCs w:val="32"/>
        </w:rPr>
      </w:pPr>
      <w:r>
        <w:rPr>
          <w:rFonts w:hint="eastAsia" w:ascii="楷体_GB2312" w:hAnsi="宋体" w:eastAsia="楷体_GB2312" w:cs="宋体"/>
          <w:b/>
          <w:bCs/>
          <w:kern w:val="0"/>
          <w:sz w:val="32"/>
          <w:szCs w:val="32"/>
        </w:rPr>
        <w:t>（二）政治有优待。</w:t>
      </w:r>
      <w:r>
        <w:rPr>
          <w:rFonts w:hint="eastAsia"/>
          <w:sz w:val="32"/>
          <w:szCs w:val="32"/>
        </w:rPr>
        <w:t>现役军人、残疾军人参观游览名胜古迹等享受优待；优先购票乘坐境内运行交通工具；免费乘坐市内公共交通工具，免费邮寄信件等。</w:t>
      </w:r>
    </w:p>
    <w:p>
      <w:pPr>
        <w:ind w:firstLine="643" w:firstLineChars="200"/>
        <w:rPr>
          <w:sz w:val="32"/>
          <w:szCs w:val="32"/>
        </w:rPr>
      </w:pPr>
      <w:r>
        <w:rPr>
          <w:rFonts w:hint="eastAsia" w:ascii="楷体_GB2312" w:hAnsi="宋体" w:eastAsia="楷体_GB2312" w:cs="宋体"/>
          <w:b/>
          <w:bCs/>
          <w:kern w:val="0"/>
          <w:sz w:val="32"/>
          <w:szCs w:val="32"/>
        </w:rPr>
        <w:t>（三）经济有收益。</w:t>
      </w:r>
      <w:r>
        <w:rPr>
          <w:rFonts w:hint="eastAsia"/>
          <w:sz w:val="32"/>
          <w:szCs w:val="32"/>
        </w:rPr>
        <w:t>①义务兵家庭优待金。②地方政府退役经济补助。③义务兵津贴。④一次性退役金。⑤复员费。⑥养老保险。⑦职业年金。⑧</w:t>
      </w:r>
      <w:r>
        <w:rPr>
          <w:rFonts w:hint="eastAsia"/>
          <w:color w:val="FF0000"/>
          <w:sz w:val="32"/>
          <w:szCs w:val="32"/>
        </w:rPr>
        <w:t>服兵役资助新标准（本专科生每生每年不超过20000元，研究生每生每年不超过25000元）从2024—2025学年开始实施，判断新旧标准的时间节点为2024年9月1日</w:t>
      </w:r>
      <w:r>
        <w:rPr>
          <w:rFonts w:hint="eastAsia"/>
          <w:sz w:val="32"/>
          <w:szCs w:val="32"/>
        </w:rPr>
        <w:t>⑨国家助学金。</w:t>
      </w:r>
      <w:r>
        <w:rPr>
          <w:sz w:val="32"/>
          <w:szCs w:val="32"/>
        </w:rPr>
        <w:fldChar w:fldCharType="begin"/>
      </w:r>
      <w:r>
        <w:rPr>
          <w:sz w:val="32"/>
          <w:szCs w:val="32"/>
        </w:rPr>
        <w:instrText xml:space="preserve"> </w:instrText>
      </w:r>
      <w:r>
        <w:rPr>
          <w:rFonts w:hint="eastAsia"/>
          <w:sz w:val="32"/>
          <w:szCs w:val="32"/>
        </w:rPr>
        <w:instrText xml:space="preserve">= 10 \* GB3</w:instrText>
      </w:r>
      <w:r>
        <w:rPr>
          <w:sz w:val="32"/>
          <w:szCs w:val="32"/>
        </w:rPr>
        <w:instrText xml:space="preserve"> </w:instrText>
      </w:r>
      <w:r>
        <w:rPr>
          <w:sz w:val="32"/>
          <w:szCs w:val="32"/>
        </w:rPr>
        <w:fldChar w:fldCharType="separate"/>
      </w:r>
      <w:r>
        <w:rPr>
          <w:rFonts w:hint="eastAsia"/>
          <w:sz w:val="32"/>
          <w:szCs w:val="32"/>
        </w:rPr>
        <w:t>⑩</w:t>
      </w:r>
      <w:r>
        <w:rPr>
          <w:sz w:val="32"/>
          <w:szCs w:val="32"/>
        </w:rPr>
        <w:fldChar w:fldCharType="end"/>
      </w:r>
      <w:r>
        <w:rPr>
          <w:rFonts w:hint="eastAsia"/>
          <w:sz w:val="32"/>
          <w:szCs w:val="32"/>
        </w:rPr>
        <w:t>吉林省大学生特别奖励金</w:t>
      </w:r>
      <w:r>
        <w:rPr>
          <w:rFonts w:hint="eastAsia"/>
          <w:color w:val="FF0000"/>
          <w:sz w:val="32"/>
          <w:szCs w:val="32"/>
        </w:rPr>
        <w:t>（1</w:t>
      </w:r>
      <w:r>
        <w:rPr>
          <w:color w:val="FF0000"/>
          <w:sz w:val="32"/>
          <w:szCs w:val="32"/>
        </w:rPr>
        <w:t>5000-18000</w:t>
      </w:r>
      <w:r>
        <w:rPr>
          <w:rFonts w:hint="eastAsia"/>
          <w:color w:val="FF0000"/>
          <w:sz w:val="32"/>
          <w:szCs w:val="32"/>
        </w:rPr>
        <w:t>元）。</w:t>
      </w:r>
      <w:r>
        <w:rPr>
          <w:sz w:val="32"/>
          <w:szCs w:val="32"/>
        </w:rPr>
        <w:t>⑪</w:t>
      </w:r>
      <w:r>
        <w:rPr>
          <w:rFonts w:hint="eastAsia"/>
          <w:sz w:val="32"/>
          <w:szCs w:val="32"/>
        </w:rPr>
        <w:t>吉林大学国防贡献奖学金。服役两年总计经济收益约20万元。</w:t>
      </w:r>
    </w:p>
    <w:p>
      <w:pPr>
        <w:ind w:firstLine="643" w:firstLineChars="200"/>
        <w:rPr>
          <w:sz w:val="32"/>
          <w:szCs w:val="32"/>
        </w:rPr>
      </w:pPr>
      <w:r>
        <w:rPr>
          <w:rFonts w:hint="eastAsia" w:ascii="楷体_GB2312" w:hAnsi="宋体" w:eastAsia="楷体_GB2312" w:cs="宋体"/>
          <w:b/>
          <w:bCs/>
          <w:kern w:val="0"/>
          <w:sz w:val="32"/>
          <w:szCs w:val="32"/>
        </w:rPr>
        <w:t>（四）发展有前途。</w:t>
      </w:r>
      <w:r>
        <w:rPr>
          <w:rFonts w:hint="eastAsia"/>
          <w:sz w:val="32"/>
          <w:szCs w:val="32"/>
        </w:rPr>
        <w:t>①优先选取士官。②报考军校。2020年军队开始试行，双一流高校在校生入伍第二年报考各类军事院校符合相关条件后可免文化考试。③保送军校。④士兵提干。⑤直招军官。2021年开始军队面向“双一流”建设高校及建设学科的理学、工学应届本科、硕士、博士毕业生中直招军官，直招军官入伍后分别授予少尉、中尉和上尉军衔。</w:t>
      </w:r>
    </w:p>
    <w:p>
      <w:pPr>
        <w:ind w:firstLine="643" w:firstLineChars="200"/>
        <w:rPr>
          <w:sz w:val="32"/>
          <w:szCs w:val="32"/>
        </w:rPr>
      </w:pPr>
      <w:r>
        <w:rPr>
          <w:rFonts w:hint="eastAsia" w:ascii="楷体_GB2312" w:hAnsi="宋体" w:eastAsia="楷体_GB2312" w:cs="宋体"/>
          <w:b/>
          <w:bCs/>
          <w:kern w:val="0"/>
          <w:sz w:val="32"/>
          <w:szCs w:val="32"/>
        </w:rPr>
        <w:t>（五）就业有助力。</w:t>
      </w:r>
      <w:r>
        <w:rPr>
          <w:rFonts w:hint="eastAsia"/>
          <w:sz w:val="32"/>
          <w:szCs w:val="32"/>
        </w:rPr>
        <w:t>①公务员招录。吉林省各级机关考试录用公务员时，拿出不限专业条件职位5%-10%的比例名额，面向退役大学生士兵招录。②事业单位招聘。吉林省事业单位公开招聘工作人员时笔试成绩加5分。③政法干警招录。招录计划的20%招收大学生退役士兵。④专武干部招录。基层专职人民武装干部要全部在退役大学生士兵和转业军官中招录。⑤国有企业聘用。吉林省各国有企业以及国有控股和国有资本占主导地位的企业，录（聘）用计划10%的名额招收自主就业退役大学生士兵。</w:t>
      </w:r>
    </w:p>
    <w:p>
      <w:pPr>
        <w:ind w:firstLine="643" w:firstLineChars="200"/>
        <w:rPr>
          <w:sz w:val="32"/>
          <w:szCs w:val="32"/>
        </w:rPr>
      </w:pPr>
      <w:r>
        <w:rPr>
          <w:rFonts w:hint="eastAsia" w:ascii="楷体_GB2312" w:hAnsi="宋体" w:eastAsia="楷体_GB2312" w:cs="宋体"/>
          <w:b/>
          <w:bCs/>
          <w:kern w:val="0"/>
          <w:sz w:val="32"/>
          <w:szCs w:val="32"/>
        </w:rPr>
        <w:t>（六）学业有保障。</w:t>
      </w:r>
      <w:r>
        <w:rPr>
          <w:rFonts w:hint="eastAsia"/>
          <w:sz w:val="32"/>
          <w:szCs w:val="32"/>
        </w:rPr>
        <w:t>①吉林大学退役复学免笔试转专业。退役复学后转专业原则上限于我校高考录取后保留入学资格应征入伍的新生和大学一、二年级应征入伍的在籍普通高等教育全日制本科学生。退役后在高考录取投档分数基础上加20分后，从当年所在省份招生的专业中，按不低于相关专业最低录取分数，有序选报3个转入专业志愿。②吉林大学退役复学学生参加学校推荐免试攻读硕士研究生时，可获素质类项目加分，其中：服兵役学生最高可加0.</w:t>
      </w:r>
      <w:r>
        <w:rPr>
          <w:sz w:val="32"/>
          <w:szCs w:val="32"/>
        </w:rPr>
        <w:t>3</w:t>
      </w:r>
      <w:r>
        <w:rPr>
          <w:rFonts w:hint="eastAsia"/>
          <w:sz w:val="32"/>
          <w:szCs w:val="32"/>
        </w:rPr>
        <w:t>平均学分绩点（GPA）；服役期间表现突出，获得“四有”优秀士兵或嘉奖的学生最高可再加0.</w:t>
      </w:r>
      <w:r>
        <w:rPr>
          <w:sz w:val="32"/>
          <w:szCs w:val="32"/>
        </w:rPr>
        <w:t>1</w:t>
      </w:r>
      <w:r>
        <w:rPr>
          <w:rFonts w:hint="eastAsia"/>
          <w:sz w:val="32"/>
          <w:szCs w:val="32"/>
        </w:rPr>
        <w:t>平均学分绩点（GPA），每名学生累计加分最高不超过0.4平均学分绩点（GPA）。荣立“个人三等功”及以上荣誉的学生可直接获得推免资格。③吉林大学退役复学学生可免修公共体育和军事课程，直接获得优秀成绩。④大学生考研计划单列。退役大学生士兵参加硕士研究生招生考试实行计划单列，教育部每年安排8000个研究生名额专项招考。⑤大学生考研享受加分。服义务兵役的应届毕业生退役后3年内参加全国硕士研究生招生考试，初试总分加10分。</w:t>
      </w:r>
    </w:p>
    <w:p>
      <w:pPr>
        <w:ind w:firstLine="643" w:firstLineChars="200"/>
        <w:rPr>
          <w:sz w:val="32"/>
          <w:szCs w:val="32"/>
        </w:rPr>
      </w:pPr>
      <w:r>
        <w:rPr>
          <w:rFonts w:hint="eastAsia" w:ascii="楷体_GB2312" w:hAnsi="宋体" w:eastAsia="楷体_GB2312" w:cs="宋体"/>
          <w:b/>
          <w:bCs/>
          <w:kern w:val="0"/>
          <w:sz w:val="32"/>
          <w:szCs w:val="32"/>
        </w:rPr>
        <w:t>（七）创业有扶持。</w:t>
      </w:r>
      <w:r>
        <w:rPr>
          <w:rFonts w:hint="eastAsia"/>
          <w:sz w:val="32"/>
          <w:szCs w:val="32"/>
        </w:rPr>
        <w:t>①享受税收优惠。②享受创业贷款。③优先入驻青年创业园。④免费教育培训。</w:t>
      </w:r>
    </w:p>
    <w:p>
      <w:pPr>
        <w:ind w:firstLine="640" w:firstLineChars="200"/>
        <w:rPr>
          <w:sz w:val="32"/>
          <w:szCs w:val="32"/>
        </w:rPr>
      </w:pPr>
      <w:bookmarkStart w:id="0" w:name="_Hlk120787132"/>
      <w:r>
        <w:rPr>
          <w:rFonts w:hint="eastAsia"/>
          <w:sz w:val="32"/>
          <w:szCs w:val="32"/>
        </w:rPr>
        <w:t xml:space="preserve"> </w:t>
      </w:r>
      <w:r>
        <w:rPr>
          <w:sz w:val="32"/>
          <w:szCs w:val="32"/>
        </w:rPr>
        <w:t xml:space="preserve">                </w:t>
      </w:r>
    </w:p>
    <w:p>
      <w:pPr>
        <w:ind w:firstLine="640" w:firstLineChars="200"/>
        <w:rPr>
          <w:sz w:val="32"/>
          <w:szCs w:val="32"/>
        </w:rPr>
      </w:pPr>
    </w:p>
    <w:bookmarkEnd w:id="0"/>
    <w:p>
      <w:pPr>
        <w:ind w:firstLine="640" w:firstLineChars="200"/>
        <w:rPr>
          <w:sz w:val="32"/>
          <w:szCs w:val="32"/>
        </w:rPr>
      </w:pPr>
      <w:bookmarkStart w:id="1" w:name="_GoBack"/>
      <w:bookmarkEnd w:id="1"/>
    </w:p>
    <w:sectPr>
      <w:pgSz w:w="11906" w:h="16838"/>
      <w:pgMar w:top="1440" w:right="17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script"/>
    <w:pitch w:val="default"/>
    <w:sig w:usb0="A00002BF" w:usb1="184F6CFA" w:usb2="00000012" w:usb3="00000000" w:csb0="00040001" w:csb1="00000000"/>
  </w:font>
  <w:font w:name="微软雅黑">
    <w:altName w:val="方正黑体_GBK"/>
    <w:panose1 w:val="020B0503020204020204"/>
    <w:charset w:val="86"/>
    <w:family w:val="swiss"/>
    <w:pitch w:val="default"/>
    <w:sig w:usb0="00000000" w:usb1="00000000" w:usb2="00000016" w:usb3="00000000" w:csb0="0004001F" w:csb1="00000000"/>
  </w:font>
  <w:font w:name="方正黑体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modern"/>
    <w:pitch w:val="default"/>
    <w:sig w:usb0="00000000" w:usb1="00000000" w:usb2="00000010" w:usb3="00000000" w:csb0="00040000" w:csb1="00000000"/>
  </w:font>
  <w:font w:name="方正楷体_GBK">
    <w:panose1 w:val="02000000000000000000"/>
    <w:charset w:val="86"/>
    <w:family w:val="auto"/>
    <w:pitch w:val="default"/>
    <w:sig w:usb0="00000001" w:usb1="08000000" w:usb2="00000000" w:usb3="00000000" w:csb0="00040000" w:csb1="0000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5C3"/>
    <w:rsid w:val="00021C6C"/>
    <w:rsid w:val="00050729"/>
    <w:rsid w:val="0005599A"/>
    <w:rsid w:val="000E1FC7"/>
    <w:rsid w:val="000E346E"/>
    <w:rsid w:val="000E5C7C"/>
    <w:rsid w:val="000F032E"/>
    <w:rsid w:val="00183AB6"/>
    <w:rsid w:val="001F1245"/>
    <w:rsid w:val="002143B0"/>
    <w:rsid w:val="00216298"/>
    <w:rsid w:val="002B40D0"/>
    <w:rsid w:val="0031774C"/>
    <w:rsid w:val="00353636"/>
    <w:rsid w:val="00357DB0"/>
    <w:rsid w:val="003877B1"/>
    <w:rsid w:val="003D7E93"/>
    <w:rsid w:val="00404B49"/>
    <w:rsid w:val="004D3266"/>
    <w:rsid w:val="004F5B35"/>
    <w:rsid w:val="0051408F"/>
    <w:rsid w:val="00516BC3"/>
    <w:rsid w:val="0052103F"/>
    <w:rsid w:val="00593E81"/>
    <w:rsid w:val="005A7FD0"/>
    <w:rsid w:val="005B5FBB"/>
    <w:rsid w:val="006802D4"/>
    <w:rsid w:val="006A3D1D"/>
    <w:rsid w:val="00740078"/>
    <w:rsid w:val="0074556A"/>
    <w:rsid w:val="00746E0B"/>
    <w:rsid w:val="00793075"/>
    <w:rsid w:val="007A554A"/>
    <w:rsid w:val="007C41AC"/>
    <w:rsid w:val="00896F58"/>
    <w:rsid w:val="008B688C"/>
    <w:rsid w:val="008F5413"/>
    <w:rsid w:val="00912FD7"/>
    <w:rsid w:val="00952542"/>
    <w:rsid w:val="0095682B"/>
    <w:rsid w:val="009655C3"/>
    <w:rsid w:val="009F76FD"/>
    <w:rsid w:val="00A04929"/>
    <w:rsid w:val="00A175DF"/>
    <w:rsid w:val="00A31D83"/>
    <w:rsid w:val="00A64EA4"/>
    <w:rsid w:val="00A7776E"/>
    <w:rsid w:val="00A80653"/>
    <w:rsid w:val="00A81BE0"/>
    <w:rsid w:val="00A85152"/>
    <w:rsid w:val="00B200DA"/>
    <w:rsid w:val="00B52BCA"/>
    <w:rsid w:val="00B8055F"/>
    <w:rsid w:val="00BA28BE"/>
    <w:rsid w:val="00BB5092"/>
    <w:rsid w:val="00BE17A9"/>
    <w:rsid w:val="00C01AAB"/>
    <w:rsid w:val="00C22CEA"/>
    <w:rsid w:val="00C30181"/>
    <w:rsid w:val="00CC1373"/>
    <w:rsid w:val="00CC6346"/>
    <w:rsid w:val="00CE13C3"/>
    <w:rsid w:val="00D100E9"/>
    <w:rsid w:val="00D809B3"/>
    <w:rsid w:val="00D80B87"/>
    <w:rsid w:val="00D96E5E"/>
    <w:rsid w:val="00DC386C"/>
    <w:rsid w:val="00E11DD6"/>
    <w:rsid w:val="00E410D0"/>
    <w:rsid w:val="00F128D2"/>
    <w:rsid w:val="00F61194"/>
    <w:rsid w:val="00FB150D"/>
    <w:rsid w:val="00FC1563"/>
    <w:rsid w:val="FFBE2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10"/>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semiHidden/>
    <w:unhideWhenUsed/>
    <w:qFormat/>
    <w:uiPriority w:val="99"/>
    <w:rPr>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标题 2 Char"/>
    <w:basedOn w:val="7"/>
    <w:link w:val="2"/>
    <w:qFormat/>
    <w:uiPriority w:val="9"/>
    <w:rPr>
      <w:rFonts w:ascii="宋体" w:hAnsi="宋体" w:eastAsia="宋体" w:cs="宋体"/>
      <w:b/>
      <w:bCs/>
      <w:kern w:val="0"/>
      <w:sz w:val="36"/>
      <w:szCs w:val="36"/>
    </w:rPr>
  </w:style>
  <w:style w:type="character" w:customStyle="1" w:styleId="11">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andalone='no'?>
<b:Sources xmlns:b="http://schemas.openxmlformats.org/officeDocument/2006/bibliography" StyleName="APA Fifth Edition" SelectedStyle="\APA.XSL" xmlns:b="http://schemas.openxmlformats.org/officeDocument/2006/bibliography"/>

</file>

<file path=customXml/itemProps1.xml><?xml version="1.0" encoding="utf-8"?>
<ds:datastoreItem xmlns:ds="http://schemas.openxmlformats.org/officeDocument/2006/customXml" ds:itemID="{ED14B6F9-1907-400E-A143-6624C514115E}">
  <ds:schemaRefs/>
</ds:datastoreItem>
</file>

<file path=docProps/app.xml><?xml version="1.0" encoding="utf-8"?>
<Properties xmlns="http://schemas.openxmlformats.org/officeDocument/2006/extended-properties" xmlns:vt="http://schemas.openxmlformats.org/officeDocument/2006/docPropsVTypes">
  <Template>Normal</Template>
  <Pages>3</Pages>
  <Words>208</Words>
  <Characters>1186</Characters>
  <Lines>9</Lines>
  <Paragraphs>2</Paragraphs>
  <TotalTime>487</TotalTime>
  <ScaleCrop>false</ScaleCrop>
  <LinksUpToDate>false</LinksUpToDate>
  <CharactersWithSpaces>1392</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2022-11-01T11:15:00Z</dcterms:created>
  <dc:creator>dell</dc:creator>
  <cp:lastModifiedBy>ddd</cp:lastModifiedBy>
  <cp:lastPrinted>2022-11-13T09:01:00Z</cp:lastPrinted>
  <dcterms:modified xsi:type="dcterms:W3CDTF">2024-11-20T09:22:16Z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2052-12.8.2.1113</vt:lpwstr>
  </property>
  <property fmtid="{D5CDD505-2E9C-101B-9397-08002B2CF9AE}" pid="3" name="ICV">
    <vt:lpwstr>C6F4A938BE89F970C8393D676F9D27EA_42</vt:lpwstr>
  </property>
</Properties>
</file>