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5.png" ContentType="image/png"/>
  <Override PartName="/word/media/rId23.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Slide</w:t>
      </w:r>
      <w:r>
        <w:t xml:space="preserve"> </w:t>
      </w:r>
      <w:r>
        <w:t xml:space="preserve">Decks</w:t>
      </w:r>
      <w:r>
        <w:t xml:space="preserve"> </w:t>
      </w:r>
      <w:r>
        <w:t xml:space="preserve">for</w:t>
      </w:r>
      <w:r>
        <w:t xml:space="preserve"> </w:t>
      </w:r>
      <w:r>
        <w:t xml:space="preserve">John</w:t>
      </w:r>
      <w:r>
        <w:t xml:space="preserve"> </w:t>
      </w:r>
      <w:r>
        <w:t xml:space="preserve">Curtin’s</w:t>
      </w:r>
      <w:r>
        <w:t xml:space="preserve"> </w:t>
      </w:r>
      <w:r>
        <w:t xml:space="preserve">Scientific</w:t>
      </w:r>
      <w:r>
        <w:t xml:space="preserve"> </w:t>
      </w:r>
      <w:r>
        <w:t xml:space="preserve">Presentations</w:t>
      </w:r>
    </w:p>
    <w:p>
      <w:pPr>
        <w:pStyle w:val="Author"/>
      </w:pPr>
      <w:r>
        <w:t xml:space="preserve">John</w:t>
      </w:r>
      <w:r>
        <w:t xml:space="preserve"> </w:t>
      </w:r>
      <w:r>
        <w:t xml:space="preserve">J.</w:t>
      </w:r>
      <w:r>
        <w:t xml:space="preserve"> </w:t>
      </w:r>
      <w:r>
        <w:t xml:space="preserve">Curtin</w:t>
      </w:r>
    </w:p>
    <w:p>
      <w:pPr>
        <w:pStyle w:val="Date"/>
      </w:pPr>
      <w:r>
        <w:t xml:space="preserve">2024-03-07</w:t>
      </w:r>
    </w:p>
    <w:bookmarkStart w:id="20" w:name="overview"/>
    <w:p>
      <w:pPr>
        <w:pStyle w:val="Heading2"/>
      </w:pPr>
      <w:r>
        <w:t xml:space="preserve">Overview</w:t>
      </w:r>
    </w:p>
    <w:bookmarkEnd w:id="20"/>
    <w:bookmarkStart w:id="21" w:name="generic"/>
    <w:p>
      <w:pPr>
        <w:pStyle w:val="Heading2"/>
      </w:pPr>
      <w:r>
        <w:t xml:space="preserve">Generic</w:t>
      </w:r>
    </w:p>
    <w:bookmarkEnd w:id="21"/>
    <w:bookmarkStart w:id="22" w:name="burden-study"/>
    <w:p>
      <w:pPr>
        <w:pStyle w:val="Heading2"/>
      </w:pPr>
      <w:r>
        <w:t xml:space="preserve">Burden Study</w:t>
      </w:r>
    </w:p>
    <w:bookmarkEnd w:id="22"/>
    <w:bookmarkStart w:id="51" w:name="ema-study"/>
    <w:p>
      <w:pPr>
        <w:pStyle w:val="Heading2"/>
      </w:pPr>
      <w:r>
        <w:t xml:space="preserve">EMA Study</w:t>
      </w:r>
    </w:p>
    <w:bookmarkStart w:id="47" w:name="figures"/>
    <w:p>
      <w:pPr>
        <w:pStyle w:val="Heading3"/>
      </w:pPr>
      <w:r>
        <w:t xml:space="preserve">Figures</w:t>
      </w:r>
    </w:p>
    <w:tbl>
      <w:tblPr>
        <w:tblStyle w:val="Table"/>
        <w:tblW w:type="pct" w:w="5000"/>
        <w:tblLook w:firstRow="0" w:lastRow="0" w:firstColumn="0" w:lastColumn="0" w:noHBand="0" w:noVBand="0" w:val="0000"/>
        <w:jc w:val="start"/>
        <w:tblLayout w:type="fixed"/>
      </w:tblPr>
      <w:tblGrid>
        <w:gridCol w:w="7920"/>
      </w:tblGrid>
      <w:tr>
        <w:tc>
          <w:tcPr/>
          <w:bookmarkStart w:id="27" w:name="fig-week-no_dec_thres"/>
          <w:p>
            <w:pPr>
              <w:pStyle w:val="Compact"/>
              <w:jc w:val="center"/>
            </w:pPr>
            <w:bookmarkStart w:id="26" w:name="fig-week-no_dec_thres"/>
            <w:r>
              <w:drawing>
                <wp:inline>
                  <wp:extent cx="5334000" cy="5334000"/>
                  <wp:effectExtent b="0" l="0" r="0" t="0"/>
                  <wp:docPr descr="" title="" id="24" name="Picture"/>
                  <a:graphic>
                    <a:graphicData uri="http://schemas.openxmlformats.org/drawingml/2006/picture">
                      <pic:pic>
                        <pic:nvPicPr>
                          <pic:cNvPr descr="index_files/figure-docx/notebooks-ema_figs_probability-fig-week-no_dec_thres-output-1.png" id="25"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bookmarkEnd w:id="26"/>
          </w:p>
          <w:p>
            <w:pPr>
              <w:jc w:val="center"/>
            </w:pPr>
            <w:pPr>
              <w:jc w:val="start"/>
              <w:spacing w:before="200"/>
              <w:pStyle w:val="ImageCaption"/>
            </w:pPr>
            <w:r>
              <w:t xml:space="preserve">Figure 1</w:t>
            </w:r>
          </w:p>
          <w:bookmarkEnd w:id="27"/>
        </w:tc>
      </w:tr>
    </w:tbl>
    <w:p>
      <w:pPr>
        <w:pStyle w:val="BodyText"/>
      </w:pPr>
      <w:r>
        <w:rPr>
          <w:vertAlign w:val="subscript"/>
        </w:rPr>
        <w:t xml:space="preserve">Source:</w:t>
      </w:r>
      <w:r>
        <w:rPr>
          <w:vertAlign w:val="subscript"/>
        </w:rPr>
        <w:t xml:space="preserve"> </w:t>
      </w:r>
      <w:hyperlink r:id="rId28">
        <w:r>
          <w:rPr>
            <w:rStyle w:val="Hyperlink"/>
            <w:vertAlign w:val="subscript"/>
          </w:rPr>
          <w:t xml:space="preserve">Risk1 probability plots</w:t>
        </w:r>
      </w:hyperlink>
    </w:p>
    <w:tbl>
      <w:tblPr>
        <w:tblStyle w:val="Table"/>
        <w:tblW w:type="pct" w:w="5000"/>
        <w:tblLook w:firstRow="0" w:lastRow="0" w:firstColumn="0" w:lastColumn="0" w:noHBand="0" w:noVBand="0" w:val="0000"/>
        <w:jc w:val="start"/>
        <w:tblLayout w:type="fixed"/>
      </w:tblPr>
      <w:tblGrid>
        <w:gridCol w:w="7920"/>
      </w:tblGrid>
      <w:tr>
        <w:tc>
          <w:tcPr/>
          <w:bookmarkStart w:id="33" w:name="fig-week"/>
          <w:p>
            <w:pPr>
              <w:pStyle w:val="Compact"/>
              <w:jc w:val="center"/>
            </w:pPr>
            <w:bookmarkStart w:id="32" w:name="fig-week"/>
            <w:r>
              <w:drawing>
                <wp:inline>
                  <wp:extent cx="5334000" cy="5334000"/>
                  <wp:effectExtent b="0" l="0" r="0" t="0"/>
                  <wp:docPr descr="" title="" id="30" name="Picture"/>
                  <a:graphic>
                    <a:graphicData uri="http://schemas.openxmlformats.org/drawingml/2006/picture">
                      <pic:pic>
                        <pic:nvPicPr>
                          <pic:cNvPr descr="index_files/figure-docx/notebooks-ema_figs_probability-fig-week-output-2.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bookmarkEnd w:id="32"/>
          </w:p>
          <w:p>
            <w:pPr>
              <w:jc w:val="center"/>
            </w:pPr>
            <w:pPr>
              <w:jc w:val="start"/>
              <w:spacing w:before="200"/>
              <w:pStyle w:val="ImageCaption"/>
            </w:pPr>
            <w:r>
              <w:t xml:space="preserve">Figure 2</w:t>
            </w:r>
          </w:p>
          <w:bookmarkEnd w:id="33"/>
        </w:tc>
      </w:tr>
    </w:tbl>
    <w:p>
      <w:pPr>
        <w:pStyle w:val="BodyText"/>
      </w:pPr>
      <w:r>
        <w:rPr>
          <w:vertAlign w:val="subscript"/>
        </w:rPr>
        <w:t xml:space="preserve">Source:</w:t>
      </w:r>
      <w:r>
        <w:rPr>
          <w:vertAlign w:val="subscript"/>
        </w:rPr>
        <w:t xml:space="preserve"> </w:t>
      </w:r>
      <w:hyperlink r:id="rId34">
        <w:r>
          <w:rPr>
            <w:rStyle w:val="Hyperlink"/>
            <w:vertAlign w:val="subscript"/>
          </w:rPr>
          <w:t xml:space="preserve">Risk1 probability plots</w:t>
        </w:r>
      </w:hyperlink>
    </w:p>
    <w:tbl>
      <w:tblPr>
        <w:tblStyle w:val="Table"/>
        <w:tblW w:type="pct" w:w="5000"/>
        <w:tblLook w:firstRow="0" w:lastRow="0" w:firstColumn="0" w:lastColumn="0" w:noHBand="0" w:noVBand="0" w:val="0000"/>
        <w:jc w:val="start"/>
        <w:tblLayout w:type="fixed"/>
      </w:tblPr>
      <w:tblGrid>
        <w:gridCol w:w="7920"/>
      </w:tblGrid>
      <w:tr>
        <w:tc>
          <w:tcPr/>
          <w:bookmarkStart w:id="39" w:name="fig-day"/>
          <w:p>
            <w:pPr>
              <w:pStyle w:val="Compact"/>
              <w:jc w:val="center"/>
            </w:pPr>
            <w:bookmarkStart w:id="38" w:name="fig-day"/>
            <w:r>
              <w:drawing>
                <wp:inline>
                  <wp:extent cx="5334000" cy="5334000"/>
                  <wp:effectExtent b="0" l="0" r="0" t="0"/>
                  <wp:docPr descr="" title="" id="36" name="Picture"/>
                  <a:graphic>
                    <a:graphicData uri="http://schemas.openxmlformats.org/drawingml/2006/picture">
                      <pic:pic>
                        <pic:nvPicPr>
                          <pic:cNvPr descr="index_files/figure-docx/notebooks-ema_figs_probability-fig-day-output-1.png" id="37"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bookmarkEnd w:id="38"/>
          </w:p>
          <w:p>
            <w:pPr>
              <w:jc w:val="center"/>
            </w:pPr>
            <w:pPr>
              <w:jc w:val="start"/>
              <w:spacing w:before="200"/>
              <w:pStyle w:val="ImageCaption"/>
            </w:pPr>
            <w:r>
              <w:t xml:space="preserve">Figure 3</w:t>
            </w:r>
          </w:p>
          <w:bookmarkEnd w:id="39"/>
        </w:tc>
      </w:tr>
    </w:tbl>
    <w:p>
      <w:pPr>
        <w:pStyle w:val="BodyText"/>
      </w:pPr>
      <w:r>
        <w:rPr>
          <w:vertAlign w:val="subscript"/>
        </w:rPr>
        <w:t xml:space="preserve">Source:</w:t>
      </w:r>
      <w:r>
        <w:rPr>
          <w:vertAlign w:val="subscript"/>
        </w:rPr>
        <w:t xml:space="preserve"> </w:t>
      </w:r>
      <w:hyperlink r:id="rId40">
        <w:r>
          <w:rPr>
            <w:rStyle w:val="Hyperlink"/>
            <w:vertAlign w:val="subscript"/>
          </w:rPr>
          <w:t xml:space="preserve">Risk1 probability plots</w:t>
        </w:r>
      </w:hyperlink>
    </w:p>
    <w:tbl>
      <w:tblPr>
        <w:tblStyle w:val="Table"/>
        <w:tblW w:type="pct" w:w="5000"/>
        <w:tblLook w:firstRow="0" w:lastRow="0" w:firstColumn="0" w:lastColumn="0" w:noHBand="0" w:noVBand="0" w:val="0000"/>
        <w:jc w:val="start"/>
        <w:tblLayout w:type="fixed"/>
      </w:tblPr>
      <w:tblGrid>
        <w:gridCol w:w="7920"/>
      </w:tblGrid>
      <w:tr>
        <w:tc>
          <w:tcPr/>
          <w:bookmarkStart w:id="45" w:name="fig-day-high_dec_thres"/>
          <w:p>
            <w:pPr>
              <w:pStyle w:val="Compact"/>
              <w:jc w:val="center"/>
            </w:pPr>
            <w:bookmarkStart w:id="44" w:name="fig-day-high_dec_thres"/>
            <w:r>
              <w:drawing>
                <wp:inline>
                  <wp:extent cx="5334000" cy="5334000"/>
                  <wp:effectExtent b="0" l="0" r="0" t="0"/>
                  <wp:docPr descr="" title="" id="42" name="Picture"/>
                  <a:graphic>
                    <a:graphicData uri="http://schemas.openxmlformats.org/drawingml/2006/picture">
                      <pic:pic>
                        <pic:nvPicPr>
                          <pic:cNvPr descr="index_files/figure-docx/notebooks-ema_figs_probability-fig-day-high_dec_thres-output-1.png" id="43"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bookmarkEnd w:id="44"/>
          </w:p>
          <w:p>
            <w:pPr>
              <w:jc w:val="center"/>
            </w:pPr>
            <w:pPr>
              <w:jc w:val="start"/>
              <w:spacing w:before="200"/>
              <w:pStyle w:val="ImageCaption"/>
            </w:pPr>
            <w:r>
              <w:t xml:space="preserve">Figure 4</w:t>
            </w:r>
          </w:p>
          <w:bookmarkEnd w:id="45"/>
        </w:tc>
      </w:tr>
    </w:tbl>
    <w:p>
      <w:pPr>
        <w:pStyle w:val="BodyText"/>
      </w:pPr>
      <w:r>
        <w:rPr>
          <w:vertAlign w:val="subscript"/>
        </w:rPr>
        <w:t xml:space="preserve">Source:</w:t>
      </w:r>
      <w:r>
        <w:rPr>
          <w:vertAlign w:val="subscript"/>
        </w:rPr>
        <w:t xml:space="preserve"> </w:t>
      </w:r>
      <w:hyperlink r:id="rId46">
        <w:r>
          <w:rPr>
            <w:rStyle w:val="Hyperlink"/>
            <w:vertAlign w:val="subscript"/>
          </w:rPr>
          <w:t xml:space="preserve">Risk1 probability plots</w:t>
        </w:r>
      </w:hyperlink>
    </w:p>
    <w:bookmarkEnd w:id="47"/>
    <w:bookmarkStart w:id="50" w:name="tables"/>
    <w:p>
      <w:pPr>
        <w:pStyle w:val="Heading3"/>
      </w:pPr>
      <w:r>
        <w:t xml:space="preserve">Tables</w:t>
      </w:r>
    </w:p>
    <w:bookmarkStart w:id="48" w:name="table-paper"/>
    <w:p>
      <w:pPr>
        <w:pStyle w:val="TableCaption"/>
      </w:pPr>
      <w:r>
        <w:t xml:space="preserve">Areas under the receiver operating characteristic curves (auROCs) summarize the model’s sensitivity and specificity over all possible decision thresholds. Sensitivity, specificity, balanced accuracy, positive predictive value, and negative predictive value are performance metrics calculated at a single decision threshold for each model determined with Youden’s index. All metrics represent median values across 30 held-out test sets.</w:t>
      </w:r>
    </w:p>
    <w:tbl>
      <w:tblPr>
        <w:tblStyle w:val="Table"/>
        <w:tblW w:type="auto" w:w="0"/>
        <w:tblLook w:firstRow="1" w:lastRow="0" w:firstColumn="0" w:lastColumn="0" w:noHBand="0" w:noVBand="0" w:val="0020"/>
        <w:jc w:val="start"/>
        <w:tblCaption w:val="Areas under the receiver operating characteristic curves (auROCs) summarize the model’s sensitivity and specificity over all possible decision thresholds. Sensitivity, specificity, balanced accuracy, positive predictive value, and negative predictive value are performance metrics calculated at a single decision threshold for each model determined with Youden’s index. All metrics represent median values across 30 held-out test sets."/>
      </w:tblPr>
      <w:tblGrid>
        <w:gridCol w:w="1980"/>
        <w:gridCol w:w="1980"/>
        <w:gridCol w:w="1980"/>
        <w:gridCol w:w="1980"/>
      </w:tblGrid>
      <w:tr>
        <w:trPr>
          <w:tblHeader w:val="true"/>
        </w:trPr>
        <w:tc>
          <w:tcPr/>
          <w:p>
            <w:pPr>
              <w:pStyle w:val="Compact"/>
              <w:jc w:val="left"/>
            </w:pPr>
            <w:r>
              <w:t xml:space="preserve">Metric</w:t>
            </w:r>
          </w:p>
        </w:tc>
        <w:tc>
          <w:tcPr/>
          <w:p>
            <w:pPr>
              <w:pStyle w:val="Compact"/>
              <w:jc w:val="left"/>
            </w:pPr>
            <w:r>
              <w:t xml:space="preserve">Week</w:t>
            </w:r>
          </w:p>
        </w:tc>
        <w:tc>
          <w:tcPr/>
          <w:p>
            <w:pPr>
              <w:pStyle w:val="Compact"/>
              <w:jc w:val="left"/>
            </w:pPr>
            <w:r>
              <w:t xml:space="preserve">Day</w:t>
            </w:r>
          </w:p>
        </w:tc>
        <w:tc>
          <w:tcPr/>
          <w:p>
            <w:pPr>
              <w:pStyle w:val="Compact"/>
              <w:jc w:val="left"/>
            </w:pPr>
            <w:r>
              <w:t xml:space="preserve">Hour</w:t>
            </w:r>
          </w:p>
        </w:tc>
      </w:tr>
      <w:tr>
        <w:tc>
          <w:tcPr/>
          <w:p>
            <w:pPr>
              <w:pStyle w:val="Compact"/>
              <w:jc w:val="left"/>
            </w:pPr>
            <w:r>
              <w:t xml:space="preserve">auROC</w:t>
            </w:r>
          </w:p>
        </w:tc>
        <w:tc>
          <w:tcPr/>
          <w:p>
            <w:pPr>
              <w:pStyle w:val="Compact"/>
              <w:jc w:val="left"/>
            </w:pPr>
            <w:r>
              <w:t xml:space="preserve">0.89</w:t>
            </w:r>
          </w:p>
        </w:tc>
        <w:tc>
          <w:tcPr/>
          <w:p>
            <w:pPr>
              <w:pStyle w:val="Compact"/>
              <w:jc w:val="left"/>
            </w:pPr>
            <w:r>
              <w:t xml:space="preserve">0.90</w:t>
            </w:r>
          </w:p>
        </w:tc>
        <w:tc>
          <w:tcPr/>
          <w:p>
            <w:pPr>
              <w:pStyle w:val="Compact"/>
              <w:jc w:val="left"/>
            </w:pPr>
            <w:r>
              <w:t xml:space="preserve">0.93</w:t>
            </w:r>
          </w:p>
        </w:tc>
      </w:tr>
      <w:tr>
        <w:tc>
          <w:tcPr/>
          <w:p>
            <w:pPr>
              <w:pStyle w:val="Compact"/>
              <w:jc w:val="left"/>
            </w:pPr>
            <w:r>
              <w:t xml:space="preserve">sensitivity</w:t>
            </w:r>
          </w:p>
        </w:tc>
        <w:tc>
          <w:tcPr/>
          <w:p>
            <w:pPr>
              <w:pStyle w:val="Compact"/>
              <w:jc w:val="left"/>
            </w:pPr>
            <w:r>
              <w:t xml:space="preserve">0.82</w:t>
            </w:r>
          </w:p>
        </w:tc>
        <w:tc>
          <w:tcPr/>
          <w:p>
            <w:pPr>
              <w:pStyle w:val="Compact"/>
              <w:jc w:val="left"/>
            </w:pPr>
            <w:r>
              <w:t xml:space="preserve">0.83</w:t>
            </w:r>
          </w:p>
        </w:tc>
        <w:tc>
          <w:tcPr/>
          <w:p>
            <w:pPr>
              <w:pStyle w:val="Compact"/>
              <w:jc w:val="left"/>
            </w:pPr>
            <w:r>
              <w:t xml:space="preserve">0.86</w:t>
            </w:r>
          </w:p>
        </w:tc>
      </w:tr>
      <w:tr>
        <w:tc>
          <w:tcPr/>
          <w:p>
            <w:pPr>
              <w:pStyle w:val="Compact"/>
              <w:jc w:val="left"/>
            </w:pPr>
            <w:r>
              <w:t xml:space="preserve">specificity</w:t>
            </w:r>
          </w:p>
        </w:tc>
        <w:tc>
          <w:tcPr/>
          <w:p>
            <w:pPr>
              <w:pStyle w:val="Compact"/>
              <w:jc w:val="left"/>
            </w:pPr>
            <w:r>
              <w:t xml:space="preserve">0.82</w:t>
            </w:r>
          </w:p>
        </w:tc>
        <w:tc>
          <w:tcPr/>
          <w:p>
            <w:pPr>
              <w:pStyle w:val="Compact"/>
              <w:jc w:val="left"/>
            </w:pPr>
            <w:r>
              <w:t xml:space="preserve">0.85</w:t>
            </w:r>
          </w:p>
        </w:tc>
        <w:tc>
          <w:tcPr/>
          <w:p>
            <w:pPr>
              <w:pStyle w:val="Compact"/>
              <w:jc w:val="left"/>
            </w:pPr>
            <w:r>
              <w:t xml:space="preserve">0.88</w:t>
            </w:r>
          </w:p>
        </w:tc>
      </w:tr>
      <w:tr>
        <w:tc>
          <w:tcPr/>
          <w:p>
            <w:pPr>
              <w:pStyle w:val="Compact"/>
              <w:jc w:val="left"/>
            </w:pPr>
            <w:r>
              <w:t xml:space="preserve">balanced accuracy</w:t>
            </w:r>
          </w:p>
        </w:tc>
        <w:tc>
          <w:tcPr/>
          <w:p>
            <w:pPr>
              <w:pStyle w:val="Compact"/>
              <w:jc w:val="left"/>
            </w:pPr>
            <w:r>
              <w:t xml:space="preserve">0.83</w:t>
            </w:r>
          </w:p>
        </w:tc>
        <w:tc>
          <w:tcPr/>
          <w:p>
            <w:pPr>
              <w:pStyle w:val="Compact"/>
              <w:jc w:val="left"/>
            </w:pPr>
            <w:r>
              <w:t xml:space="preserve">0.83</w:t>
            </w:r>
          </w:p>
        </w:tc>
        <w:tc>
          <w:tcPr/>
          <w:p>
            <w:pPr>
              <w:pStyle w:val="Compact"/>
              <w:jc w:val="left"/>
            </w:pPr>
            <w:r>
              <w:t xml:space="preserve">0.85</w:t>
            </w:r>
          </w:p>
        </w:tc>
      </w:tr>
      <w:tr>
        <w:tc>
          <w:tcPr/>
          <w:p>
            <w:pPr>
              <w:pStyle w:val="Compact"/>
              <w:jc w:val="left"/>
            </w:pPr>
            <w:r>
              <w:t xml:space="preserve">positive predictive value</w:t>
            </w:r>
          </w:p>
        </w:tc>
        <w:tc>
          <w:tcPr/>
          <w:p>
            <w:pPr>
              <w:pStyle w:val="Compact"/>
              <w:jc w:val="left"/>
            </w:pPr>
            <w:r>
              <w:t xml:space="preserve">0.63</w:t>
            </w:r>
          </w:p>
        </w:tc>
        <w:tc>
          <w:tcPr/>
          <w:p>
            <w:pPr>
              <w:pStyle w:val="Compact"/>
              <w:jc w:val="left"/>
            </w:pPr>
            <w:r>
              <w:t xml:space="preserve">0.30</w:t>
            </w:r>
          </w:p>
        </w:tc>
        <w:tc>
          <w:tcPr/>
          <w:p>
            <w:pPr>
              <w:pStyle w:val="Compact"/>
              <w:jc w:val="left"/>
            </w:pPr>
            <w:r>
              <w:t xml:space="preserve">0.03</w:t>
            </w:r>
          </w:p>
        </w:tc>
      </w:tr>
      <w:tr>
        <w:tc>
          <w:tcPr/>
          <w:p>
            <w:pPr>
              <w:pStyle w:val="Compact"/>
              <w:jc w:val="left"/>
            </w:pPr>
            <w:r>
              <w:t xml:space="preserve">negative predictive value</w:t>
            </w:r>
          </w:p>
        </w:tc>
        <w:tc>
          <w:tcPr/>
          <w:p>
            <w:pPr>
              <w:pStyle w:val="Compact"/>
              <w:jc w:val="left"/>
            </w:pPr>
            <w:r>
              <w:t xml:space="preserve">0.94</w:t>
            </w:r>
          </w:p>
        </w:tc>
        <w:tc>
          <w:tcPr/>
          <w:p>
            <w:pPr>
              <w:pStyle w:val="Compact"/>
              <w:jc w:val="left"/>
            </w:pPr>
            <w:r>
              <w:t xml:space="preserve">0.99</w:t>
            </w:r>
          </w:p>
        </w:tc>
        <w:tc>
          <w:tcPr/>
          <w:p>
            <w:pPr>
              <w:pStyle w:val="Compact"/>
              <w:jc w:val="left"/>
            </w:pPr>
            <w:r>
              <w:t xml:space="preserve">1.00</w:t>
            </w:r>
          </w:p>
        </w:tc>
      </w:tr>
    </w:tbl>
    <w:bookmarkEnd w:id="48"/>
    <w:p>
      <w:pPr>
        <w:pStyle w:val="BodyText"/>
      </w:pPr>
      <w:r>
        <w:rPr>
          <w:vertAlign w:val="subscript"/>
        </w:rPr>
        <w:t xml:space="preserve">Source:</w:t>
      </w:r>
      <w:r>
        <w:rPr>
          <w:vertAlign w:val="subscript"/>
        </w:rPr>
        <w:t xml:space="preserve"> </w:t>
      </w:r>
      <w:hyperlink r:id="rId49">
        <w:r>
          <w:rPr>
            <w:rStyle w:val="Hyperlink"/>
            <w:vertAlign w:val="subscript"/>
          </w:rPr>
          <w:t xml:space="preserve">Performance Metrics Tables for EMA study</w:t>
        </w:r>
      </w:hyperlink>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40" Target="https://jjcurtin.github.io/lectures_science/notebooks/ema_figs_probability-preview.html#cell-fig-day" TargetMode="External" /><Relationship Type="http://schemas.openxmlformats.org/officeDocument/2006/relationships/hyperlink" Id="rId46" Target="https://jjcurtin.github.io/lectures_science/notebooks/ema_figs_probability-preview.html#cell-fig-day-high_dec_thres" TargetMode="External" /><Relationship Type="http://schemas.openxmlformats.org/officeDocument/2006/relationships/hyperlink" Id="rId34" Target="https://jjcurtin.github.io/lectures_science/notebooks/ema_figs_probability-preview.html#cell-fig-week" TargetMode="External" /><Relationship Type="http://schemas.openxmlformats.org/officeDocument/2006/relationships/hyperlink" Id="rId28" Target="https://jjcurtin.github.io/lectures_science/notebooks/ema_figs_probability-preview.html#cell-fig-week-no_dec_thres" TargetMode="External" /><Relationship Type="http://schemas.openxmlformats.org/officeDocument/2006/relationships/hyperlink" Id="rId49" Target="https://jjcurtin.github.io/lectures_science/notebooks/ema_tables_metrics-preview.html#cell-table-paper" TargetMode="External" /></Relationships>
</file>

<file path=word/_rels/footnotes.xml.rels><?xml version="1.0" encoding="UTF-8"?><Relationships xmlns="http://schemas.openxmlformats.org/package/2006/relationships"><Relationship Type="http://schemas.openxmlformats.org/officeDocument/2006/relationships/hyperlink" Id="rId40" Target="https://jjcurtin.github.io/lectures_science/notebooks/ema_figs_probability-preview.html#cell-fig-day" TargetMode="External" /><Relationship Type="http://schemas.openxmlformats.org/officeDocument/2006/relationships/hyperlink" Id="rId46" Target="https://jjcurtin.github.io/lectures_science/notebooks/ema_figs_probability-preview.html#cell-fig-day-high_dec_thres" TargetMode="External" /><Relationship Type="http://schemas.openxmlformats.org/officeDocument/2006/relationships/hyperlink" Id="rId34" Target="https://jjcurtin.github.io/lectures_science/notebooks/ema_figs_probability-preview.html#cell-fig-week" TargetMode="External" /><Relationship Type="http://schemas.openxmlformats.org/officeDocument/2006/relationships/hyperlink" Id="rId28" Target="https://jjcurtin.github.io/lectures_science/notebooks/ema_figs_probability-preview.html#cell-fig-week-no_dec_thres" TargetMode="External" /><Relationship Type="http://schemas.openxmlformats.org/officeDocument/2006/relationships/hyperlink" Id="rId49" Target="https://jjcurtin.github.io/lectures_science/notebooks/ema_tables_metrics-preview.html#cell-table-pap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Slide Decks for John Curtin’s Scientific Presentations</dc:title>
  <dc:creator>John J. Curtin</dc:creator>
  <cp:keywords/>
  <dcterms:created xsi:type="dcterms:W3CDTF">2024-03-07T19:58:54Z</dcterms:created>
  <dcterms:modified xsi:type="dcterms:W3CDTF">2024-03-07T19:58:54Z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2024-03-07</vt:lpwstr>
  </property>
  <property fmtid="{D5CDD505-2E9C-101B-9397-08002B2CF9AE}" pid="10" name="editor_options">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