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2026-01-09</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Significant effects detected by studies with low power often do not replicate due to their low positive predictive value. Furthermore, estimates of the effect size for an IV may be positively biased when derived from studies with low power.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the set of possible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covariates that contribute to unique reductions in variance). Of course, spastically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manifest significant relationships with the outcome variable in covariate screening models that are used to identify which covariates to include in the subsequent analysis that tests the focal IV. Across these screening models, we consider three modeling approaches (i.e., bivariate regression models that screen each covariate in its own model, multiple regression models that screen all covariates in a single model, and LASSO models that screen all covariates in a single model). Across these modeling approaches, we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28" w:name="methods"/>
    <w:p>
      <w:pPr>
        <w:pStyle w:val="Heading1"/>
      </w:pPr>
      <w:r>
        <w:t xml:space="preserve">Methods</w:t>
      </w:r>
    </w:p>
    <w:bookmarkStart w:id="23" w:name="covariate-selection-methods"/>
    <w:p>
      <w:pPr>
        <w:pStyle w:val="Heading2"/>
      </w:pPr>
      <w:r>
        <w:t xml:space="preserve">Covariate Selection Methods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r>
        <w:t xml:space="preserve"> </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Single covariate linear model without X</w:t>
                  </w:r>
                </w:p>
              </w:tc>
              <w:tc>
                <w:tcPr/>
                <w:p>
                  <w:pPr>
                    <w:pStyle w:val="Compact"/>
                    <w:jc w:val="left"/>
                    <w:jc w:val="center"/>
                  </w:pPr>
                  <w:r>
                    <w:t xml:space="preserve">A linear model that regresses Y on a single covariate. Covariates are considered one at a time and included in the final model if they yield a significant effect on Y (p &lt; .05).</w:t>
                  </w:r>
                </w:p>
              </w:tc>
            </w:tr>
            <w:tr>
              <w:tc>
                <w:tcPr/>
                <w:p>
                  <w:pPr>
                    <w:pStyle w:val="Compact"/>
                    <w:jc w:val="left"/>
                    <w:jc w:val="center"/>
                  </w:pPr>
                  <w:r>
                    <w:t xml:space="preserve">Single covariate linear model with X</w:t>
                  </w:r>
                </w:p>
              </w:tc>
              <w:tc>
                <w:tcPr/>
                <w:p>
                  <w:pPr>
                    <w:pStyle w:val="Compact"/>
                    <w:jc w:val="left"/>
                    <w:jc w:val="center"/>
                  </w:pPr>
                  <w:r>
                    <w:t xml:space="preserve">A linear model that regresses Y on a single covariate and X. Covariates are considered one at a time and included in the final model if they yield a significant effect on Y (p &lt; .05).</w:t>
                  </w:r>
                </w:p>
              </w:tc>
            </w:tr>
            <w:tr>
              <w:tc>
                <w:tcPr/>
                <w:p>
                  <w:pPr>
                    <w:pStyle w:val="Compact"/>
                    <w:jc w:val="left"/>
                    <w:jc w:val="center"/>
                  </w:pPr>
                  <w:r>
                    <w:t xml:space="preserve">All covariates linear model without X</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All covariates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All covariates LASSO without X</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All covariates 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1"/>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1"/>
        </w:numPr>
      </w:pPr>
      <w:r>
        <w:t xml:space="preserve">The strength of the relationship between the covariates and Y. All non-zero covariates (see characteristic 3) were given a moderate or large relationship to the outcome (i.e., correlations of 0.3 and 0.5), respectively. Since these covariates are all correlated with the outcome, it is likely they are also correlated with each other. Therefore, we assigned a moderate 0.3 correlation for all relationships among good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star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0, 0.2, 0.5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 (version 4.4.2).</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variable (</w:t>
      </w:r>
      <w:r>
        <w:rPr>
          <w:i/>
          <w:iCs/>
        </w:rPr>
        <w:t xml:space="preserve">X</w:t>
      </w:r>
      <w:r>
        <w:t xml:space="preserve">), varying numbers of quantitative covariates, where a subset are correlated with each other and with</w:t>
      </w:r>
      <w:r>
        <w:t xml:space="preserve"> </w:t>
      </w:r>
      <w:r>
        <w:rPr>
          <w:i/>
          <w:iCs/>
        </w:rPr>
        <w:t xml:space="preserve">Y</w:t>
      </w:r>
      <w:r>
        <w:t xml:space="preserve"> </w:t>
      </w:r>
      <w:r>
        <w:t xml:space="preserve">(see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methods on each simulated dataset. From each model we saved out the parameter estimate, standard error, and p-value for</w:t>
      </w:r>
      <w:r>
        <w:t xml:space="preserve"> </w:t>
      </w:r>
      <w:r>
        <w:rPr>
          <w:i/>
          <w:iCs/>
        </w:rPr>
        <w:t xml:space="preserve">X</w:t>
      </w:r>
      <w:r>
        <w:t xml:space="preserve">.</w:t>
      </w:r>
      <w:r>
        <w:t xml:space="preserve"> </w:t>
      </w:r>
      <w:r>
        <w:t xml:space="preserve"> </w:t>
      </w:r>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Detailed tables of range and average error rates for each research context and true and false positive rates for covariates are available in the supplement.</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Since this is simulation study,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found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method. The p-hacking method for selecting covariates, unsurprisingly led to a highly inflated Type I error rate, consistent with the extant research published in the last several years on the connection between researcher degrees of freedom and false positives. Most other methods remained around the expected .05 threshold. There was some elevation in Type I errors for methods that controlled for</w:t>
      </w:r>
      <w:r>
        <w:t xml:space="preserve"> </w:t>
      </w:r>
      <w:r>
        <w:rPr>
          <w:i/>
          <w:iCs/>
        </w:rPr>
        <w:t xml:space="preserve">X</w:t>
      </w:r>
      <w:r>
        <w:t xml:space="preserve"> </w:t>
      </w:r>
      <w:r>
        <w:t xml:space="preserve">compared to those, however, it is not clear that these differences are substantial.</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assessed Type I error by individual research context and found several patterns (</w:t>
      </w:r>
      <w:hyperlink w:anchor="fig-type1-panel">
        <w:r>
          <w:rPr>
            <w:rStyle w:val="Hyperlink"/>
          </w:rPr>
          <w:t xml:space="preserve">Figure 2</w:t>
        </w:r>
      </w:hyperlink>
      <w:r>
        <w:t xml:space="preserve">). First, small sample sizes are more susceptible to inflated Type I error rates when using covariate selection methods that control for</w:t>
      </w:r>
      <w:r>
        <w:t xml:space="preserve"> </w:t>
      </w:r>
      <w:r>
        <w:rPr>
          <w:i/>
          <w:iCs/>
        </w:rPr>
        <w:t xml:space="preserve">X</w:t>
      </w:r>
      <w:r>
        <w:t xml:space="preserve">. As sample sizes get larger (i.e.,</w:t>
      </w:r>
      <w:r>
        <w:t xml:space="preserve"> </w:t>
      </w:r>
      <w:r>
        <w:rPr>
          <w:i/>
          <w:iCs/>
        </w:rPr>
        <w:t xml:space="preserve">n</w:t>
      </w:r>
      <w:r>
        <w:t xml:space="preserve"> </w:t>
      </w:r>
      <w:r>
        <w:t xml:space="preserve">= 300), the methods become comparable. Second, as the number of available covariates to select from increases, Type I error rate increases for covariate selection methods that control for</w:t>
      </w:r>
      <w:r>
        <w:t xml:space="preserve"> </w:t>
      </w:r>
      <w:r>
        <w:rPr>
          <w:i/>
          <w:iCs/>
        </w:rPr>
        <w:t xml:space="preserve">X</w:t>
      </w:r>
      <w:r>
        <w:t xml:space="preserve">, such as all covariates linear model with</w:t>
      </w:r>
      <w:r>
        <w:t xml:space="preserve"> </w:t>
      </w:r>
      <w:r>
        <w:rPr>
          <w:i/>
          <w:iCs/>
        </w:rPr>
        <w:t xml:space="preserve">X</w:t>
      </w:r>
      <w:r>
        <w:t xml:space="preserve"> </w:t>
      </w:r>
      <w:r>
        <w:t xml:space="preserve">and all covariates LASSO with</w:t>
      </w:r>
      <w:r>
        <w:t xml:space="preserve"> </w:t>
      </w:r>
      <w:r>
        <w:rPr>
          <w:i/>
          <w:iCs/>
        </w:rPr>
        <w:t xml:space="preserve">X</w:t>
      </w:r>
      <w:r>
        <w:t xml:space="preserve">, and to a lesser degree single covariate linear model. Third, there appeared to be no definitive pattern in Type I error rate as the proportion of good covariates increased</w:t>
      </w:r>
      <w:r>
        <w:t xml:space="preserve">. Similarly, we did not see changes in Type I error rate as function of the correlation strength between covariates and</w:t>
      </w:r>
      <w:r>
        <w:t xml:space="preserve"> </w:t>
      </w:r>
      <w:r>
        <w:rPr>
          <w:i/>
          <w:iCs/>
        </w:rPr>
        <w:t xml:space="preserve">Y</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Any non-significant result found indicated a Type II error. Stronger statistical methods will have lower Type II error (implying greater statistical power). Since we demonstrated that p-hacking substantially inflates Type I error, making it a statistically invalid method for covariate selection, we do not evaluate Type II Error for this method.</w:t>
      </w:r>
    </w:p>
    <w:p>
      <w:pPr>
        <w:pStyle w:val="BodyText"/>
      </w:pPr>
      <w:hyperlink w:anchor="fig-bar-2">
        <w:r>
          <w:rPr>
            <w:rStyle w:val="Hyperlink"/>
          </w:rPr>
          <w:t xml:space="preserve">Figure 3</w:t>
        </w:r>
      </w:hyperlink>
      <w:r>
        <w:t xml:space="preserve"> </w:t>
      </w:r>
      <w:r>
        <w:t xml:space="preserve">shows the average Type II error rate across all research contexts for each method. Using no covariates results in the highest Type II error highlighting the importance of covariates for detecting true effects. Type II error rates trended lower for covariate selection methods that controlled for</w:t>
      </w:r>
      <w:r>
        <w:t xml:space="preserve"> </w:t>
      </w:r>
      <w:r>
        <w:rPr>
          <w:i/>
          <w:iCs/>
        </w:rPr>
        <w:t xml:space="preserve">X</w:t>
      </w:r>
      <w:r>
        <w:t xml:space="preserve"> </w:t>
      </w:r>
      <w:r>
        <w:t xml:space="preserve">compared to those that did not control for</w:t>
      </w:r>
      <w:r>
        <w:t xml:space="preserve"> </w:t>
      </w:r>
      <w:r>
        <w:rPr>
          <w:i/>
          <w:iCs/>
        </w:rPr>
        <w:t xml:space="preserve">X</w:t>
      </w:r>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2.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nine methods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All methods yield unbiased estimates when the effect size is 0. When there is a non-zero effect, p-hacking methods notably inflate the effect size. Other data-driven methods that do not control for X yield slightly biased parameter estimates. Sampling distributions of parameter estimates are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star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w:t>
                  </w:r>
                </w:p>
              </w:tc>
              <w:tc>
                <w:tcPr/>
                <w:p>
                  <w:pPr>
                    <w:pStyle w:val="Compact"/>
                    <w:jc w:val="right"/>
                    <w:jc w:val="center"/>
                  </w:pPr>
                  <w:r>
                    <w:t xml:space="preserve">d = .2</w:t>
                  </w:r>
                </w:p>
              </w:tc>
              <w:tc>
                <w:tcPr/>
                <w:p>
                  <w:pPr>
                    <w:pStyle w:val="Compact"/>
                    <w:jc w:val="right"/>
                    <w:jc w:val="center"/>
                  </w:pPr>
                  <w:r>
                    <w:t xml:space="preserve">d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8.4%-13.5%). However, our simulations suggest this estimate may gravely underestimate the magnitude of the problem of p-hacking. It is more realistic that researchers must choose from several candidate covariates. Even when the number of available covariates is modest (i.e., 8-12), our results show that Type I error rates increase to 17.6% (range: 9.4%-32.9%) across contexts. When selecting among 16-20 covariates, Type I error rates, on average, reach a 2.5-fold increase from the 4-covariate context (26.9%, range: 13.9%-46.2%).</w:t>
      </w:r>
    </w:p>
    <w:p>
      <w:pPr>
        <w:pStyle w:val="BodyText"/>
      </w:pPr>
      <w:r>
        <w:t xml:space="preserve">When covariates were completely withheld (i.e., no covariates method), simulated models yielded an average Type I error rate of .05 and unbiased parameter estimates. However, this approach also showed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w:t>
      </w:r>
    </w:p>
    <w:p>
      <w:pPr>
        <w:pStyle w:val="BodyText"/>
      </w:pPr>
      <w:r>
        <w:t xml:space="preserve">In many instances, using all available covariates selected a priori to data analysis is a reasonable option. Our simulated models showed consistent average Type I error rates of .05 and unbiased parameter estimates. Additionally, on average Type II error rates were only about 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9%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2026-01-10T05:58:20Z</dcterms:created>
  <dcterms:modified xsi:type="dcterms:W3CDTF">2026-01-10T05:58:20Z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2026-01-09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