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2025-11-19</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but it is complicated.</w:t>
      </w:r>
    </w:p>
    <w:p>
      <w:pPr>
        <w:pStyle w:val="BodyText"/>
      </w:pPr>
      <w:r>
        <w:t xml:space="preserve">Alternatively, the simplest single covariate linear models that could be run as a table of correlation or partial correlations are easy to do and almost as good as Lasso with regard to Type I error, Type II error, and bias.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2025-11-19T21:34:10Z</dcterms:created>
  <dcterms:modified xsi:type="dcterms:W3CDTF">2025-11-19T21:34:10Z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