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5.png" ContentType="image/png"/>
  <Override PartName="/word/media/rId58.png" ContentType="image/png"/>
  <Override PartName="/word/media/rId5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candidate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3"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(p-hacking,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 p-value for that covariate was less than 0.05 in the screening model that evaluated it. The p-value for</w:t>
      </w:r>
      <w:r>
        <w:t xml:space="preserve"> </w:t>
      </w:r>
      <m:oMath>
        <m:r>
          <m:t>X</m:t>
        </m:r>
      </m:oMath>
      <w:r>
        <w:t xml:space="preserve"> </w:t>
      </w:r>
      <w:r>
        <w:t xml:space="preserve">was not used and</w:t>
      </w:r>
      <w:r>
        <w:t xml:space="preserve"> </w:t>
      </w:r>
      <m:oMath>
        <m:r>
          <m:t>X</m:t>
        </m:r>
      </m:oMath>
      <w:r>
        <w:t xml:space="preserve"> </w:t>
      </w:r>
      <w:r>
        <w:t xml:space="preserve">was only included to partial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(p-hacking) and two a priori selection approaches that did not use the data to screen and select covariates. The p-hacking approach used separate screening models for each covariate and each of these models also included</w:t>
      </w:r>
      <w:r>
        <w:t xml:space="preserve"> </w:t>
      </w:r>
      <m:oMath>
        <m:r>
          <m:t>X</m:t>
        </m:r>
      </m:oMath>
      <w:r>
        <w:t xml:space="preserve">. Covariates were selected to be included in the primary analysis if the p-value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 (INSERT COHEN 1991 ref).</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2"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BodyText"/>
      </w:pPr>
      <w:r>
        <w:rPr>
          <w:vertAlign w:val="subscript"/>
        </w:rPr>
        <w:t xml:space="preserve">Source:</w:t>
      </w:r>
      <w:r>
        <w:rPr>
          <w:vertAlign w:val="subscript"/>
        </w:rPr>
        <w:t xml:space="preserve"> </w:t>
      </w:r>
      <w:hyperlink r:id="rId27">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8" w:name="tbl-sigma"/>
          <w:p>
            <w:pPr>
              <w:jc w:val="center"/>
            </w:pPr>
            <w:pPr>
              <w:jc w:val="left"/>
              <w:spacing w:before="200"/>
              <w:pStyle w:val="ImageCaption"/>
            </w:pPr>
            <w:r>
              <w:t xml:space="preserve">Table 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$Y$</w:t>
                  </w:r>
                </w:p>
              </w:tc>
              <w:tc>
                <w:tcPr/>
                <w:p>
                  <w:pPr>
                    <w:pStyle w:val="Compact"/>
                    <w:jc w:val="right"/>
                    <w:jc w:val="center"/>
                  </w:pPr>
                  <w:r>
                    <w:t xml:space="preserve">$C_1$</w:t>
                  </w:r>
                </w:p>
              </w:tc>
              <w:tc>
                <w:tcPr/>
                <w:p>
                  <w:pPr>
                    <w:pStyle w:val="Compact"/>
                    <w:jc w:val="right"/>
                    <w:jc w:val="center"/>
                  </w:pPr>
                  <w:r>
                    <w:t xml:space="preserve">$C_2$</w:t>
                  </w:r>
                </w:p>
              </w:tc>
              <w:tc>
                <w:tcPr/>
                <w:p>
                  <w:pPr>
                    <w:pStyle w:val="Compact"/>
                    <w:jc w:val="right"/>
                    <w:jc w:val="center"/>
                  </w:pPr>
                  <w:r>
                    <w:t xml:space="preserve">$C_3$</w:t>
                  </w:r>
                </w:p>
              </w:tc>
              <w:tc>
                <w:tcPr/>
                <w:p>
                  <w:pPr>
                    <w:pStyle w:val="Compact"/>
                    <w:jc w:val="right"/>
                    <w:jc w:val="center"/>
                  </w:pPr>
                  <w:r>
                    <w:t xml:space="preserve">$C_4$</w:t>
                  </w:r>
                </w:p>
              </w:tc>
            </w:tr>
            <w:tr>
              <w:tc>
                <w:tcPr/>
                <w:p>
                  <w:pPr>
                    <w:pStyle w:val="Compact"/>
                    <w:jc w:val="left"/>
                    <w:jc w:val="center"/>
                  </w:pPr>
                  <w:r>
                    <w:t xml:space="preserve">$Y$</w:t>
                  </w:r>
                </w:p>
              </w:tc>
              <w:tc>
                <w:tcPr/>
                <w:p>
                  <w:pPr>
                    <w:pStyle w:val="Compact"/>
                    <w:jc w:val="right"/>
                    <w:jc w:val="center"/>
                  </w:pPr>
                  <w:r>
                    <w:t xml:space="preserve">1.0</w:t>
                  </w:r>
                </w:p>
              </w:tc>
              <w:tc>
                <w:tcPr/>
                <w:p>
                  <w:pPr>
                    <w:pStyle w:val="Compact"/>
                    <w:jc w:val="right"/>
                    <w:jc w:val="center"/>
                  </w:pPr>
                  <w:r>
                    <w:t xml:space="preserve">0.5</w:t>
                  </w:r>
                </w:p>
              </w:tc>
              <w:tc>
                <w:tcPr/>
                <w:p>
                  <w:pPr>
                    <w:pStyle w:val="Compact"/>
                    <w:jc w:val="right"/>
                    <w:jc w:val="center"/>
                  </w:pPr>
                  <w:r>
                    <w:t xml:space="preserve">0.5</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$C_1$</w:t>
                  </w:r>
                </w:p>
              </w:tc>
              <w:tc>
                <w:tcPr/>
                <w:p>
                  <w:pPr>
                    <w:pStyle w:val="Compact"/>
                    <w:jc w:val="right"/>
                    <w:jc w:val="center"/>
                  </w:pPr>
                  <w:r>
                    <w:t xml:space="preserve">0.5</w:t>
                  </w:r>
                </w:p>
              </w:tc>
              <w:tc>
                <w:tcPr/>
                <w:p>
                  <w:pPr>
                    <w:pStyle w:val="Compact"/>
                    <w:jc w:val="right"/>
                    <w:jc w:val="center"/>
                  </w:pPr>
                  <w:r>
                    <w:t xml:space="preserve">1.0</w:t>
                  </w:r>
                </w:p>
              </w:tc>
              <w:tc>
                <w:tcPr/>
                <w:p>
                  <w:pPr>
                    <w:pStyle w:val="Compact"/>
                    <w:jc w:val="right"/>
                    <w:jc w:val="center"/>
                  </w:pPr>
                  <w:r>
                    <w:t xml:space="preserve">0.3</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$C_2$</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$C_3$</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$C_4$</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Tables for Main Manuscript</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30"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30"/>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w:t>
      </w:r>
      <w:r>
        <w:t xml:space="preserve"> </w:t>
      </w:r>
      <m:oMath>
        <m:r>
          <m:t>l</m:t>
        </m:r>
        <m:r>
          <m:t>m</m:t>
        </m:r>
        <m:r>
          <m:rPr>
            <m:sty m:val="p"/>
          </m:rPr>
          <m:t>(</m:t>
        </m:r>
        <m:r>
          <m:t>Y</m:t>
        </m:r>
        <m:r>
          <m:t> </m:t>
        </m:r>
        <m:r>
          <m:t>X</m:t>
        </m:r>
        <m:r>
          <m:rPr>
            <m:sty m:val="p"/>
          </m:rPr>
          <m:t>+</m:t>
        </m:r>
        <m:r>
          <m:t>C</m:t>
        </m:r>
        <m:r>
          <m:t>1</m:t>
        </m:r>
        <m:r>
          <m:rPr>
            <m:sty m:val="p"/>
          </m:rPr>
          <m:t>+</m:t>
        </m:r>
        <m:r>
          <m:t>C</m:t>
        </m:r>
        <m:r>
          <m:t>4</m:t>
        </m:r>
        <m:r>
          <m:rPr>
            <m:sty m:val="p"/>
          </m:rPr>
          <m:t>,</m:t>
        </m:r>
        <m:r>
          <m:t>d</m:t>
        </m:r>
        <m:r>
          <m:t>a</m:t>
        </m:r>
        <m:r>
          <m:t>t</m:t>
        </m:r>
        <m:r>
          <m:t>a</m:t>
        </m:r>
        <m:r>
          <m:rPr>
            <m:sty m:val="p"/>
          </m:rPr>
          <m:t>=</m:t>
        </m:r>
        <m:r>
          <m:t>d</m:t>
        </m:r>
        <m:r>
          <m:t>f</m:t>
        </m:r>
      </m:oMath>
      <w:r>
        <w:t xml:space="preserve">, if covariates 1 and 4 were selected by the current selection approach. From each primary analysis, we saved the research context characteristics, the covariate selection approach used, and the parameter estimate for</w:t>
      </w:r>
      <w:r>
        <w:t xml:space="preserve"> </w:t>
      </w:r>
      <m:oMath>
        <m:r>
          <m:t>X</m:t>
        </m:r>
      </m:oMath>
      <w:r>
        <w:t xml:space="preserve">, p-value for its statistical test against 0, and the conclusion (reject or fail to reject) using alpha = 0.05 from the primary analysis.</w:t>
      </w:r>
    </w:p>
    <w:p>
      <w:pPr>
        <w:pStyle w:val="BodyText"/>
      </w:pPr>
      <w:r>
        <w:t xml:space="preserve">For research contexts where the population parameter for</w:t>
      </w:r>
      <w:r>
        <w:t xml:space="preserve"> </w:t>
      </w:r>
      <m:oMath>
        <m:r>
          <m:t>X</m:t>
        </m:r>
      </m:oMath>
      <w:r>
        <w:t xml:space="preserve"> </w:t>
      </w:r>
      <w:r>
        <w:t xml:space="preserve">is 0 (i.e.,</w:t>
      </w:r>
      <w:r>
        <w:t xml:space="preserve"> </w:t>
      </w:r>
      <m:oMath>
        <m:r>
          <m:t>X</m:t>
        </m:r>
      </m:oMath>
      <w:r>
        <w:t xml:space="preserve"> </w:t>
      </w:r>
      <w:r>
        <w:t xml:space="preserve">has no effect on</w:t>
      </w:r>
      <w:r>
        <w:t xml:space="preserve"> </w:t>
      </w:r>
      <m:oMath>
        <m:r>
          <m:t>Y</m:t>
        </m:r>
      </m:oMath>
      <w:r>
        <w:t xml:space="preserve">), we assess and report the Type I error rates associated with each covariate selection approach by research context characteristics. For research contexts where the population parameter for</w:t>
      </w:r>
      <w:r>
        <w:t xml:space="preserve"> </w:t>
      </w:r>
      <m:oMath>
        <m:r>
          <m:t>X</m:t>
        </m:r>
      </m:oMath>
      <w:r>
        <w:t xml:space="preserve"> </w:t>
      </w:r>
      <w:r>
        <w:t xml:space="preserve">is 0.2 or 0.5 (i.e.,</w:t>
      </w:r>
      <w:r>
        <w:t xml:space="preserve"> </w:t>
      </w:r>
      <m:oMath>
        <m:r>
          <m:t>X</m:t>
        </m:r>
      </m:oMath>
      <w:r>
        <w:t xml:space="preserve"> </w:t>
      </w:r>
      <w:r>
        <w:t xml:space="preserve">has an effect on</w:t>
      </w:r>
      <w:r>
        <w:t xml:space="preserve"> </w:t>
      </w:r>
      <m:oMath>
        <m:r>
          <m:t>Y</m:t>
        </m:r>
      </m:oMath>
      <w:r>
        <w:t xml:space="preserve">), we assess and report the Type II error rate for each covariate selection method by research context characteristics. We also provide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31">
        <w:r>
          <w:rPr>
            <w:rStyle w:val="Hyperlink"/>
          </w:rPr>
          <w:t xml:space="preserve">https://osf.io/zh5gn/</w:t>
        </w:r>
      </w:hyperlink>
      <w:r>
        <w:t xml:space="preserve">).</w:t>
      </w:r>
    </w:p>
    <w:bookmarkEnd w:id="32"/>
    <w:bookmarkEnd w:id="33"/>
    <w:bookmarkStart w:id="64" w:name="results"/>
    <w:p>
      <w:pPr>
        <w:pStyle w:val="Heading1"/>
      </w:pPr>
      <w:r>
        <w:t xml:space="preserve">Results</w:t>
      </w:r>
    </w:p>
    <w:bookmarkStart w:id="44"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7" w:name="fig-bar-1"/>
          <w:p>
            <w:pPr>
              <w:pStyle w:val="Compact"/>
              <w:jc w:val="center"/>
            </w:pPr>
            <w:r>
              <w:drawing>
                <wp:inline>
                  <wp:extent cx="5334000" cy="3048000"/>
                  <wp:effectExtent b="0" l="0" r="0" t="0"/>
                  <wp:docPr descr="" title="" id="35" name="Picture"/>
                  <a:graphic>
                    <a:graphicData uri="http://schemas.openxmlformats.org/drawingml/2006/picture">
                      <pic:pic>
                        <pic:nvPicPr>
                          <pic:cNvPr descr="index_files/figure-docx/notebooks-mak_figures-fig-bar-1-output-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type1-panel"/>
          <w:p>
            <w:pPr>
              <w:pStyle w:val="Compact"/>
              <w:jc w:val="center"/>
            </w:pPr>
            <w:r>
              <w:drawing>
                <wp:inline>
                  <wp:extent cx="5334000" cy="4000499"/>
                  <wp:effectExtent b="0" l="0" r="0" t="0"/>
                  <wp:docPr descr="" title="" id="40" name="Picture"/>
                  <a:graphic>
                    <a:graphicData uri="http://schemas.openxmlformats.org/drawingml/2006/picture">
                      <pic:pic>
                        <pic:nvPicPr>
                          <pic:cNvPr descr="index_files/figure-docx/notebooks-mak_figures-fig-type1-panel-output-1.png" id="41" name="Picture"/>
                          <pic:cNvPicPr>
                            <a:picLocks noChangeArrowheads="1" noChangeAspect="1"/>
                          </pic:cNvPicPr>
                        </pic:nvPicPr>
                        <pic:blipFill>
                          <a:blip r:embed="rId3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Figures for Main Manuscript</w:t>
        </w:r>
      </w:hyperlink>
    </w:p>
    <w:bookmarkEnd w:id="44"/>
    <w:bookmarkStart w:id="55"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8" w:name="fig-bar-2"/>
          <w:p>
            <w:pPr>
              <w:pStyle w:val="Compact"/>
              <w:jc w:val="center"/>
            </w:pPr>
            <w:r>
              <w:drawing>
                <wp:inline>
                  <wp:extent cx="5334000" cy="3048000"/>
                  <wp:effectExtent b="0" l="0" r="0" t="0"/>
                  <wp:docPr descr="" title="" id="46" name="Picture"/>
                  <a:graphic>
                    <a:graphicData uri="http://schemas.openxmlformats.org/drawingml/2006/picture">
                      <pic:pic>
                        <pic:nvPicPr>
                          <pic:cNvPr descr="index_files/figure-docx/notebooks-mak_figures-fig-bar-2-output-1.png" id="47" name="Picture"/>
                          <pic:cNvPicPr>
                            <a:picLocks noChangeArrowheads="1" noChangeAspect="1"/>
                          </pic:cNvPicPr>
                        </pic:nvPicPr>
                        <pic:blipFill>
                          <a:blip r:embed="rId45"/>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3" w:name="fig-panel-2"/>
          <w:p>
            <w:pPr>
              <w:pStyle w:val="Compact"/>
              <w:jc w:val="center"/>
            </w:pPr>
            <w:r>
              <w:drawing>
                <wp:inline>
                  <wp:extent cx="5334000" cy="6400800"/>
                  <wp:effectExtent b="0" l="0" r="0" t="0"/>
                  <wp:docPr descr="" title="" id="51" name="Picture"/>
                  <a:graphic>
                    <a:graphicData uri="http://schemas.openxmlformats.org/drawingml/2006/picture">
                      <pic:pic>
                        <pic:nvPicPr>
                          <pic:cNvPr descr="index_files/figure-docx/notebooks-mak_figures-fig-panel-2-output-1.png" id="52" name="Picture"/>
                          <pic:cNvPicPr>
                            <a:picLocks noChangeArrowheads="1" noChangeAspect="1"/>
                          </pic:cNvPicPr>
                        </pic:nvPicPr>
                        <pic:blipFill>
                          <a:blip r:embed="rId50"/>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Figures for Main Manuscript</w:t>
        </w:r>
      </w:hyperlink>
    </w:p>
    <w:bookmarkEnd w:id="55"/>
    <w:bookmarkStart w:id="6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4</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6" w:name="tbl-est"/>
          <w:p>
            <w:pPr>
              <w:jc w:val="center"/>
            </w:pPr>
            <w:pPr>
              <w:jc w:val="left"/>
              <w:spacing w:before="200"/>
              <w:pStyle w:val="ImageCaption"/>
            </w:pPr>
            <w:r>
              <w:t xml:space="preserve">Table 4: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 = 0)</w:t>
                  </w:r>
                </w:p>
              </w:tc>
              <w:tc>
                <w:tcPr/>
                <w:p>
                  <w:pPr>
                    <w:pStyle w:val="Compact"/>
                    <w:jc w:val="right"/>
                    <w:jc w:val="center"/>
                  </w:pPr>
                  <w:r>
                    <w:t xml:space="preserve">$\beta_{x}$ = .2</w:t>
                  </w:r>
                </w:p>
              </w:tc>
              <w:tc>
                <w:tcPr/>
                <w:p>
                  <w:pPr>
                    <w:pStyle w:val="Compact"/>
                    <w:jc w:val="right"/>
                    <w:jc w:val="center"/>
                  </w:pPr>
                  <w:r>
                    <w:t xml:space="preserve">$\beta_{x}$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6"/>
          <w:p/>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61" w:name="fig-distribution-bx"/>
          <w:p>
            <w:pPr>
              <w:pStyle w:val="Compact"/>
              <w:jc w:val="center"/>
            </w:pPr>
            <w:r>
              <w:drawing>
                <wp:inline>
                  <wp:extent cx="5334000" cy="6096000"/>
                  <wp:effectExtent b="0" l="0" r="0" t="0"/>
                  <wp:docPr descr="" title="" id="59" name="Picture"/>
                  <a:graphic>
                    <a:graphicData uri="http://schemas.openxmlformats.org/drawingml/2006/picture">
                      <pic:pic>
                        <pic:nvPicPr>
                          <pic:cNvPr descr="index_files/figure-docx/notebooks-mak_figures-fig-distribution-bx-output-1.png" id="60" name="Picture"/>
                          <pic:cNvPicPr>
                            <a:picLocks noChangeArrowheads="1" noChangeAspect="1"/>
                          </pic:cNvPicPr>
                        </pic:nvPicPr>
                        <pic:blipFill>
                          <a:blip r:embed="rId5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 for Main Manuscript</w:t>
        </w:r>
      </w:hyperlink>
    </w:p>
    <w:bookmarkEnd w:id="63"/>
    <w:bookmarkEnd w:id="64"/>
    <w:bookmarkStart w:id="6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5"/>
    <w:bookmarkStart w:id="100" w:name="references"/>
    <w:p>
      <w:pPr>
        <w:pStyle w:val="Heading1"/>
      </w:pPr>
      <w:r>
        <w:t xml:space="preserve">References</w:t>
      </w:r>
    </w:p>
    <w:bookmarkStart w:id="99" w:name="refs"/>
    <w:bookmarkStart w:id="6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6">
        <w:r>
          <w:rPr>
            <w:rStyle w:val="Hyperlink"/>
          </w:rPr>
          <w:t xml:space="preserve">https://doi.org/10.1016/0197-2456(89)90055-x</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8">
        <w:r>
          <w:rPr>
            <w:rStyle w:val="Hyperlink"/>
          </w:rPr>
          <w:t xml:space="preserve">https://doi.org/10.1016/j.annepidem.2005.09.007</w:t>
        </w:r>
      </w:hyperlink>
      <w:r>
        <w:t xml:space="preserve">.</w:t>
      </w:r>
    </w:p>
    <w:bookmarkEnd w:id="79"/>
    <w:bookmarkStart w:id="8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0">
        <w:r>
          <w:rPr>
            <w:rStyle w:val="Hyperlink"/>
          </w:rPr>
          <w:t xml:space="preserve">https://doi.org/10.1016/j.jclinepi.2003.09.014</w:t>
        </w:r>
      </w:hyperlink>
      <w:r>
        <w:t xml:space="preserve">.</w:t>
      </w:r>
    </w:p>
    <w:bookmarkEnd w:id="81"/>
    <w:bookmarkStart w:id="8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2">
        <w:r>
          <w:rPr>
            <w:rStyle w:val="Hyperlink"/>
          </w:rPr>
          <w:t xml:space="preserve">https://doi.org/10.1371/journal.pmed.0020124</w:t>
        </w:r>
      </w:hyperlink>
      <w:r>
        <w:t xml:space="preserve">.</w:t>
      </w:r>
    </w:p>
    <w:bookmarkEnd w:id="83"/>
    <w:bookmarkStart w:id="8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4">
        <w:r>
          <w:rPr>
            <w:rStyle w:val="Hyperlink"/>
          </w:rPr>
          <w:t xml:space="preserve">https://doi.org/10.1186/1745-6215-15-139</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7"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7"/>
    <w:bookmarkStart w:id="89"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8">
        <w:r>
          <w:rPr>
            <w:rStyle w:val="Hyperlink"/>
          </w:rPr>
          <w:t xml:space="preserve">https://doi.org/10.1080/03610928508828942</w:t>
        </w:r>
      </w:hyperlink>
      <w:r>
        <w:t xml:space="preserve">.</w:t>
      </w:r>
    </w:p>
    <w:bookmarkEnd w:id="89"/>
    <w:bookmarkStart w:id="91"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0">
        <w:r>
          <w:rPr>
            <w:rStyle w:val="Hyperlink"/>
          </w:rPr>
          <w:t xml:space="preserve">https://doi.org/10.1177/0956797611417632</w:t>
        </w:r>
      </w:hyperlink>
      <w:r>
        <w:t xml:space="preserve">.</w:t>
      </w:r>
    </w:p>
    <w:bookmarkEnd w:id="91"/>
    <w:bookmarkStart w:id="93"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2">
        <w:r>
          <w:rPr>
            <w:rStyle w:val="Hyperlink"/>
          </w:rPr>
          <w:t xml:space="preserve">https://doi.org/10.1037/a0033242</w:t>
        </w:r>
      </w:hyperlink>
      <w:r>
        <w:t xml:space="preserve">.</w:t>
      </w:r>
    </w:p>
    <w:bookmarkEnd w:id="93"/>
    <w:bookmarkStart w:id="95"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4">
        <w:r>
          <w:rPr>
            <w:rStyle w:val="Hyperlink"/>
          </w:rPr>
          <w:t xml:space="preserve">https://doi.org/10.1016/j.jclinepi.2014.11.001</w:t>
        </w:r>
      </w:hyperlink>
      <w:r>
        <w:t xml:space="preserve">.</w:t>
      </w:r>
    </w:p>
    <w:bookmarkEnd w:id="95"/>
    <w:bookmarkStart w:id="97"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6">
        <w:r>
          <w:rPr>
            <w:rStyle w:val="Hyperlink"/>
          </w:rPr>
          <w:t xml:space="preserve">https://doi.org/10.1111/j.2517-6161.1996.tb02080.x</w:t>
        </w:r>
      </w:hyperlink>
      <w:r>
        <w:t xml:space="preserve">.</w:t>
      </w:r>
    </w:p>
    <w:bookmarkEnd w:id="97"/>
    <w:bookmarkStart w:id="98"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0197-2456(89)90055-x" TargetMode="External" /><Relationship Type="http://schemas.openxmlformats.org/officeDocument/2006/relationships/hyperlink" Id="rId78" Target="https://doi.org/10.1016/j.annepidem.2005.09.007" TargetMode="External" /><Relationship Type="http://schemas.openxmlformats.org/officeDocument/2006/relationships/hyperlink" Id="rId80" Target="https://doi.org/10.1016/j.jclinepi.2003.09.014" TargetMode="External" /><Relationship Type="http://schemas.openxmlformats.org/officeDocument/2006/relationships/hyperlink" Id="rId94" Target="https://doi.org/10.1016/j.jclinepi.2014.11.001" TargetMode="External" /><Relationship Type="http://schemas.openxmlformats.org/officeDocument/2006/relationships/hyperlink" Id="rId92" Target="https://doi.org/10.1037/a0033242"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88" Target="https://doi.org/10.1080/03610928508828942" TargetMode="External" /><Relationship Type="http://schemas.openxmlformats.org/officeDocument/2006/relationships/hyperlink" Id="rId96" Target="https://doi.org/10.1111/j.2517-6161.1996.tb02080.x" TargetMode="External" /><Relationship Type="http://schemas.openxmlformats.org/officeDocument/2006/relationships/hyperlink" Id="rId90" Target="https://doi.org/10.1177/0956797611417632" TargetMode="External" /><Relationship Type="http://schemas.openxmlformats.org/officeDocument/2006/relationships/hyperlink" Id="rId76" Target="https://doi.org/10.1186/1471-2288-14-49" TargetMode="External" /><Relationship Type="http://schemas.openxmlformats.org/officeDocument/2006/relationships/hyperlink" Id="rId84" Target="https://doi.org/10.1186/1745-6215-15-139" TargetMode="External" /><Relationship Type="http://schemas.openxmlformats.org/officeDocument/2006/relationships/hyperlink" Id="rId82"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8" Target="https://jjcurtin.github.io/study_cov/notebooks\mak_figures-preview.html#cell-fig-bar-1" TargetMode="External" /><Relationship Type="http://schemas.openxmlformats.org/officeDocument/2006/relationships/hyperlink" Id="rId49" Target="https://jjcurtin.github.io/study_cov/notebooks\mak_figures-preview.html#cell-fig-bar-2" TargetMode="External" /><Relationship Type="http://schemas.openxmlformats.org/officeDocument/2006/relationships/hyperlink" Id="rId62" Target="https://jjcurtin.github.io/study_cov/notebooks\mak_figures-preview.html#cell-fig-distribution-bx" TargetMode="External" /><Relationship Type="http://schemas.openxmlformats.org/officeDocument/2006/relationships/hyperlink" Id="rId54" Target="https://jjcurtin.github.io/study_cov/notebooks\mak_figures-preview.html#cell-fig-panel-2" TargetMode="External" /><Relationship Type="http://schemas.openxmlformats.org/officeDocument/2006/relationships/hyperlink" Id="rId43"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7"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jjcurtin.github.io/study_cov/notebooks\mak_tables-preview.html#cell-tbl-sigma" TargetMode="External" /><Relationship Type="http://schemas.openxmlformats.org/officeDocument/2006/relationships/hyperlink" Id="rId31"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2026-03-14T00:35:56Z</dcterms:created>
  <dcterms:modified xsi:type="dcterms:W3CDTF">2026-03-14T00:35:56Z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