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2026-06-10</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provide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statistical power would likely be lost by this decision.</w:t>
      </w:r>
      <w:r>
        <w:t xml:space="preserve"> </w:t>
      </w:r>
      <w:r>
        <w:t xml:space="preserve">At the other extreme, the researcher could plan to include all available covariates that are reasonably believed to account for unexplained variance in the outcome in the statistical analysis. This decision, if made a priori</w:t>
      </w:r>
      <w:r>
        <w:t xml:space="preserve">,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To be clear, this paper paper discusses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w:t>
      </w:r>
      <w:r>
        <w:t xml:space="preserve">. Across these screening models, we consider</w:t>
      </w:r>
      <w:r>
        <w:t xml:space="preserve"> </w:t>
      </w:r>
      <w:r>
        <w:rPr>
          <w:i/>
          <w:iCs/>
        </w:rPr>
        <w:t xml:space="preserve">p</w:t>
      </w:r>
      <w:r>
        <w:t xml:space="preserve">-hacking (a statistically invalid data-driven approach) and three additional modeling approaches: linear models that screen each covariate separately in its own model (separate cov lm),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 three modeling approaches, we also either exclude or include the focal IV in the screening models.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w:t>
      </w:r>
      <w:r>
        <w:t xml:space="preserve"> </w:t>
      </w:r>
      <w:r>
        <w:t xml:space="preserve">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that did not use the data to screen and select covariates. Instead the no covariates and all covariates 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covariates were selected to be included in the primary analysis if the effect of</w:t>
      </w:r>
      <w:r>
        <w:t xml:space="preserve"> </w:t>
      </w:r>
      <m:oMath>
        <m:r>
          <m:t>X</m:t>
        </m:r>
      </m:oMath>
      <w:r>
        <w:t xml:space="preserve"> </w:t>
      </w:r>
      <w:r>
        <w:t xml:space="preserve">became larger in the screening model that included that covariate. This replicates the real-world practice of</w:t>
      </w:r>
      <w:r>
        <w:t xml:space="preserve"> </w:t>
      </w:r>
      <w:r>
        <w:rPr>
          <w:i/>
          <w:iCs/>
        </w:rPr>
        <w:t xml:space="preserve">p</w:t>
      </w:r>
      <w:r>
        <w:t xml:space="preserve">-hacking where researchers aim to increase the effect size of a focal variable to match a pre-existing hypothesis.</w:t>
      </w:r>
    </w:p>
    <w:p>
      <w:pPr>
        <w:pStyle w:val="BodyText"/>
      </w:pPr>
      <w:r>
        <w:t xml:space="preserve">We considered three additional modeling approaches: linear models that screen each covariate separately in its own model (separate cov lm)</w:t>
      </w:r>
      <w:r>
        <w:t xml:space="preserve">, linear models that screen all covariates simultaneously in a single model (simultaneous cov lm), and LASSO</w:t>
      </w:r>
      <w:r>
        <w:t xml:space="preserve"> </w:t>
      </w:r>
      <w:r>
        <w:t xml:space="preserve">(Tibshirani 1996)</w:t>
      </w:r>
      <w:r>
        <w:t xml:space="preserve"> </w:t>
      </w:r>
      <w:r>
        <w:t xml:space="preserve">models that screen all covariates simultaneously in a single model (simultaneous cov LASSO). Across these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cov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cov lm w/o</w:t>
      </w:r>
      <w:r>
        <w:t xml:space="preserve"> </w:t>
      </w:r>
      <m:oMath>
        <m:r>
          <m:t>X</m:t>
        </m:r>
      </m:oMath>
      <w:r>
        <w:t xml:space="preserve">, separate cov lm with</w:t>
      </w:r>
      <w:r>
        <w:t xml:space="preserve"> </w:t>
      </w:r>
      <m:oMath>
        <m:r>
          <m:t>X</m:t>
        </m:r>
      </m:oMath>
      <w:r>
        <w:t xml:space="preserve">, simultaneous cov lm w/o</w:t>
      </w:r>
      <w:r>
        <w:t xml:space="preserve"> </w:t>
      </w:r>
      <m:oMath>
        <m:r>
          <m:t>X</m:t>
        </m:r>
      </m:oMath>
      <w:r>
        <w:t xml:space="preserve">, and simultaneous cov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 For the LASSO models (simultaneous cov LASSO w/o</w:t>
      </w:r>
      <w:r>
        <w:t xml:space="preserve"> </w:t>
      </w:r>
      <m:oMath>
        <m:r>
          <m:t>X</m:t>
        </m:r>
      </m:oMath>
      <w:r>
        <w:t xml:space="preserve"> </w:t>
      </w:r>
      <w:r>
        <w:t xml:space="preserve">and simultaneous cov LASS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cov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cov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cov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0.289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approached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cov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data-driven approaches. The approach with the lowest mean Type II error rate (0.337) was the simultaneous cov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 lm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cov LASSO with</w:t>
      </w:r>
      <w:r>
        <w:t xml:space="preserve"> </w:t>
      </w:r>
      <m:oMath>
        <m:r>
          <m:t>X</m:t>
        </m:r>
      </m:oMath>
      <w:r>
        <w:t xml:space="preserve">. Finally, if perfect control of Type I error rate at the nominal alpha is desired, screening with separate cov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We believe our paper provides strong evidence to support the clear benefits of using covariates. We hope that we have also clarified the relative costs and benefits of key approaches to selecting them in experimental research. To help researchers determine which covariate selection is best suited for their research context, we provide a summary of our recommendations in</w:t>
      </w:r>
      <w:r>
        <w:t xml:space="preserve"> </w:t>
      </w:r>
      <w:r>
        <w:rPr>
          <w:b/>
          <w:bCs/>
        </w:rPr>
        <w:t xml:space="preserve">?@tbl-rec</w:t>
      </w:r>
      <w:r>
        <w:t xml:space="preserve">.</w:t>
      </w:r>
    </w:p>
    <w:bookmarkEnd w:id="63"/>
    <w:bookmarkStart w:id="64" w:name="acknowledgments"/>
    <w:p>
      <w:pPr>
        <w:pStyle w:val="Heading1"/>
      </w:pPr>
      <w:r>
        <w:t xml:space="preserve">Acknowledgments</w:t>
      </w:r>
    </w:p>
    <w:p>
      <w:pPr>
        <w:pStyle w:val="FirstParagraph"/>
      </w:pPr>
      <w:r>
        <w:t xml:space="preserve">The authors wish to thank Christopher Janssen for his role in developing the interactive shiny dashboard available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2026-06-10T17:15:57Z</dcterms:created>
  <dcterms:modified xsi:type="dcterms:W3CDTF">2026-06-10T17:15:57Z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can reduce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provide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