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5.png" ContentType="image/png"/>
  <Override PartName="/word/media/rId58.png" ContentType="image/png"/>
  <Override PartName="/word/media/rId50.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2026-03-13</w:t>
      </w:r>
    </w:p>
    <w:p>
      <w:pPr>
        <w:pStyle w:val="AbstractTitle"/>
      </w:pPr>
      <w:r>
        <w:t xml:space="preserve">Abstract</w:t>
      </w:r>
    </w:p>
    <w:p>
      <w:pPr>
        <w:pStyle w:val="Abstract"/>
      </w:pPr>
      <w:r>
        <w:t xml:space="preserve">Abstract of paper goes here and can span several lines.</w:t>
      </w:r>
    </w:p>
    <w:bookmarkStart w:id="20" w:name="introduction"/>
    <w:p>
      <w:pPr>
        <w:pStyle w:val="Heading1"/>
      </w:pPr>
      <w:r>
        <w:t xml:space="preserve">Introduction</w:t>
      </w:r>
    </w:p>
    <w:p>
      <w:pPr>
        <w:pStyle w:val="FirstParagraph"/>
      </w:pPr>
      <w:r>
        <w:t xml:space="preserve">Research in Psychology is often uses experimental manipulations to establish causal relationships between a focal independent variable (IV) and a psychological outcome. For example, participants may be randomly assigned to receive a moderate dose of alcohol or placebo to evaluate the effect of alcohol consumption on response to a laboratory stressor (INSERT A COUPLE OF REFS TO OUR STUDIES). [Markus, can you provide a simple second example that focuses on an IV manipulation that is social psych relevant?)</w:t>
      </w:r>
    </w:p>
    <w:p>
      <w:pPr>
        <w:pStyle w:val="BodyText"/>
      </w:pPr>
      <w:r>
        <w:t xml:space="preserve">A valid test of the effect of an IV requires adequate statistical power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increase statistical power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increase statistical power and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not be systematically correlated with the IV because they are collected prior to random assignment. They would also be expected to correlate with laboratory stress response based on prior research. Given this, the addition of these measures as covariates in the analysis could reduce variance in stress response that is unrelated to the manipulation to increase statistical power to test the IV effect.</w:t>
      </w:r>
    </w:p>
    <w:p>
      <w:pPr>
        <w:pStyle w:val="BodyText"/>
      </w:pPr>
      <w:r>
        <w:t xml:space="preserve">However, selection of the optimal covariates to include to increase statistical power is not straightforward. Historically, researchers often iterated over a large set of available covariates and included only those covariates that lowered the p-value for the test of their focal IV. Today, we recognize that this approach, known as p-hacking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 p-hacking compromises statistical validity, we are left with questions about appropriate covariate selection approaches that both minimize type II errors and control type I errors at alpha. A priori, the researcher could decide to avoid the use of covariates altogether with no risk to type I error control. But statistical power would likely be lost by this decision. At the other extreme, the researcher could plan to include all available covariates that are reasonably believed to account for unexplained variance in the outcome in the statistical analysis. This decision, if made a priori,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possibly sub-optimal previous options, it may be that a data-driven approach to covariate selection could improve statistical validity relative to the a priori all or no covariate approaches. An optimal data-driven covariate selection method may be able to select the covariates that provide the greatest increase in power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meaningfully inflate the Type I error rate, as occurs with</w:t>
      </w:r>
      <w:r>
        <w:t xml:space="preserve"> </w:t>
      </w:r>
      <w:r>
        <w:rPr>
          <w:i/>
          <w:iCs/>
        </w:rPr>
        <w:t xml:space="preserve">p</w:t>
      </w:r>
      <w:r>
        <w:t xml:space="preserve">-hacking.</w:t>
      </w:r>
    </w:p>
    <w:p>
      <w:pPr>
        <w:pStyle w:val="BodyText"/>
      </w:pPr>
      <w:r>
        <w:t xml:space="preserve">In this study, we use simulation methods to evaluate candidate six data-driven approaches to select an optimal set of covariates when testing the effect of a focal manipulated IV. For each approach, we select covariates that display significant relationships with the outcome variable in covariate</w:t>
      </w:r>
      <w:r>
        <w:t xml:space="preserve"> </w:t>
      </w:r>
      <w:r>
        <w:t xml:space="preserve">“screening models”</w:t>
      </w:r>
      <w:r>
        <w:t xml:space="preserve"> </w:t>
      </w:r>
      <w:r>
        <w:t xml:space="preserve">that are used to identify which covariates to include in the subsequent primary analysis that tests the focal IV. Across these screening models, we consider three modeling approaches (i.e., regression models that screen each covariate in its own model, regression models that screen all covariates in a single model, and LASSO</w:t>
      </w:r>
      <w:r>
        <w:t xml:space="preserve"> </w:t>
      </w:r>
      <w:r>
        <w:t xml:space="preserve">(Tibshirani 1996)</w:t>
      </w:r>
      <w:r>
        <w:t xml:space="preserve"> </w:t>
      </w:r>
      <w:r>
        <w:t xml:space="preserve">models that screen all covariates in a single model). Across these modeling approaches, we also either include or exclude the focal IV in the screening models for a total of six candidate data-driven approaches. We benchmark these candidate data-driven approaches against a priori</w:t>
      </w:r>
      <w:r>
        <w:t xml:space="preserve"> </w:t>
      </w:r>
      <w:r>
        <w:t xml:space="preserve">“all covariates”</w:t>
      </w:r>
      <w:r>
        <w:t xml:space="preserve"> </w:t>
      </w:r>
      <w:r>
        <w:t xml:space="preserve">and</w:t>
      </w:r>
      <w:r>
        <w:t xml:space="preserve"> </w:t>
      </w:r>
      <w:r>
        <w:t xml:space="preserve">“no covariates”</w:t>
      </w:r>
      <w:r>
        <w:t xml:space="preserve"> </w:t>
      </w:r>
      <w:r>
        <w:t xml:space="preserve">approaches as well as the p-hacking approach (a statistically invalid data-driven approach).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 when testing the effect of a manipulated IV.</w:t>
      </w:r>
    </w:p>
    <w:bookmarkEnd w:id="20"/>
    <w:bookmarkStart w:id="33"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above, we evaluated six candidate data-driven and three benchmark (p-hacking, all covariates, no covariates) approaches to select covariates to use in a primary analysis that tested the effect of a focal dichotomous IV (notated as</w:t>
      </w:r>
      <w:r>
        <w:t xml:space="preserve"> </w:t>
      </w:r>
      <m:oMath>
        <m:r>
          <m:t>X</m:t>
        </m:r>
      </m:oMath>
      <w:r>
        <w:t xml:space="preserve">). A summary of these nine approaches is presented in</w:t>
      </w:r>
      <w:r>
        <w:t xml:space="preserve"> </w:t>
      </w:r>
      <w:hyperlink w:anchor="tbl-methods">
        <w:r>
          <w:rPr>
            <w:rStyle w:val="Hyperlink"/>
          </w:rPr>
          <w:t xml:space="preserve">Table 1</w:t>
        </w:r>
      </w:hyperlink>
      <w:r>
        <w:t xml:space="preserve">.</w:t>
      </w:r>
    </w:p>
    <w:p>
      <w:pPr>
        <w:pStyle w:val="BodyText"/>
      </w:pPr>
      <w:r>
        <w:t xml:space="preserve">For the six candidate data-driven approaches, we selected covariates for the primary analysis of</w:t>
      </w:r>
      <w:r>
        <w:t xml:space="preserve"> </w:t>
      </w:r>
      <m:oMath>
        <m:r>
          <m:t>X</m:t>
        </m:r>
      </m:oMath>
      <w:r>
        <w:t xml:space="preserve"> </w:t>
      </w:r>
      <w:r>
        <w:t xml:space="preserve">by fitting preliminary covariate screening models that used either the general linear model (i.e., ordinary least squares regression) or LASSO. Across these approaches we considered screening models that either included or did not include</w:t>
      </w:r>
      <w:r>
        <w:t xml:space="preserve"> </w:t>
      </w:r>
      <m:oMath>
        <m:r>
          <m:t>X</m:t>
        </m:r>
      </m:oMath>
      <w:r>
        <w:t xml:space="preserve"> </w:t>
      </w:r>
      <w:r>
        <w:t xml:space="preserve">in the screening model.</w:t>
      </w:r>
    </w:p>
    <w:p>
      <w:pPr>
        <w:pStyle w:val="BodyText"/>
      </w:pPr>
      <w:r>
        <w:t xml:space="preserve">For the candidate approaches that used general linear models for screening, we considered approaches where all covariates were screened simultaneously in one model or where the covariates were screened one at a time in separate models. Across these approaches, a covariate was selected to be included in the primary analysis if the p-value for that covariate was less than 0.05 in the screening model that evaluated it. The p-value for</w:t>
      </w:r>
      <w:r>
        <w:t xml:space="preserve"> </w:t>
      </w:r>
      <m:oMath>
        <m:r>
          <m:t>X</m:t>
        </m:r>
      </m:oMath>
      <w:r>
        <w:t xml:space="preserve"> </w:t>
      </w:r>
      <w:r>
        <w:t xml:space="preserve">was not used and</w:t>
      </w:r>
      <w:r>
        <w:t xml:space="preserve"> </w:t>
      </w:r>
      <m:oMath>
        <m:r>
          <m:t>X</m:t>
        </m:r>
      </m:oMath>
      <w:r>
        <w:t xml:space="preserve"> </w:t>
      </w:r>
      <w:r>
        <w:t xml:space="preserve">was only included to partial its variance from</w:t>
      </w:r>
      <w:r>
        <w:t xml:space="preserve"> </w:t>
      </w:r>
      <m:oMath>
        <m:r>
          <m:t>Y</m:t>
        </m:r>
      </m:oMath>
      <w:r>
        <w:t xml:space="preserve"> </w:t>
      </w:r>
      <w:r>
        <w:t xml:space="preserve">when evaluating the covariates.</w:t>
      </w:r>
    </w:p>
    <w:p>
      <w:pPr>
        <w:pStyle w:val="BodyText"/>
      </w:pPr>
      <w:r>
        <w:t xml:space="preserve">For the candidate approaches that used LASSO (with and without</w:t>
      </w:r>
      <w:r>
        <w:t xml:space="preserve"> </w:t>
      </w:r>
      <m:oMath>
        <m:r>
          <m:t>X</m:t>
        </m:r>
      </m:oMath>
      <w:r>
        <w:t xml:space="preserve">) for screening, the screening model simultaneously included all covariates. Also, for the LASSO screening model that included</w:t>
      </w:r>
      <w:r>
        <w:t xml:space="preserve"> </w:t>
      </w:r>
      <m:oMath>
        <m:r>
          <m:t>X</m:t>
        </m:r>
      </m:oMath>
      <w:r>
        <w:t xml:space="preserve">, the regularization penalty for</w:t>
      </w:r>
      <w:r>
        <w:t xml:space="preserve"> </w:t>
      </w:r>
      <m:oMath>
        <m:r>
          <m:t>X</m:t>
        </m:r>
      </m:oMath>
      <w:r>
        <w:t xml:space="preserve"> </w:t>
      </w:r>
      <w:r>
        <w:t xml:space="preserve">was set to 0 so that</w:t>
      </w:r>
      <w:r>
        <w:t xml:space="preserve"> </w:t>
      </w:r>
      <m:oMath>
        <m:r>
          <m:t>X</m:t>
        </m:r>
      </m:oMath>
      <w:r>
        <w:t xml:space="preserve"> </w:t>
      </w:r>
      <w:r>
        <w:t xml:space="preserve">was always retained in the screening model. Covariates were selected to be included in the primary analysis if they were retained by LASSO in the screening model (i.e., did not have their parameter estimate set to 0).</w:t>
      </w:r>
    </w:p>
    <w:p>
      <w:pPr>
        <w:pStyle w:val="BodyText"/>
      </w:pPr>
      <w:r>
        <w:t xml:space="preserve">We benchmarked these six candidate data-driven approaches against a statistically invalid data-driven approach (p-hacking) and two a priori selection approaches that did not use the data to screen and select covariates. The p-hacking approach used separate screening models for each covariate and each of these models also included</w:t>
      </w:r>
      <w:r>
        <w:t xml:space="preserve"> </w:t>
      </w:r>
      <m:oMath>
        <m:r>
          <m:t>X</m:t>
        </m:r>
      </m:oMath>
      <w:r>
        <w:t xml:space="preserve">. Covariates were selected to be included in the primary analysis if the p-value for</w:t>
      </w:r>
      <w:r>
        <w:t xml:space="preserve"> </w:t>
      </w:r>
      <m:oMath>
        <m:r>
          <m:t>X</m:t>
        </m:r>
      </m:oMath>
      <w:r>
        <w:t xml:space="preserve"> </w:t>
      </w:r>
      <w:r>
        <w:t xml:space="preserve">was reduced (relative to its bivariate relationship with</w:t>
      </w:r>
      <w:r>
        <w:t xml:space="preserve"> </w:t>
      </w:r>
      <m:oMath>
        <m:r>
          <m:t>Y</m:t>
        </m:r>
      </m:oMath>
      <w:r>
        <w:t xml:space="preserve">) in the screening model that included that covariate. The all covariates approach and the no covariates approach did not use screening models but instead used either all or none of the available covariates in the specific research context in the primary analysis of</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left"/>
              <w:spacing w:before="200"/>
              <w:pStyle w:val="ImageCaption"/>
            </w:pPr>
            <w:r>
              <w:t xml:space="preserve">Table 1: The nine linear regression models and their definition for covariate selection.</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 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Covariates that lower the p-value of \(X\) are retained in the final model</w:t>
                  </w:r>
                </w:p>
              </w:tc>
            </w:tr>
            <w:tr>
              <w:tc>
                <w:tcPr/>
                <w:p>
                  <w:pPr>
                    <w:pStyle w:val="Compact"/>
                    <w:jc w:val="left"/>
                    <w:jc w:val="center"/>
                  </w:pPr>
                  <w:r>
                    <w:t xml:space="preserve">Single covariate linear model without X</w:t>
                  </w:r>
                </w:p>
              </w:tc>
              <w:tc>
                <w:tcPr/>
                <w:p>
                  <w:pPr>
                    <w:pStyle w:val="Compact"/>
                    <w:jc w:val="left"/>
                    <w:jc w:val="center"/>
                  </w:pPr>
                  <w:r>
                    <w:t xml:space="preserve">\(Y \sim C_{1}\)</w:t>
                  </w:r>
                  <w:r>
                    <w:br/>
                  </w:r>
                  <w:r>
                    <w:t xml:space="preserve">\(Y \sim C_{2}\)</w:t>
                  </w:r>
                  <w:r>
                    <w:br/>
                  </w:r>
                  <w:r>
                    <w:t xml:space="preserve">\(\vdots\)</w:t>
                  </w:r>
                  <w:r>
                    <w:br/>
                  </w:r>
                  <w:r>
                    <w:t xml:space="preserve">\(Y \sim C_{k}\)</w:t>
                  </w:r>
                </w:p>
              </w:tc>
              <w:tc>
                <w:tcPr/>
                <w:p>
                  <w:pPr>
                    <w:pStyle w:val="Compact"/>
                    <w:jc w:val="left"/>
                    <w:jc w:val="center"/>
                  </w:pPr>
                  <w:r>
                    <w:t xml:space="preserve">Significant covariates (\(p &lt; .05\)) are retained in the final model</w:t>
                  </w:r>
                </w:p>
              </w:tc>
            </w:tr>
            <w:tr>
              <w:tc>
                <w:tcPr/>
                <w:p>
                  <w:pPr>
                    <w:pStyle w:val="Compact"/>
                    <w:jc w:val="left"/>
                    <w:jc w:val="center"/>
                  </w:pPr>
                  <w:r>
                    <w:t xml:space="preserve">Single covariate linear model with X</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Significant covariates (\(p &lt; .05\)) when controlling for \(X\) are retained in the final model</w:t>
                  </w:r>
                </w:p>
              </w:tc>
            </w:tr>
            <w:tr>
              <w:tc>
                <w:tcPr/>
                <w:p>
                  <w:pPr>
                    <w:pStyle w:val="Compact"/>
                    <w:jc w:val="left"/>
                    <w:jc w:val="center"/>
                  </w:pPr>
                  <w:r>
                    <w:t xml:space="preserve">All covariates linear model without X</w:t>
                  </w:r>
                </w:p>
              </w:tc>
              <w:tc>
                <w:tcPr/>
                <w:p>
                  <w:pPr>
                    <w:pStyle w:val="Compact"/>
                    <w:jc w:val="left"/>
                    <w:jc w:val="center"/>
                  </w:pPr>
                  <w:r>
                    <w:t xml:space="preserve">\(Y \sim C_{1} + C_{2} + \cdots + C_{k}\)</w:t>
                  </w:r>
                </w:p>
              </w:tc>
              <w:tc>
                <w:tcPr/>
                <w:p>
                  <w:pPr>
                    <w:pStyle w:val="Compact"/>
                    <w:jc w:val="left"/>
                    <w:jc w:val="center"/>
                  </w:pPr>
                  <w:r>
                    <w:t xml:space="preserve">Significant covariates (\(p &lt; .05\)) when controlling for all other covariates are retained in the final model</w:t>
                  </w:r>
                </w:p>
              </w:tc>
            </w:tr>
            <w:tr>
              <w:tc>
                <w:tcPr/>
                <w:p>
                  <w:pPr>
                    <w:pStyle w:val="Compact"/>
                    <w:jc w:val="left"/>
                    <w:jc w:val="center"/>
                  </w:pPr>
                  <w:r>
                    <w:t xml:space="preserve">All covariates linear model with X</w:t>
                  </w:r>
                </w:p>
              </w:tc>
              <w:tc>
                <w:tcPr/>
                <w:p>
                  <w:pPr>
                    <w:pStyle w:val="Compact"/>
                    <w:jc w:val="left"/>
                    <w:jc w:val="center"/>
                  </w:pPr>
                  <w:r>
                    <w:t xml:space="preserve">\(Y \sim X + C_{1} + C_{2} + \cdots + C_{k}\)</w:t>
                  </w:r>
                </w:p>
              </w:tc>
              <w:tc>
                <w:tcPr/>
                <w:p>
                  <w:pPr>
                    <w:pStyle w:val="Compact"/>
                    <w:jc w:val="left"/>
                    <w:jc w:val="center"/>
                  </w:pPr>
                  <w:r>
                    <w:t xml:space="preserve">Significant covariates (\(p &lt; .05\)) when controlling for \(X\) and all other covariates are retained in the final model</w:t>
                  </w:r>
                </w:p>
              </w:tc>
            </w:tr>
            <w:tr>
              <w:tc>
                <w:tcPr/>
                <w:p>
                  <w:pPr>
                    <w:pStyle w:val="Compact"/>
                    <w:jc w:val="left"/>
                    <w:jc w:val="center"/>
                  </w:pPr>
                  <w:r>
                    <w:t xml:space="preserve">All covariates LASSO without X</w:t>
                  </w:r>
                </w:p>
              </w:tc>
              <w:tc>
                <w:tcPr/>
                <w:p>
                  <w:pPr>
                    <w:pStyle w:val="Compact"/>
                    <w:jc w:val="left"/>
                    <w:jc w:val="center"/>
                  </w:pPr>
                  <w:r>
                    <w:t xml:space="preserve">\(Y \sim C_{1} + C_{2} + \cdots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All covariates LASSO with X</w:t>
                  </w:r>
                </w:p>
              </w:tc>
              <w:tc>
                <w:tcPr/>
                <w:p>
                  <w:pPr>
                    <w:pStyle w:val="Compact"/>
                    <w:jc w:val="left"/>
                    <w:jc w:val="center"/>
                  </w:pPr>
                  <w:r>
                    <w:t xml:space="preserve">\(Y \sim X + C_{1} + C_{2} + \cdots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Screening models represent symbolic linear models where \(Y\) is the outcome, \(X\) is the focal independent variable, \(C\) is a covariate, and \(k\) is the number of covariates.</w:t>
                  </w:r>
                </w:p>
              </w:tc>
              <w:tc>
                <w:tcPr/>
                <w:p>
                  <w:pPr>
                    <w:pStyle w:val="Compact"/>
                  </w:pPr>
                </w:p>
              </w:tc>
              <w:tc>
                <w:tcPr/>
                <w:p>
                  <w:pPr>
                    <w:pStyle w:val="Compact"/>
                  </w:pP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a range of research contexts that researchers in Psychology might encounter in their studies. We crossed all levels of each characteristic to create a total of 540 unique research contexts to allow results from our simulations to generalize across the diversity of contexts within which psychology studies are situated. A summary of these characteristics is presented in</w:t>
      </w:r>
      <w:r>
        <w:t xml:space="preserve"> </w:t>
      </w:r>
      <w:hyperlink w:anchor="tbl-dictionary">
        <w:r>
          <w:rPr>
            <w:rStyle w:val="Hyperlink"/>
          </w:rPr>
          <w:t xml:space="preserve">Table 2</w:t>
        </w:r>
      </w:hyperlink>
      <w:r>
        <w:t xml:space="preserve">. They include:</w:t>
      </w:r>
    </w:p>
    <w:p>
      <w:pPr>
        <w:numPr>
          <w:ilvl w:val="0"/>
          <w:numId w:val="1001"/>
        </w:numPr>
      </w:pPr>
      <w:r>
        <w:rPr>
          <w:b/>
          <w:bCs/>
        </w:rPr>
        <w:t xml:space="preserve">The population parameter for the focal IV (</w:t>
      </w:r>
      <m:oMath>
        <m:sSub>
          <m:e>
            <m:r>
              <m:t>β</m:t>
            </m:r>
          </m:e>
          <m:sub>
            <m:r>
              <m:t>x</m:t>
            </m:r>
          </m:sub>
        </m:sSub>
      </m:oMath>
      <w:r>
        <w:rPr>
          <w:b/>
          <w:bCs/>
        </w:rPr>
        <w:t xml:space="preserve">)</w:t>
      </w:r>
      <w:r>
        <w:t xml:space="preserve">. We selected values that represent null (</w:t>
      </w:r>
      <m:oMath>
        <m:sSub>
          <m:e>
            <m:r>
              <m:t>β</m:t>
            </m:r>
          </m:e>
          <m:sub>
            <m:r>
              <m:t>x</m:t>
            </m:r>
          </m:sub>
        </m:sSub>
        <m:r>
          <m:rPr>
            <m:sty m:val="p"/>
          </m:rPr>
          <m:t>=</m:t>
        </m:r>
        <m:r>
          <m:t>0</m:t>
        </m:r>
      </m:oMath>
      <w:r>
        <w:t xml:space="preserve">), small (</w:t>
      </w:r>
      <m:oMath>
        <m:sSub>
          <m:e>
            <m:r>
              <m:t>β</m:t>
            </m:r>
          </m:e>
          <m:sub>
            <m:r>
              <m:t>x</m:t>
            </m:r>
          </m:sub>
        </m:sSub>
        <m:r>
          <m:rPr>
            <m:sty m:val="p"/>
          </m:rPr>
          <m:t>=</m:t>
        </m:r>
        <m:r>
          <m:t>0.2</m:t>
        </m:r>
      </m:oMath>
      <w:r>
        <w:t xml:space="preserve">) and medium (</w:t>
      </w:r>
      <m:oMath>
        <m:sSub>
          <m:e>
            <m:r>
              <m:t>β</m:t>
            </m:r>
          </m:e>
          <m:sub>
            <m:r>
              <m:t>x</m:t>
            </m:r>
          </m:sub>
        </m:sSub>
        <m:r>
          <m:rPr>
            <m:sty m:val="p"/>
          </m:rPr>
          <m:t>=</m:t>
        </m:r>
        <m:r>
          <m:t>0.5</m:t>
        </m:r>
      </m:oMath>
      <w:r>
        <w:t xml:space="preserve">) effect sizes for the IV. Given that the standard deviation of the outcome variable was set to 1 in all simulations, these parameter values correspond to null, small, and medium Cohen’s d effect sizes (INSERT COHEN 1991 ref).</w:t>
      </w:r>
    </w:p>
    <w:p>
      <w:pPr>
        <w:numPr>
          <w:ilvl w:val="0"/>
          <w:numId w:val="1001"/>
        </w:numPr>
      </w:pPr>
      <w:r>
        <w:rPr>
          <w:b/>
          <w:bCs/>
        </w:rPr>
        <w:t xml:space="preserve">The sample size (</w:t>
      </w:r>
      <m:oMath>
        <m:r>
          <m:t>N</m:t>
        </m:r>
      </m:oMath>
      <w:r>
        <w:rPr>
          <w:b/>
          <w:bCs/>
        </w:rPr>
        <w:t xml:space="preserve">)</w:t>
      </w:r>
      <w:r>
        <w:t xml:space="preserve">. We chose values for the number of observations that pertain to common sample sizes in experimental research in Psychology: 50, 100, 150, 200, 300, and 400 observations.</w:t>
      </w:r>
    </w:p>
    <w:p>
      <w:pPr>
        <w:numPr>
          <w:ilvl w:val="0"/>
          <w:numId w:val="1001"/>
        </w:numPr>
      </w:pPr>
      <w:r>
        <w:rPr>
          <w:b/>
          <w:bCs/>
        </w:rPr>
        <w:t xml:space="preserve">The number of covariates available (</w:t>
      </w:r>
      <m:oMath>
        <m:sSub>
          <m:e>
            <m:r>
              <m:t>N</m:t>
            </m:r>
          </m:e>
          <m:sub>
            <m:r>
              <m:t>c</m:t>
            </m:r>
            <m:r>
              <m:t>o</m:t>
            </m:r>
            <m:r>
              <m:t>v</m:t>
            </m:r>
          </m:sub>
        </m:sSub>
      </m:oMath>
      <w:r>
        <w:rPr>
          <w:b/>
          <w:bCs/>
        </w:rPr>
        <w:t xml:space="preserve">)</w:t>
      </w:r>
      <w:r>
        <w:t xml:space="preserve">. We selected a wide range of possible scenarios: 4, 8, 12, 16, or 20 available covariates.</w:t>
      </w:r>
    </w:p>
    <w:p>
      <w:pPr>
        <w:numPr>
          <w:ilvl w:val="0"/>
          <w:numId w:val="1001"/>
        </w:numPr>
      </w:pPr>
      <w:r>
        <w:rPr>
          <w:b/>
          <w:bCs/>
        </w:rPr>
        <w:t xml:space="preserve">The percentage of covariates with non-zero correlations with the outcome (</w:t>
      </w:r>
      <m:oMath>
        <m:sSub>
          <m:e>
            <m:r>
              <m:rPr>
                <m:sty m:val="p"/>
              </m:rPr>
              <m:t>%</m:t>
            </m:r>
          </m:e>
          <m:sub>
            <m:r>
              <m:t>c</m:t>
            </m:r>
            <m:r>
              <m:t>o</m:t>
            </m:r>
            <m:r>
              <m:t>v</m:t>
            </m:r>
          </m:sub>
        </m:sSub>
      </m:oMath>
      <w:r>
        <w:rPr>
          <w:b/>
          <w:bCs/>
        </w:rPr>
        <w:t xml:space="preserve">)</w:t>
      </w:r>
      <w:r>
        <w:t xml:space="preserve">. We simulated research contexts where 25%, 50% or 75% of the available covariates had non-zero correlations with the outcome in the population. This allowed us to model situations where the researcher has an exploratory vs. more well-established set of covariates at their disposal.</w:t>
      </w:r>
    </w:p>
    <w:p>
      <w:pPr>
        <w:numPr>
          <w:ilvl w:val="0"/>
          <w:numId w:val="1001"/>
        </w:numPr>
      </w:pPr>
      <w:r>
        <w:rPr>
          <w:b/>
          <w:bCs/>
        </w:rPr>
        <w:t xml:space="preserve">The magnitude of the correlation between the covariates and</w:t>
      </w:r>
      <w:r>
        <w:rPr>
          <w:b/>
          <w:bCs/>
        </w:rPr>
        <w:t xml:space="preserve"> </w:t>
      </w:r>
      <m:oMath>
        <m:r>
          <m:t>Y</m:t>
        </m:r>
      </m:oMath>
      <w:r>
        <w:rPr>
          <w:b/>
          <w:bCs/>
        </w:rPr>
        <w:t xml:space="preserve"> </w:t>
      </w:r>
      <w:r>
        <w:rPr>
          <w:b/>
          <w:bCs/>
        </w:rPr>
        <w:t xml:space="preserve">(</w:t>
      </w:r>
      <m:oMath>
        <m:sSub>
          <m:e>
            <m:r>
              <m:t>r</m:t>
            </m:r>
          </m:e>
          <m:sub>
            <m:r>
              <m:t>c</m:t>
            </m:r>
            <m:r>
              <m:t>o</m:t>
            </m:r>
            <m:r>
              <m:t>v</m:t>
            </m:r>
          </m:sub>
        </m:sSub>
      </m:oMath>
      <w:r>
        <w:rPr>
          <w:b/>
          <w:bCs/>
        </w:rPr>
        <w:t xml:space="preserve">)</w:t>
      </w:r>
      <w:r>
        <w:t xml:space="preserve">. All non-zero covariates (see characteristic 4) were given a moderate or large relationship to the outcome</w:t>
      </w:r>
      <w:r>
        <w:t xml:space="preserve"> </w:t>
      </w:r>
      <m:oMath>
        <m:r>
          <m:t>Y</m:t>
        </m:r>
      </m:oMath>
      <w:r>
        <w:t xml:space="preserve"> </w:t>
      </w:r>
      <w:r>
        <w:t xml:space="preserve">(i.e.,</w:t>
      </w:r>
      <w:r>
        <w:t xml:space="preserve"> </w:t>
      </w:r>
      <m:oMath>
        <m:sSub>
          <m:e>
            <m:r>
              <m:t>r</m:t>
            </m:r>
          </m:e>
          <m:sub>
            <m:r>
              <m:t>c</m:t>
            </m:r>
            <m:r>
              <m:t>o</m:t>
            </m:r>
            <m:r>
              <m:t>v</m:t>
            </m:r>
          </m:sub>
        </m:sSub>
      </m:oMath>
      <w:r>
        <w:t xml:space="preserve"> </w:t>
      </w:r>
      <w:r>
        <w:t xml:space="preserve">= 0.3 or 0.5, respectively). Given that these covariates are all correlated with the outcome, it is expected that they would typically also be correlated with each other. Therefore, we assigned a moderate 0.3 correlation among each of these non-zero covariates.</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the focal IV ($\beta_x$)</w:t>
                  </w:r>
                </w:p>
              </w:tc>
              <w:tc>
                <w:tcPr/>
                <w:p>
                  <w:pPr>
                    <w:pStyle w:val="Compact"/>
                    <w:jc w:val="left"/>
                    <w:jc w:val="center"/>
                  </w:pPr>
                  <w:r>
                    <w:t xml:space="preserve">0, 0.2, 0.5</w:t>
                  </w:r>
                </w:p>
              </w:tc>
            </w:tr>
            <w:tr>
              <w:tc>
                <w:tcPr/>
                <w:p>
                  <w:pPr>
                    <w:pStyle w:val="Compact"/>
                    <w:jc w:val="left"/>
                    <w:jc w:val="center"/>
                  </w:pPr>
                  <w:r>
                    <w:t xml:space="preserve">The sample size ($N$)</w:t>
                  </w:r>
                </w:p>
              </w:tc>
              <w:tc>
                <w:tcPr/>
                <w:p>
                  <w:pPr>
                    <w:pStyle w:val="Compact"/>
                    <w:jc w:val="left"/>
                    <w:jc w:val="center"/>
                  </w:pPr>
                  <w:r>
                    <w:t xml:space="preserve">50, 100, 150, 200, 300, 400</w:t>
                  </w:r>
                </w:p>
              </w:tc>
            </w:tr>
            <w:tr>
              <w:tc>
                <w:tcPr/>
                <w:p>
                  <w:pPr>
                    <w:pStyle w:val="Compact"/>
                    <w:jc w:val="left"/>
                    <w:jc w:val="center"/>
                  </w:pPr>
                  <w:r>
                    <w:t xml:space="preserve">The number of covariates available ($N_{cov}$)</w:t>
                  </w:r>
                </w:p>
              </w:tc>
              <w:tc>
                <w:tcPr/>
                <w:p>
                  <w:pPr>
                    <w:pStyle w:val="Compact"/>
                    <w:jc w:val="left"/>
                    <w:jc w:val="center"/>
                  </w:pPr>
                  <w:r>
                    <w:t xml:space="preserve">4, 8, 12, 16, 20</w:t>
                  </w:r>
                </w:p>
              </w:tc>
            </w:tr>
            <w:tr>
              <w:tc>
                <w:tcPr/>
                <w:p>
                  <w:pPr>
                    <w:pStyle w:val="Compact"/>
                    <w:jc w:val="left"/>
                    <w:jc w:val="center"/>
                  </w:pPr>
                  <w:r>
                    <w:t xml:space="preserve">The percentage of covariates with non-zero correlations with the outcome ($\%_{cov}$)</w:t>
                  </w:r>
                </w:p>
              </w:tc>
              <w:tc>
                <w:tcPr/>
                <w:p>
                  <w:pPr>
                    <w:pStyle w:val="Compact"/>
                    <w:jc w:val="left"/>
                    <w:jc w:val="center"/>
                  </w:pPr>
                  <w:r>
                    <w:t xml:space="preserve">0.25, 0.50, 0.75</w:t>
                  </w:r>
                </w:p>
              </w:tc>
            </w:tr>
            <w:tr>
              <w:tc>
                <w:tcPr/>
                <w:p>
                  <w:pPr>
                    <w:pStyle w:val="Compact"/>
                    <w:jc w:val="left"/>
                    <w:jc w:val="center"/>
                  </w:pPr>
                  <w:r>
                    <w:t xml:space="preserve">The magnitude of the correlation between the covariates and $Y$ ($r_{cov}$)</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32" w:name="data-analytic-plan"/>
    <w:p>
      <w:pPr>
        <w:pStyle w:val="Heading2"/>
      </w:pPr>
      <w:r>
        <w:t xml:space="preserve">Data Analytic Plan</w:t>
      </w:r>
    </w:p>
    <w:p>
      <w:pPr>
        <w:pStyle w:val="FirstParagraph"/>
      </w:pPr>
      <w:r>
        <w:t xml:space="preserve">All data analyses were done in R using the Tidyverse ecosystem</w:t>
      </w:r>
      <w:r>
        <w:t xml:space="preserve"> </w:t>
      </w:r>
      <w:r>
        <w:t xml:space="preserve">(Kuhn and Wickham 2020)</w:t>
      </w:r>
      <w:r>
        <w:t xml:space="preserve"> </w:t>
      </w:r>
      <w:r>
        <w:t xml:space="preserve">and the RStudio IDE</w:t>
      </w:r>
      <w:r>
        <w:t xml:space="preserve"> </w:t>
      </w:r>
      <w:r>
        <w:t xml:space="preserve">(RStudio Team 2020)</w:t>
      </w:r>
      <w:r>
        <w:t xml:space="preserve">. 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simulated 40,000 datasets within each research context. For each simulated dataset, we generated scores for a dichotomous focal independent variable (</w:t>
      </w:r>
      <m:oMath>
        <m:r>
          <m:t>X</m:t>
        </m:r>
      </m:oMath>
      <w:r>
        <w:t xml:space="preserve">), varying numbers of quantitative covariates (</w:t>
      </w:r>
      <m:oMath>
        <m:r>
          <m:t>C</m:t>
        </m:r>
      </m:oMath>
      <w:r>
        <w:t xml:space="preserve">), and a quantitative outcome (</w:t>
      </w:r>
      <m:oMath>
        <m:r>
          <m:t>Y</m:t>
        </m:r>
      </m:oMath>
      <w:r>
        <w:t xml:space="preserve">). To generate these datasets, we first created</w:t>
      </w:r>
      <w:r>
        <w:t xml:space="preserve"> </w:t>
      </w:r>
      <m:oMath>
        <m:r>
          <m:t>N</m:t>
        </m:r>
      </m:oMath>
      <w:r>
        <w:t xml:space="preserve"> </w:t>
      </w:r>
      <w:r>
        <w:t xml:space="preserve">scores for a set of multivariate normal distributed covariates and</w:t>
      </w:r>
      <w:r>
        <w:t xml:space="preserve"> </w:t>
      </w:r>
      <m:oMath>
        <m:r>
          <m:t>Y</m:t>
        </m:r>
      </m:oMath>
      <w:r>
        <w:t xml:space="preserve">, with their variances = 1 and the number of covariates, and the covariances among the covariates and with</w:t>
      </w:r>
      <w:r>
        <w:t xml:space="preserve"> </w:t>
      </w:r>
      <m:oMath>
        <m:r>
          <m:t>Y</m:t>
        </m:r>
      </m:oMath>
      <w:r>
        <w:t xml:space="preserve"> </w:t>
      </w:r>
      <w:r>
        <w:t xml:space="preserve">dictated with the research context (see points 3-5 above). Consistent with the manipulation of the IV following measurement of the baseline covariates, the effect of</w:t>
      </w:r>
      <w:r>
        <w:t xml:space="preserve"> </w:t>
      </w:r>
      <m:oMath>
        <m:r>
          <m:t>X</m:t>
        </m:r>
      </m:oMath>
      <w:r>
        <w:t xml:space="preserve"> </w:t>
      </w:r>
      <w:r>
        <w:t xml:space="preserve">was (</w:t>
      </w:r>
      <m:oMath>
        <m:sSub>
          <m:e>
            <m:r>
              <m:t>β</m:t>
            </m:r>
          </m:e>
          <m:sub>
            <m:r>
              <m:t>x</m:t>
            </m:r>
          </m:sub>
        </m:sSub>
        <m:r>
          <m:rPr>
            <m:sty m:val="p"/>
          </m:rPr>
          <m:t>*</m:t>
        </m:r>
        <m:r>
          <m:t>X</m:t>
        </m:r>
      </m:oMath>
      <w:r>
        <w:t xml:space="preserve">) was then added into</w:t>
      </w:r>
      <w:r>
        <w:t xml:space="preserve"> </w:t>
      </w:r>
      <m:oMath>
        <m:r>
          <m:t>Y</m:t>
        </m:r>
      </m:oMath>
      <w:r>
        <w:t xml:space="preserve">.</w:t>
      </w:r>
    </w:p>
    <w:p>
      <w:pPr>
        <w:pStyle w:val="BodyText"/>
      </w:pPr>
      <w:r>
        <w:t xml:space="preserve">Below, we display an exemplar covariance matrix and subsequent R code to generate a simulated dataset for a research context with a small population effect size for the IV (</w:t>
      </w:r>
      <m:oMath>
        <m:sSub>
          <m:e>
            <m:r>
              <m:t>β</m:t>
            </m:r>
          </m:e>
          <m:sub>
            <m:r>
              <m:t>x</m:t>
            </m:r>
          </m:sub>
        </m:sSub>
        <m:r>
          <m:rPr>
            <m:sty m:val="p"/>
          </m:rPr>
          <m:t>=</m:t>
        </m:r>
        <m:r>
          <m:t>0.2</m:t>
        </m:r>
      </m:oMath>
      <w:r>
        <w:t xml:space="preserve">), a sample size of 100, and four covariates, where 50% of the covariates have a 0.50 correlation with the outcome and 0.30 correlations with each other</w:t>
      </w:r>
    </w:p>
    <w:p>
      <w:pPr>
        <w:pStyle w:val="BodyText"/>
      </w:pPr>
      <w:r>
        <w:t xml:space="preserve">This is the relevant covariance matrix (sigma).</w:t>
      </w:r>
    </w:p>
    <w:p>
      <w:pPr>
        <w:pStyle w:val="BodyText"/>
      </w:pPr>
      <w:r>
        <w:rPr>
          <w:vertAlign w:val="subscript"/>
        </w:rPr>
        <w:t xml:space="preserve">Source:</w:t>
      </w:r>
      <w:r>
        <w:rPr>
          <w:vertAlign w:val="subscript"/>
        </w:rPr>
        <w:t xml:space="preserve"> </w:t>
      </w:r>
      <w:hyperlink r:id="rId27">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28" w:name="tbl-sigma"/>
          <w:p>
            <w:pPr>
              <w:jc w:val="center"/>
            </w:pPr>
            <w:pPr>
              <w:jc w:val="left"/>
              <w:spacing w:before="200"/>
              <w:pStyle w:val="ImageCaption"/>
            </w:pPr>
            <w:r>
              <w:t xml:space="preserve">Table 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$Y$</w:t>
                  </w:r>
                </w:p>
              </w:tc>
              <w:tc>
                <w:tcPr/>
                <w:p>
                  <w:pPr>
                    <w:pStyle w:val="Compact"/>
                    <w:jc w:val="right"/>
                    <w:jc w:val="center"/>
                  </w:pPr>
                  <w:r>
                    <w:t xml:space="preserve">$C_1$</w:t>
                  </w:r>
                </w:p>
              </w:tc>
              <w:tc>
                <w:tcPr/>
                <w:p>
                  <w:pPr>
                    <w:pStyle w:val="Compact"/>
                    <w:jc w:val="right"/>
                    <w:jc w:val="center"/>
                  </w:pPr>
                  <w:r>
                    <w:t xml:space="preserve">$C_2$</w:t>
                  </w:r>
                </w:p>
              </w:tc>
              <w:tc>
                <w:tcPr/>
                <w:p>
                  <w:pPr>
                    <w:pStyle w:val="Compact"/>
                    <w:jc w:val="right"/>
                    <w:jc w:val="center"/>
                  </w:pPr>
                  <w:r>
                    <w:t xml:space="preserve">$C_3$</w:t>
                  </w:r>
                </w:p>
              </w:tc>
              <w:tc>
                <w:tcPr/>
                <w:p>
                  <w:pPr>
                    <w:pStyle w:val="Compact"/>
                    <w:jc w:val="right"/>
                    <w:jc w:val="center"/>
                  </w:pPr>
                  <w:r>
                    <w:t xml:space="preserve">$C_4$</w:t>
                  </w:r>
                </w:p>
              </w:tc>
            </w:tr>
            <w:tr>
              <w:tc>
                <w:tcPr/>
                <w:p>
                  <w:pPr>
                    <w:pStyle w:val="Compact"/>
                    <w:jc w:val="left"/>
                    <w:jc w:val="center"/>
                  </w:pPr>
                  <w:r>
                    <w:t xml:space="preserve">$Y$</w:t>
                  </w:r>
                </w:p>
              </w:tc>
              <w:tc>
                <w:tcPr/>
                <w:p>
                  <w:pPr>
                    <w:pStyle w:val="Compact"/>
                    <w:jc w:val="right"/>
                    <w:jc w:val="center"/>
                  </w:pPr>
                  <w:r>
                    <w:t xml:space="preserve">1.0</w:t>
                  </w:r>
                </w:p>
              </w:tc>
              <w:tc>
                <w:tcPr/>
                <w:p>
                  <w:pPr>
                    <w:pStyle w:val="Compact"/>
                    <w:jc w:val="right"/>
                    <w:jc w:val="center"/>
                  </w:pPr>
                  <w:r>
                    <w:t xml:space="preserve">0.5</w:t>
                  </w:r>
                </w:p>
              </w:tc>
              <w:tc>
                <w:tcPr/>
                <w:p>
                  <w:pPr>
                    <w:pStyle w:val="Compact"/>
                    <w:jc w:val="right"/>
                    <w:jc w:val="center"/>
                  </w:pPr>
                  <w:r>
                    <w:t xml:space="preserve">0.5</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$C_1$</w:t>
                  </w:r>
                </w:p>
              </w:tc>
              <w:tc>
                <w:tcPr/>
                <w:p>
                  <w:pPr>
                    <w:pStyle w:val="Compact"/>
                    <w:jc w:val="right"/>
                    <w:jc w:val="center"/>
                  </w:pPr>
                  <w:r>
                    <w:t xml:space="preserve">0.5</w:t>
                  </w:r>
                </w:p>
              </w:tc>
              <w:tc>
                <w:tcPr/>
                <w:p>
                  <w:pPr>
                    <w:pStyle w:val="Compact"/>
                    <w:jc w:val="right"/>
                    <w:jc w:val="center"/>
                  </w:pPr>
                  <w:r>
                    <w:t xml:space="preserve">1.0</w:t>
                  </w:r>
                </w:p>
              </w:tc>
              <w:tc>
                <w:tcPr/>
                <w:p>
                  <w:pPr>
                    <w:pStyle w:val="Compact"/>
                    <w:jc w:val="right"/>
                    <w:jc w:val="center"/>
                  </w:pPr>
                  <w:r>
                    <w:t xml:space="preserve">0.3</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$C_2$</w:t>
                  </w:r>
                </w:p>
              </w:tc>
              <w:tc>
                <w:tcPr/>
                <w:p>
                  <w:pPr>
                    <w:pStyle w:val="Compact"/>
                    <w:jc w:val="right"/>
                    <w:jc w:val="center"/>
                  </w:pPr>
                  <w:r>
                    <w:t xml:space="preserve">0.5</w:t>
                  </w:r>
                </w:p>
              </w:tc>
              <w:tc>
                <w:tcPr/>
                <w:p>
                  <w:pPr>
                    <w:pStyle w:val="Compact"/>
                    <w:jc w:val="right"/>
                    <w:jc w:val="center"/>
                  </w:pPr>
                  <w:r>
                    <w:t xml:space="preserve">0.3</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$C_3$</w:t>
                  </w:r>
                </w:p>
              </w:tc>
              <w:tc>
                <w:tcPr/>
                <w:p>
                  <w:pPr>
                    <w:pStyle w:val="Compact"/>
                    <w:jc w:val="right"/>
                    <w:jc w:val="center"/>
                  </w:pPr>
                  <w:r>
                    <w:t xml:space="preserve">0.0</w:t>
                  </w:r>
                </w:p>
              </w:tc>
              <w:tc>
                <w:tcPr/>
                <w:p>
                  <w:pPr>
                    <w:pStyle w:val="Compact"/>
                    <w:jc w:val="right"/>
                    <w:jc w:val="center"/>
                  </w:pPr>
                  <w:r>
                    <w:t xml:space="preserve">0.0</w:t>
                  </w:r>
                </w:p>
              </w:tc>
              <w:tc>
                <w:tcPr/>
                <w:p>
                  <w:pPr>
                    <w:pStyle w:val="Compact"/>
                    <w:jc w:val="right"/>
                    <w:jc w:val="center"/>
                  </w:pPr>
                  <w:r>
                    <w:t xml:space="preserve">0.0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$C_4$</w:t>
                  </w:r>
                </w:p>
              </w:tc>
              <w:tc>
                <w:tcPr/>
                <w:p>
                  <w:pPr>
                    <w:pStyle w:val="Compact"/>
                    <w:jc w:val="right"/>
                    <w:jc w:val="center"/>
                  </w:pPr>
                  <w:r>
                    <w:t xml:space="preserve">0.0</w:t>
                  </w:r>
                </w:p>
              </w:tc>
              <w:tc>
                <w:tcPr/>
                <w:p>
                  <w:pPr>
                    <w:pStyle w:val="Compact"/>
                    <w:jc w:val="right"/>
                    <w:jc w:val="center"/>
                  </w:pPr>
                  <w:r>
                    <w:t xml:space="preserve">0.0</w:t>
                  </w:r>
                </w:p>
              </w:tc>
              <w:tc>
                <w:tcPr/>
                <w:p>
                  <w:pPr>
                    <w:pStyle w:val="Compact"/>
                    <w:jc w:val="right"/>
                    <w:jc w:val="center"/>
                  </w:pPr>
                  <w:r>
                    <w:t xml:space="preserve">0.0</w:t>
                  </w:r>
                </w:p>
              </w:tc>
              <w:tc>
                <w:tcPr/>
                <w:p>
                  <w:pPr>
                    <w:pStyle w:val="Compact"/>
                    <w:jc w:val="right"/>
                    <w:jc w:val="center"/>
                  </w:pPr>
                  <w:r>
                    <w:t xml:space="preserve">0</w:t>
                  </w:r>
                </w:p>
              </w:tc>
              <w:tc>
                <w:tcPr/>
                <w:p>
                  <w:pPr>
                    <w:pStyle w:val="Compact"/>
                    <w:jc w:val="right"/>
                    <w:jc w:val="center"/>
                  </w:pPr>
                  <w:r>
                    <w:t xml:space="preserve">1</w:t>
                  </w:r>
                </w:p>
              </w:tc>
            </w:tr>
          </w:tbl>
          <w:bookmarkEnd w:id="28"/>
          <w:p/>
        </w:tc>
      </w:tr>
    </w:tbl>
    <w:p>
      <w:pPr>
        <w:pStyle w:val="BodyText"/>
      </w:pPr>
      <w:r>
        <w:rPr>
          <w:vertAlign w:val="subscript"/>
        </w:rPr>
        <w:t xml:space="preserve">Source:</w:t>
      </w:r>
      <w:r>
        <w:rPr>
          <w:vertAlign w:val="subscript"/>
        </w:rPr>
        <w:t xml:space="preserve"> </w:t>
      </w:r>
      <w:hyperlink r:id="rId29">
        <w:r>
          <w:rPr>
            <w:rStyle w:val="Hyperlink"/>
            <w:vertAlign w:val="subscript"/>
          </w:rPr>
          <w:t xml:space="preserve">Make Tables for Main Manuscript</w:t>
        </w:r>
      </w:hyperlink>
    </w:p>
    <w:p>
      <w:pPr>
        <w:pStyle w:val="BodyText"/>
      </w:pPr>
      <w:r>
        <w:t xml:space="preserve">The covariance matrix can then be used to generate a multivariate normal dataset of</w:t>
      </w:r>
      <w:r>
        <w:t xml:space="preserve"> </w:t>
      </w:r>
      <m:oMath>
        <m:r>
          <m:t>Y</m:t>
        </m:r>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4</m:t>
            </m:r>
          </m:sub>
        </m:sSub>
      </m:oMath>
      <w:r>
        <w:t xml:space="preserve"> </w:t>
      </w:r>
      <w:r>
        <w:t xml:space="preserve">for 100 observations where all variables have a mean of 0.</w:t>
      </w:r>
      <w:r>
        <w:t xml:space="preserve"> </w:t>
      </w:r>
      <w:r>
        <w:t xml:space="preserve">Following this, the effect of the IV (</w:t>
      </w:r>
      <m:oMath>
        <m:r>
          <m:t>X</m:t>
        </m:r>
      </m:oMath>
      <w:r>
        <w:t xml:space="preserve">) can be added into</w:t>
      </w:r>
      <w:r>
        <w:t xml:space="preserve"> </w:t>
      </w:r>
      <m:oMath>
        <m:r>
          <m:t>Y</m:t>
        </m:r>
      </m:oMath>
      <w:r>
        <w:t xml:space="preserve">.</w:t>
      </w:r>
    </w:p>
    <w:bookmarkStart w:id="30" w:name="annotated-cell-1"/>
    <w:p>
      <w:pPr>
        <w:pStyle w:val="SourceCode"/>
      </w:pPr>
      <w:r>
        <w:rPr>
          <w:rStyle w:val="NormalTok"/>
        </w:rPr>
        <w:t xml:space="preserve">df </w:t>
      </w:r>
      <w:r>
        <w:rPr>
          <w:rStyle w:val="OtherTok"/>
        </w:rPr>
        <w:t xml:space="preserve">&lt;-</w:t>
      </w:r>
      <w:r>
        <w:rPr>
          <w:rStyle w:val="NormalTok"/>
        </w:rPr>
        <w:t xml:space="preserve"> MASS</w:t>
      </w:r>
      <w:r>
        <w:rPr>
          <w:rStyle w:val="SpecialCharTok"/>
        </w:rPr>
        <w:t xml:space="preserve">::</w:t>
      </w:r>
      <w:r>
        <w:rPr>
          <w:rStyle w:val="FunctionTok"/>
        </w:rPr>
        <w:t xml:space="preserve">mvrnorm</w:t>
      </w:r>
      <w:r>
        <w:rPr>
          <w:rStyle w:val="NormalTok"/>
        </w:rPr>
        <w:t xml:space="preserve">(</w:t>
      </w:r>
      <w:r>
        <w:rPr>
          <w:rStyle w:val="AttributeTok"/>
        </w:rPr>
        <w:t xml:space="preserve">n =</w:t>
      </w:r>
      <w:r>
        <w:rPr>
          <w:rStyle w:val="NormalTok"/>
        </w:rPr>
        <w:t xml:space="preserve"> </w:t>
      </w:r>
      <w:r>
        <w:rPr>
          <w:rStyle w:val="DecValTok"/>
        </w:rPr>
        <w:t xml:space="preserve">100</w:t>
      </w:r>
      <w:r>
        <w:rPr>
          <w:rStyle w:val="NormalTok"/>
        </w:rPr>
        <w:t xml:space="preserve">, </w:t>
      </w:r>
      <w:r>
        <w:rPr>
          <w:rStyle w:val="AttributeTok"/>
        </w:rPr>
        <w:t xml:space="preserve">mu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Sigma =</w:t>
      </w:r>
      <w:r>
        <w:rPr>
          <w:rStyle w:val="NormalTok"/>
        </w:rPr>
        <w:t xml:space="preserve"> sigma)</w:t>
      </w:r>
      <w:r>
        <w:br/>
      </w:r>
      <w:r>
        <w:br/>
      </w:r>
      <w:r>
        <w:rPr>
          <w:rStyle w:val="NormalTok"/>
        </w:rPr>
        <w:t xml:space="preserve">x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pecialCha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each =</w:t>
      </w:r>
      <w:r>
        <w:rPr>
          <w:rStyle w:val="NormalTok"/>
        </w:rPr>
        <w:t xml:space="preserve"> </w:t>
      </w:r>
      <w:r>
        <w:rPr>
          <w:rStyle w:val="DecValTok"/>
        </w:rPr>
        <w:t xml:space="preserve">50</w:t>
      </w:r>
      <w:r>
        <w:rPr>
          <w:rStyle w:val="NormalTok"/>
        </w:rPr>
        <w:t xml:space="preserve">)</w:t>
      </w:r>
      <w:r>
        <w:br/>
      </w:r>
      <w:r>
        <w:rPr>
          <w:rStyle w:val="NormalTok"/>
        </w:rPr>
        <w:t xml:space="preserve">df[, </w:t>
      </w:r>
      <w:r>
        <w:rPr>
          <w:rStyle w:val="DecValTok"/>
        </w:rPr>
        <w:t xml:space="preserve">1</w:t>
      </w:r>
      <w:r>
        <w:rPr>
          <w:rStyle w:val="NormalTok"/>
        </w:rPr>
        <w:t xml:space="preserve">] </w:t>
      </w:r>
      <w:r>
        <w:rPr>
          <w:rStyle w:val="OtherTok"/>
        </w:rPr>
        <w:t xml:space="preserve">&lt;-</w:t>
      </w:r>
      <w:r>
        <w:rPr>
          <w:rStyle w:val="NormalTok"/>
        </w:rPr>
        <w:t xml:space="preserve"> df[, </w:t>
      </w:r>
      <w:r>
        <w:rPr>
          <w:rStyle w:val="DecValTok"/>
        </w:rPr>
        <w:t xml:space="preserve">1</w:t>
      </w:r>
      <w:r>
        <w:rPr>
          <w:rStyle w:val="NormalTok"/>
        </w:rPr>
        <w:t xml:space="preserve">]</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x</w:t>
      </w:r>
    </w:p>
    <w:bookmarkEnd w:id="30"/>
    <w:p>
      <w:pPr>
        <w:pStyle w:val="DefinitionTerm"/>
      </w:pPr>
      <w:r>
        <w:t xml:space="preserve">Line 1</w:t>
      </w:r>
    </w:p>
    <w:p>
      <w:pPr>
        <w:pStyle w:val="Definition"/>
      </w:pPr>
      <w:r>
        <w:t xml:space="preserve">Generate</w:t>
      </w:r>
      <w:r>
        <w:t xml:space="preserve"> </w:t>
      </w:r>
      <m:oMath>
        <m:r>
          <m:t>Y</m:t>
        </m:r>
      </m:oMath>
      <w:r>
        <w:t xml:space="preserve"> </w:t>
      </w:r>
      <w:r>
        <w:t xml:space="preserve">and all covariates using a multivariate normal distribution with all means of 0 and variances/covariances from sigma displayed above.</w:t>
      </w:r>
    </w:p>
    <w:p>
      <w:pPr>
        <w:pStyle w:val="DefinitionTerm"/>
      </w:pPr>
      <w:r>
        <w:t xml:space="preserve">Line 3</w:t>
      </w:r>
    </w:p>
    <w:p>
      <w:pPr>
        <w:pStyle w:val="Definition"/>
      </w:pPr>
      <w:r>
        <w:t xml:space="preserve">Create a dichotomous focal independent variable (</w:t>
      </w:r>
      <m:oMath>
        <m:r>
          <m:t>X</m:t>
        </m:r>
      </m:oMath>
      <w:r>
        <w:t xml:space="preserve">).</w:t>
      </w:r>
    </w:p>
    <w:p>
      <w:pPr>
        <w:pStyle w:val="DefinitionTerm"/>
      </w:pPr>
      <w:r>
        <w:t xml:space="preserve">Line 4</w:t>
      </w:r>
    </w:p>
    <w:p>
      <w:pPr>
        <w:pStyle w:val="Definition"/>
      </w:pPr>
      <w:r>
        <w:t xml:space="preserve">Add in</w:t>
      </w:r>
      <w:r>
        <w:t xml:space="preserve"> </w:t>
      </w:r>
      <m:oMath>
        <m:r>
          <m:t>X</m:t>
        </m:r>
      </m:oMath>
      <w:r>
        <w:t xml:space="preserve"> </w:t>
      </w:r>
      <w:r>
        <w:t xml:space="preserve">effect on</w:t>
      </w:r>
      <w:r>
        <w:t xml:space="preserve"> </w:t>
      </w:r>
      <m:oMath>
        <m:r>
          <m:t>Y</m:t>
        </m:r>
      </m:oMath>
      <w:r>
        <w:t xml:space="preserve">.</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For each simulated dataset in each research context, we use each of the 9 covariate selection approaches to determine which covariates to use in the primary analysis to test the effect of</w:t>
      </w:r>
      <w:r>
        <w:t xml:space="preserve"> </w:t>
      </w:r>
      <m:oMath>
        <m:r>
          <m:t>X</m:t>
        </m:r>
      </m:oMath>
      <w:r>
        <w:t xml:space="preserve"> </w:t>
      </w:r>
      <w:r>
        <w:t xml:space="preserve">on</w:t>
      </w:r>
      <w:r>
        <w:t xml:space="preserve"> </w:t>
      </w:r>
      <m:oMath>
        <m:r>
          <m:t>Y</m:t>
        </m:r>
      </m:oMath>
      <w:r>
        <w:t xml:space="preserve">. For example,</w:t>
      </w:r>
      <w:r>
        <w:t xml:space="preserve"> </w:t>
      </w:r>
      <m:oMath>
        <m:r>
          <m:t>l</m:t>
        </m:r>
        <m:r>
          <m:t>m</m:t>
        </m:r>
        <m:r>
          <m:rPr>
            <m:sty m:val="p"/>
          </m:rPr>
          <m:t>(</m:t>
        </m:r>
        <m:r>
          <m:t>Y</m:t>
        </m:r>
        <m:r>
          <m:rPr>
            <m:sty m:val="p"/>
          </m:rPr>
          <m:t>∼</m:t>
        </m:r>
        <m:r>
          <m:t>X</m:t>
        </m:r>
        <m:r>
          <m:rPr>
            <m:sty m:val="p"/>
          </m:rPr>
          <m:t>+</m:t>
        </m:r>
        <m:sSub>
          <m:e>
            <m:r>
              <m:t>C</m:t>
            </m:r>
          </m:e>
          <m:sub>
            <m:r>
              <m:t>1</m:t>
            </m:r>
          </m:sub>
        </m:sSub>
        <m:r>
          <m:rPr>
            <m:sty m:val="p"/>
          </m:rPr>
          <m:t>+</m:t>
        </m:r>
        <m:sSub>
          <m:e>
            <m:r>
              <m:t>C</m:t>
            </m:r>
          </m:e>
          <m:sub>
            <m:r>
              <m:t>4</m:t>
            </m:r>
          </m:sub>
        </m:sSub>
        <m:r>
          <m:rPr>
            <m:sty m:val="p"/>
          </m:rPr>
          <m:t>,</m:t>
        </m:r>
        <m:r>
          <m:rPr>
            <m:nor/>
            <m:sty m:val="p"/>
          </m:rPr>
          <m:t>data</m:t>
        </m:r>
        <m:r>
          <m:rPr>
            <m:sty m:val="p"/>
          </m:rPr>
          <m:t>=</m:t>
        </m:r>
        <m:r>
          <m:rPr>
            <m:nor/>
            <m:sty m:val="p"/>
          </m:rPr>
          <m:t>df</m:t>
        </m:r>
      </m:oMath>
      <w:r>
        <w:t xml:space="preserve">, if covariates 1 and 4 were selected by the current selection approach. From each primary analysis, we saved the research context characteristics, the covariate selection approach used, and the parameter estimate for</w:t>
      </w:r>
      <w:r>
        <w:t xml:space="preserve"> </w:t>
      </w:r>
      <m:oMath>
        <m:r>
          <m:t>X</m:t>
        </m:r>
      </m:oMath>
      <w:r>
        <w:t xml:space="preserve">, p-value for its statistical test against 0, and the conclusion (reject or fail to reject) using alpha = 0.05 from the primary analysis.</w:t>
      </w:r>
    </w:p>
    <w:p>
      <w:pPr>
        <w:pStyle w:val="BodyText"/>
      </w:pPr>
      <w:r>
        <w:t xml:space="preserve">For research contexts where the population parameter for</w:t>
      </w:r>
      <w:r>
        <w:t xml:space="preserve"> </w:t>
      </w:r>
      <m:oMath>
        <m:r>
          <m:t>X</m:t>
        </m:r>
      </m:oMath>
      <w:r>
        <w:t xml:space="preserve"> </w:t>
      </w:r>
      <w:r>
        <w:t xml:space="preserve">is 0 (i.e.,</w:t>
      </w:r>
      <w:r>
        <w:t xml:space="preserve"> </w:t>
      </w:r>
      <m:oMath>
        <m:r>
          <m:t>X</m:t>
        </m:r>
      </m:oMath>
      <w:r>
        <w:t xml:space="preserve"> </w:t>
      </w:r>
      <w:r>
        <w:t xml:space="preserve">has no effect on</w:t>
      </w:r>
      <w:r>
        <w:t xml:space="preserve"> </w:t>
      </w:r>
      <m:oMath>
        <m:r>
          <m:t>Y</m:t>
        </m:r>
      </m:oMath>
      <w:r>
        <w:t xml:space="preserve">), we assess and report the Type I error rates associated with each covariate selection approach by research context characteristics. For research contexts where the population parameter for</w:t>
      </w:r>
      <w:r>
        <w:t xml:space="preserve"> </w:t>
      </w:r>
      <m:oMath>
        <m:r>
          <m:t>X</m:t>
        </m:r>
      </m:oMath>
      <w:r>
        <w:t xml:space="preserve"> </w:t>
      </w:r>
      <w:r>
        <w:t xml:space="preserve">is 0.2 or 0.5 (i.e.,</w:t>
      </w:r>
      <w:r>
        <w:t xml:space="preserve"> </w:t>
      </w:r>
      <m:oMath>
        <m:r>
          <m:t>X</m:t>
        </m:r>
      </m:oMath>
      <w:r>
        <w:t xml:space="preserve"> </w:t>
      </w:r>
      <w:r>
        <w:t xml:space="preserve">has an effect on</w:t>
      </w:r>
      <w:r>
        <w:t xml:space="preserve"> </w:t>
      </w:r>
      <m:oMath>
        <m:r>
          <m:t>Y</m:t>
        </m:r>
      </m:oMath>
      <w:r>
        <w:t xml:space="preserve">), we assess and report the Type II error rate for each covariate selection method by research context characteristics. We also provide descriptive statistics and sampling distributions (from the 40,000 simulations) of the parameter estimate for</w:t>
      </w:r>
      <w:r>
        <w:t xml:space="preserve"> </w:t>
      </w:r>
      <m:oMath>
        <m:r>
          <m:t>X</m:t>
        </m:r>
      </m:oMath>
      <w:r>
        <w:t xml:space="preserve"> </w:t>
      </w:r>
      <w:r>
        <w:t xml:space="preserve">across research contexts for each covariate selection approach, separately by true effect size for</w:t>
      </w:r>
      <w:r>
        <w:t xml:space="preserve"> </w:t>
      </w:r>
      <m:oMath>
        <m:r>
          <m:t>X</m:t>
        </m:r>
      </m:oMath>
      <w:r>
        <w:t xml:space="preserve"> </w:t>
      </w:r>
      <w:r>
        <w:t xml:space="preserve">(0, 0.2, and 0.5). An interactive detailed dashboard of average error rates for all combinations of research context variables is accessible through our OSF page (</w:t>
      </w:r>
      <w:hyperlink r:id="rId31">
        <w:r>
          <w:rPr>
            <w:rStyle w:val="Hyperlink"/>
          </w:rPr>
          <w:t xml:space="preserve">https://osf.io/zh5gn/</w:t>
        </w:r>
      </w:hyperlink>
      <w:r>
        <w:t xml:space="preserve">).</w:t>
      </w:r>
    </w:p>
    <w:bookmarkEnd w:id="32"/>
    <w:bookmarkEnd w:id="33"/>
    <w:bookmarkStart w:id="64" w:name="results"/>
    <w:p>
      <w:pPr>
        <w:pStyle w:val="Heading1"/>
      </w:pPr>
      <w:r>
        <w:t xml:space="preserve">Results</w:t>
      </w:r>
    </w:p>
    <w:bookmarkStart w:id="44"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m:oMath>
        <m:r>
          <m:t>X</m:t>
        </m:r>
      </m:oMath>
      <w:r>
        <w:t xml:space="preserve"> </w:t>
      </w:r>
      <w:r>
        <w:t xml:space="preserve">to be zero (i.e.,</w:t>
      </w:r>
      <w:r>
        <w:t xml:space="preserve"> </w:t>
      </w:r>
      <m:oMath>
        <m:sSub>
          <m:e>
            <m:r>
              <m:t>β</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1</w:t>
        </w:r>
      </w:hyperlink>
      <w:r>
        <w:t xml:space="preserve"> </w:t>
      </w:r>
      <w:r>
        <w:t xml:space="preserve">shows the average Type I error rate across all research contexts for each approach. The p-hacking approach for selecting covariates, unsurprisingly led to a highly inflated mean Type I error rate across contexts, consistent with the extant research published in the last several years on the connection between researcher degrees of freedom and false positives. The other approaches were at or near the expected error rate of alpha = .05 across the relatively broad range of research context characteristics we considered. Specifically, the two a priori selection approaches and the data-driven selection approaches that did not include</w:t>
      </w:r>
      <w:r>
        <w:t xml:space="preserve"> </w:t>
      </w:r>
      <m:oMath>
        <m:r>
          <m:t>X</m:t>
        </m:r>
      </m:oMath>
      <w:r>
        <w:t xml:space="preserve"> </w:t>
      </w:r>
      <w:r>
        <w:t xml:space="preserve">in the screening model displayed average Type I error rates of exactly .05. The data-driven approaches that did include</w:t>
      </w:r>
      <w:r>
        <w:t xml:space="preserve"> </w:t>
      </w:r>
      <m:oMath>
        <m:r>
          <m:t>X</m:t>
        </m:r>
      </m:oMath>
      <w:r>
        <w:t xml:space="preserve"> </w:t>
      </w:r>
      <w:r>
        <w:t xml:space="preserve">in the screening model displayed slightly increased (&lt;= .06) average Type I error rates across contexts.</w:t>
      </w:r>
    </w:p>
    <w:tbl>
      <w:tblPr>
        <w:tblStyle w:val="Table"/>
        <w:tblW w:type="pct" w:w="5000"/>
        <w:tblLayout w:type="fixed"/>
        <w:tblLook w:firstRow="0" w:lastRow="0" w:firstColumn="0" w:lastColumn="0" w:noHBand="0" w:noVBand="0" w:val="0000"/>
      </w:tblPr>
      <w:tblGrid>
        <w:gridCol w:w="7920"/>
      </w:tblGrid>
      <w:tr>
        <w:tc>
          <w:tcPr/>
          <w:bookmarkStart w:id="37" w:name="fig-bar-1"/>
          <w:p>
            <w:pPr>
              <w:pStyle w:val="Compact"/>
              <w:jc w:val="center"/>
            </w:pPr>
            <w:r>
              <w:drawing>
                <wp:inline>
                  <wp:extent cx="5334000" cy="3048000"/>
                  <wp:effectExtent b="0" l="0" r="0" t="0"/>
                  <wp:docPr descr="" title="" id="35" name="Picture"/>
                  <a:graphic>
                    <a:graphicData uri="http://schemas.openxmlformats.org/drawingml/2006/picture">
                      <pic:pic>
                        <pic:nvPicPr>
                          <pic:cNvPr descr="index_files/figure-docx/notebooks-mak_figures-fig-bar-1-output-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2</w:t>
        </w:r>
      </w:hyperlink>
      <w:r>
        <w:t xml:space="preserve">). First, the magnitude of Type I error rate inflation for the p-hacking approach was substantially increased with increasing number of available covariates, larger correlations between the covariates and</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proportion of available covariates with non-zero correlations with</w:t>
      </w:r>
      <w:r>
        <w:t xml:space="preserve"> </w:t>
      </w:r>
      <m:oMath>
        <m:r>
          <m:t>Y</m:t>
        </m:r>
      </m:oMath>
      <w:r>
        <w:t xml:space="preserve">, and smaller sample sizes. The Type I error rate for p-hacking reached XXXXX in the worst case context (N = 50, 20 available covariates with</w:t>
      </w:r>
      <w:r>
        <w:t xml:space="preserve"> </w:t>
      </w:r>
      <m:oMath>
        <m:sSub>
          <m:e>
            <m:r>
              <m:t>r</m:t>
            </m:r>
          </m:e>
          <m:sub>
            <m:r>
              <m:t>c</m:t>
            </m:r>
            <m:r>
              <m:t>o</m:t>
            </m:r>
            <m:r>
              <m:t>v</m:t>
            </m:r>
            <m:r>
              <m:rPr>
                <m:sty m:val="p"/>
              </m:rPr>
              <m:t>−</m:t>
            </m:r>
            <m:r>
              <m:t>Y</m:t>
            </m:r>
          </m:sub>
        </m:sSub>
      </m:oMath>
      <w:r>
        <w:t xml:space="preserve"> </w:t>
      </w:r>
      <w:r>
        <w:t xml:space="preserve">= 0.5 for 75% of the covariate set; SEE SUPPLEMENTAL TABLE XX).</w:t>
      </w:r>
    </w:p>
    <w:p>
      <w:pPr>
        <w:pStyle w:val="BodyText"/>
      </w:pPr>
      <w:r>
        <w:t xml:space="preserve">In contrast, to the p-hacking approach, the Type I error rates remained constant at .05 across all research context dimensions for the a prior approaches and the data-driven approaches that did not include</w:t>
      </w:r>
      <w:r>
        <w:t xml:space="preserve"> </w:t>
      </w:r>
      <m:oMath>
        <m:r>
          <m:t>X</m:t>
        </m:r>
      </m:oMath>
      <w:r>
        <w:t xml:space="preserve">. Among the data driven approaches that did include</w:t>
      </w:r>
      <w:r>
        <w:t xml:space="preserve"> </w:t>
      </w:r>
      <m:oMath>
        <m:r>
          <m:t>X</m:t>
        </m:r>
      </m:oMath>
      <w:r>
        <w:t xml:space="preserve">, small increases in Type I error rates were observed as the sample size decreased and the number of available covariates increased. However, Type I error rate inflation remained modest for these approaches even at the extremes of these two dimensions (up to XX at N = 50 and up to XX with 20 covariates). And in the worst case context at the intersection of these dimensions error rates only reached XX for XX, XX for XX and XX for XX. Neither the magnitude</w:t>
      </w:r>
      <w:r>
        <w:t xml:space="preserve"> </w:t>
      </w:r>
      <m:oMath>
        <m:sSub>
          <m:e>
            <m:r>
              <m:t>r</m:t>
            </m:r>
          </m:e>
          <m:sub>
            <m:r>
              <m:t>c</m:t>
            </m:r>
            <m:r>
              <m:t>o</m:t>
            </m:r>
            <m:r>
              <m:t>v</m:t>
            </m:r>
            <m:r>
              <m:rPr>
                <m:sty m:val="p"/>
              </m:rPr>
              <m:t>−</m:t>
            </m:r>
            <m:r>
              <m:t>Y</m:t>
            </m:r>
          </m:sub>
        </m:sSub>
      </m:oMath>
      <w:r>
        <w:t xml:space="preserve"> </w:t>
      </w:r>
      <w:r>
        <w:t xml:space="preserve">nor the proportion of available covariates with non-zero correlations with</w:t>
      </w:r>
      <w:r>
        <w:t xml:space="preserve"> </w:t>
      </w:r>
      <m:oMath>
        <m:r>
          <m:t>Y</m:t>
        </m:r>
      </m:oMath>
      <w:r>
        <w:t xml:space="preserve"> </w:t>
      </w:r>
      <w:r>
        <w:t xml:space="preserve">appears to have any systematic impact on the Type I error rates for the data-driven approaches that included</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42" w:name="fig-type1-panel"/>
          <w:p>
            <w:pPr>
              <w:pStyle w:val="Compact"/>
              <w:jc w:val="center"/>
            </w:pPr>
            <w:r>
              <w:drawing>
                <wp:inline>
                  <wp:extent cx="5334000" cy="4000499"/>
                  <wp:effectExtent b="0" l="0" r="0" t="0"/>
                  <wp:docPr descr="" title="" id="40" name="Picture"/>
                  <a:graphic>
                    <a:graphicData uri="http://schemas.openxmlformats.org/drawingml/2006/picture">
                      <pic:pic>
                        <pic:nvPicPr>
                          <pic:cNvPr descr="index_files/figure-docx/notebooks-mak_figures-fig-type1-panel-output-1.png" id="41" name="Picture"/>
                          <pic:cNvPicPr>
                            <a:picLocks noChangeArrowheads="1" noChangeAspect="1"/>
                          </pic:cNvPicPr>
                        </pic:nvPicPr>
                        <pic:blipFill>
                          <a:blip r:embed="rId39"/>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42"/>
        </w:tc>
      </w:tr>
    </w:tbl>
    <w:p>
      <w:pPr>
        <w:pStyle w:val="BodyText"/>
      </w:pPr>
      <w:r>
        <w:rPr>
          <w:vertAlign w:val="subscript"/>
        </w:rPr>
        <w:t xml:space="preserve">Source:</w:t>
      </w:r>
      <w:r>
        <w:rPr>
          <w:vertAlign w:val="subscript"/>
        </w:rPr>
        <w:t xml:space="preserve"> </w:t>
      </w:r>
      <w:hyperlink r:id="rId43">
        <w:r>
          <w:rPr>
            <w:rStyle w:val="Hyperlink"/>
            <w:vertAlign w:val="subscript"/>
          </w:rPr>
          <w:t xml:space="preserve">Make Figures for Main Manuscript</w:t>
        </w:r>
      </w:hyperlink>
    </w:p>
    <w:bookmarkEnd w:id="44"/>
    <w:bookmarkStart w:id="55" w:name="type-ii-error"/>
    <w:p>
      <w:pPr>
        <w:pStyle w:val="Heading2"/>
      </w:pPr>
      <w:r>
        <w:t xml:space="preserve">Type II Error</w:t>
      </w:r>
    </w:p>
    <w:p>
      <w:pPr>
        <w:pStyle w:val="FirstParagraph"/>
      </w:pPr>
      <w:r>
        <w:t xml:space="preserve">We simulated datasets with two possible population parameters for the effect of</w:t>
      </w:r>
      <w:r>
        <w:t xml:space="preserve"> </w:t>
      </w:r>
      <m:oMath>
        <m:r>
          <m:t>X</m:t>
        </m:r>
      </m:oMath>
      <w:r>
        <w:t xml:space="preserve"> </w:t>
      </w:r>
      <w:r>
        <w:t xml:space="preserve">on</w:t>
      </w:r>
      <w:r>
        <w:t xml:space="preserve"> </w:t>
      </w:r>
      <m:oMath>
        <m:r>
          <m:t>Y</m:t>
        </m:r>
      </m:oMath>
      <w:r>
        <w:t xml:space="preserve"> </w:t>
      </w:r>
      <w:r>
        <w:t xml:space="preserve">(</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Given that we set the standard deviation of</w:t>
      </w:r>
      <w:r>
        <w:t xml:space="preserve"> </w:t>
      </w:r>
      <m:oMath>
        <m:r>
          <m:t>Y</m:t>
        </m:r>
      </m:oMath>
      <w:r>
        <w:t xml:space="preserve"> </w:t>
      </w:r>
      <w:r>
        <w:t xml:space="preserve">to equal 1, these represented contexts where</w:t>
      </w:r>
      <w:r>
        <w:t xml:space="preserve"> </w:t>
      </w:r>
      <m:oMath>
        <m:r>
          <m:t>X</m:t>
        </m:r>
      </m:oMath>
      <w:r>
        <w:t xml:space="preserve"> </w:t>
      </w:r>
      <w:r>
        <w:t xml:space="preserve">had a small (Cohen’s d = .2) or moderate (Cohen’s d = .5) effect on</w:t>
      </w:r>
      <w:r>
        <w:t xml:space="preserve"> </w:t>
      </w:r>
      <m:oMath>
        <m:r>
          <m:t>Y</m:t>
        </m:r>
      </m:oMath>
      <w:r>
        <w:t xml:space="preserve">. In these simulations, non-significant effects for</w:t>
      </w:r>
      <w:r>
        <w:t xml:space="preserve"> </w:t>
      </w:r>
      <m:oMath>
        <m:r>
          <m:t>X</m:t>
        </m:r>
      </m:oMath>
      <w:r>
        <w:t xml:space="preserve"> </w:t>
      </w:r>
      <w:r>
        <w:t xml:space="preserve">were, by definition, Type II errors. Given the substantial problems with Type I error rate inflation noted above, we do not consider the p-hacking approach to be viable and therefore did not evaluate Type II error rates for this approach.</w:t>
      </w:r>
    </w:p>
    <w:p>
      <w:pPr>
        <w:pStyle w:val="BodyText"/>
      </w:pPr>
      <w:hyperlink w:anchor="fig-bar-2">
        <w:r>
          <w:rPr>
            <w:rStyle w:val="Hyperlink"/>
          </w:rPr>
          <w:t xml:space="preserve">Figure 3</w:t>
        </w:r>
      </w:hyperlink>
      <w:r>
        <w:t xml:space="preserve"> </w:t>
      </w:r>
      <w:r>
        <w:t xml:space="preserve">shows the average Type II error rate across all research contexts for each approach. The a priori no covariates approach displayed the highest average Type II error, which reinforces the value of using covariates to increase statistical power to detect true effects. Among the approaches that used covariates, the data-driven approaches generally produced modestly lower average Type II error rates than the a priori all covariates approach. Furthermore, the data-driven approaches that included</w:t>
      </w:r>
      <w:r>
        <w:t xml:space="preserve"> </w:t>
      </w:r>
      <m:oMath>
        <m:r>
          <m:t>X</m:t>
        </m:r>
      </m:oMath>
      <w:r>
        <w:t xml:space="preserve"> </w:t>
      </w:r>
      <w:r>
        <w:t xml:space="preserve">displayed modestly lower average Type II error rates than the comparable approach that did not include</w:t>
      </w:r>
      <w:r>
        <w:t xml:space="preserve"> </w:t>
      </w:r>
      <m:oMath>
        <m:r>
          <m:t>X</m:t>
        </m:r>
      </m:oMath>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48" w:name="fig-bar-2"/>
          <w:p>
            <w:pPr>
              <w:pStyle w:val="Compact"/>
              <w:jc w:val="center"/>
            </w:pPr>
            <w:r>
              <w:drawing>
                <wp:inline>
                  <wp:extent cx="5334000" cy="3048000"/>
                  <wp:effectExtent b="0" l="0" r="0" t="0"/>
                  <wp:docPr descr="" title="" id="46" name="Picture"/>
                  <a:graphic>
                    <a:graphicData uri="http://schemas.openxmlformats.org/drawingml/2006/picture">
                      <pic:pic>
                        <pic:nvPicPr>
                          <pic:cNvPr descr="index_files/figure-docx/notebooks-mak_figures-fig-bar-2-output-1.png" id="47" name="Picture"/>
                          <pic:cNvPicPr>
                            <a:picLocks noChangeArrowheads="1" noChangeAspect="1"/>
                          </pic:cNvPicPr>
                        </pic:nvPicPr>
                        <pic:blipFill>
                          <a:blip r:embed="rId45"/>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p>
      <w:pPr>
        <w:pStyle w:val="BodyText"/>
      </w:pPr>
      <w:r>
        <w:t xml:space="preserve">We also assessed Type II error by individual research context (</w:t>
      </w:r>
      <w:hyperlink w:anchor="fig-panel-2">
        <w:r>
          <w:rPr>
            <w:rStyle w:val="Hyperlink"/>
          </w:rPr>
          <w:t xml:space="preserve">Figure 4</w:t>
        </w:r>
      </w:hyperlink>
      <w:r>
        <w:t xml:space="preserve">). Across all research context, using no covariates was associated with higher Type II error. Using all available covariates or selection methods that do not control for</w:t>
      </w:r>
      <w:r>
        <w:t xml:space="preserve"> </w:t>
      </w:r>
      <m:oMath>
        <m:r>
          <m:t>X</m:t>
        </m:r>
      </m:oMath>
      <w:r>
        <w:t xml:space="preserve"> </w:t>
      </w:r>
      <w:r>
        <w:t xml:space="preserve">performed had higher Type II error rates compared to the other methods when sample sizes were low. This pattern was especially notable for using all covariates and an all covariates linear model without</w:t>
      </w:r>
      <w:r>
        <w:t xml:space="preserve"> </w:t>
      </w:r>
      <m:oMath>
        <m:r>
          <m:t>X</m:t>
        </m:r>
      </m:oMath>
      <w:r>
        <w:t xml:space="preserve">. As sample size increased, the methods performed comparably with respect to Type II error. Using all covariates or an all covariates linear model without</w:t>
      </w:r>
      <w:r>
        <w:t xml:space="preserve"> </w:t>
      </w:r>
      <m:oMath>
        <m:r>
          <m:t>X</m:t>
        </m:r>
      </m:oMath>
      <w:r>
        <w:t xml:space="preserve"> </w:t>
      </w:r>
      <w:r>
        <w:t xml:space="preserve">for selection produced higher Type II error rates compared to other methods when there was a larger number of covariates available. The all covariates linear model without</w:t>
      </w:r>
      <w:r>
        <w:t xml:space="preserve"> </w:t>
      </w:r>
      <m:oMath>
        <m:r>
          <m:t>X</m:t>
        </m:r>
      </m:oMath>
      <w:r>
        <w:t xml:space="preserve"> </w:t>
      </w:r>
      <w:r>
        <w:t xml:space="preserve">also produced higher Type II error rates, compared to other methods when the proportion of good covariates was higher.</w:t>
      </w:r>
    </w:p>
    <w:tbl>
      <w:tblPr>
        <w:tblStyle w:val="Table"/>
        <w:tblW w:type="pct" w:w="5000"/>
        <w:tblLayout w:type="fixed"/>
        <w:tblLook w:firstRow="0" w:lastRow="0" w:firstColumn="0" w:lastColumn="0" w:noHBand="0" w:noVBand="0" w:val="0000"/>
      </w:tblPr>
      <w:tblGrid>
        <w:gridCol w:w="7920"/>
      </w:tblGrid>
      <w:tr>
        <w:tc>
          <w:tcPr/>
          <w:bookmarkStart w:id="53" w:name="fig-panel-2"/>
          <w:p>
            <w:pPr>
              <w:pStyle w:val="Compact"/>
              <w:jc w:val="center"/>
            </w:pPr>
            <w:r>
              <w:drawing>
                <wp:inline>
                  <wp:extent cx="5334000" cy="6400800"/>
                  <wp:effectExtent b="0" l="0" r="0" t="0"/>
                  <wp:docPr descr="" title="" id="51" name="Picture"/>
                  <a:graphic>
                    <a:graphicData uri="http://schemas.openxmlformats.org/drawingml/2006/picture">
                      <pic:pic>
                        <pic:nvPicPr>
                          <pic:cNvPr descr="index_files/figure-docx/notebooks-mak_figures-fig-panel-2-output-1.png" id="52" name="Picture"/>
                          <pic:cNvPicPr>
                            <a:picLocks noChangeArrowheads="1" noChangeAspect="1"/>
                          </pic:cNvPicPr>
                        </pic:nvPicPr>
                        <pic:blipFill>
                          <a:blip r:embed="rId50"/>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53"/>
        </w:tc>
      </w:tr>
    </w:tbl>
    <w:p>
      <w:pPr>
        <w:pStyle w:val="BodyText"/>
      </w:pPr>
      <w:r>
        <w:rPr>
          <w:vertAlign w:val="subscript"/>
        </w:rPr>
        <w:t xml:space="preserve">Source:</w:t>
      </w:r>
      <w:r>
        <w:rPr>
          <w:vertAlign w:val="subscript"/>
        </w:rPr>
        <w:t xml:space="preserve"> </w:t>
      </w:r>
      <w:hyperlink r:id="rId54">
        <w:r>
          <w:rPr>
            <w:rStyle w:val="Hyperlink"/>
            <w:vertAlign w:val="subscript"/>
          </w:rPr>
          <w:t xml:space="preserve">Make Figures for Main Manuscript</w:t>
        </w:r>
      </w:hyperlink>
    </w:p>
    <w:bookmarkEnd w:id="55"/>
    <w:bookmarkStart w:id="63" w:name="parameter-estimates"/>
    <w:p>
      <w:pPr>
        <w:pStyle w:val="Heading2"/>
      </w:pPr>
      <w:r>
        <w:t xml:space="preserve">Parameter Estimates</w:t>
      </w:r>
    </w:p>
    <w:p>
      <w:pPr>
        <w:pStyle w:val="FirstParagraph"/>
      </w:pPr>
      <w:r>
        <w:t xml:space="preserve">When the assumptions of the general linear model are met, parameter estimates are unbiased and the sampling distribution for these parameter estimates follow the t-distribution.</w:t>
      </w:r>
      <w:r>
        <w:t xml:space="preserve"> </w:t>
      </w:r>
      <w:hyperlink w:anchor="tbl-est">
        <w:r>
          <w:rPr>
            <w:rStyle w:val="Hyperlink"/>
          </w:rPr>
          <w:t xml:space="preserve">Table 4</w:t>
        </w:r>
      </w:hyperlink>
      <w:r>
        <w:t xml:space="preserve"> </w:t>
      </w:r>
      <w:r>
        <w:t xml:space="preserve">shows the mean parameter estimate of</w:t>
      </w:r>
      <w:r>
        <w:t xml:space="preserve"> </w:t>
      </w:r>
      <m:oMath>
        <m:r>
          <m:t>X</m:t>
        </m:r>
      </m:oMath>
      <w:r>
        <w:t xml:space="preserve"> </w:t>
      </w:r>
      <w:r>
        <w:t xml:space="preserve">for all approaches separately by effect size (</w:t>
      </w:r>
      <m:oMath>
        <m:sSub>
          <m:e>
            <m:r>
              <m:t>β</m:t>
            </m:r>
          </m:e>
          <m:sub>
            <m:r>
              <m:t>x</m:t>
            </m:r>
          </m:sub>
        </m:sSub>
        <m:r>
          <m:rPr>
            <m:sty m:val="p"/>
          </m:rPr>
          <m:t>=</m:t>
        </m:r>
        <m:r>
          <m:t>0</m:t>
        </m:r>
      </m:oMath>
      <w:r>
        <w:t xml:space="preserve">,</w:t>
      </w:r>
      <w:r>
        <w:t xml:space="preserve"> </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We present sampling distributions for the parameter estimates in the supplement. All approaches yielded unbiased estimates when the true effect size is 0 but the shape of the sampling distribution for the p-hacking approach was distorted (bi-modal). When there is a true non-zero effect, the a priori approaches and the data-driven approaches that include</w:t>
      </w:r>
      <w:r>
        <w:t xml:space="preserve"> </w:t>
      </w:r>
      <m:oMath>
        <m:r>
          <m:t>X</m:t>
        </m:r>
      </m:oMath>
      <w:r>
        <w:t xml:space="preserve"> </w:t>
      </w:r>
      <w:r>
        <w:t xml:space="preserve">yielded unbiased parameter estimates, whereas there was slight conservative (under-estimation) bias in the parameter estimates for the data-driven approaches that do not include</w:t>
      </w:r>
      <w:r>
        <w:t xml:space="preserve"> </w:t>
      </w:r>
      <m:oMath>
        <m:r>
          <m:t>X</m:t>
        </m:r>
      </m:oMath>
      <w:r>
        <w:t xml:space="preserve">. In contrast, p-hacking yielded more substantial optimistic (over-estimation) bias in the parameter estimates when there is a non-zero effect.</w:t>
      </w:r>
    </w:p>
    <w:tbl>
      <w:tblPr>
        <w:tblStyle w:val="Table"/>
        <w:tblW w:type="pct" w:w="5000"/>
        <w:tblLayout w:type="fixed"/>
        <w:tblLook w:firstRow="0" w:lastRow="0" w:firstColumn="0" w:lastColumn="0" w:noHBand="0" w:noVBand="0" w:val="0000"/>
      </w:tblPr>
      <w:tblGrid>
        <w:gridCol w:w="7920"/>
      </w:tblGrid>
      <w:tr>
        <w:tc>
          <w:tcPr/>
          <w:bookmarkStart w:id="56" w:name="tbl-est"/>
          <w:p>
            <w:pPr>
              <w:jc w:val="center"/>
            </w:pPr>
            <w:pPr>
              <w:jc w:val="left"/>
              <w:spacing w:before="200"/>
              <w:pStyle w:val="ImageCaption"/>
            </w:pPr>
            <w:r>
              <w:t xml:space="preserve">Table 4: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($\beta_{x}=0$)</w:t>
                  </w:r>
                </w:p>
              </w:tc>
              <w:tc>
                <w:tcPr/>
                <w:p>
                  <w:pPr>
                    <w:pStyle w:val="Compact"/>
                    <w:jc w:val="left"/>
                    <w:jc w:val="center"/>
                  </w:pPr>
                  <w:r>
                    <w:t xml:space="preserve">$\beta_{x}=0.2$</w:t>
                  </w:r>
                </w:p>
              </w:tc>
              <w:tc>
                <w:tcPr/>
                <w:p>
                  <w:pPr>
                    <w:pStyle w:val="Compact"/>
                    <w:jc w:val="left"/>
                    <w:jc w:val="center"/>
                  </w:pPr>
                  <w:r>
                    <w:t xml:space="preserve">$\beta_{x}=0.5$</w:t>
                  </w:r>
                </w:p>
              </w:tc>
            </w:tr>
            <w:tr>
              <w:tc>
                <w:tcPr/>
                <w:p>
                  <w:pPr>
                    <w:pStyle w:val="Compact"/>
                    <w:jc w:val="left"/>
                    <w:jc w:val="center"/>
                  </w:pPr>
                  <w:r>
                    <w:t xml:space="preserve">A priori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0.000</w:t>
                  </w:r>
                </w:p>
              </w:tc>
              <w:tc>
                <w:tcPr/>
                <w:p>
                  <w:pPr>
                    <w:pStyle w:val="Compact"/>
                    <w:jc w:val="left"/>
                    <w:jc w:val="center"/>
                  </w:pPr>
                  <w:r>
                    <w:t xml:space="preserve">0.262</w:t>
                  </w:r>
                </w:p>
              </w:tc>
              <w:tc>
                <w:tcPr/>
                <w:p>
                  <w:pPr>
                    <w:pStyle w:val="Compact"/>
                    <w:jc w:val="left"/>
                    <w:jc w:val="center"/>
                  </w:pPr>
                  <w:r>
                    <w:t xml:space="preserve">0.563</w:t>
                  </w:r>
                </w:p>
              </w:tc>
            </w:tr>
            <w:tr>
              <w:tc>
                <w:tcPr/>
                <w:p>
                  <w:pPr>
                    <w:pStyle w:val="Compact"/>
                    <w:jc w:val="left"/>
                    <w:jc w:val="center"/>
                  </w:pPr>
                  <w:r>
                    <w:t xml:space="preserve">Single covariate lm without X</w:t>
                  </w:r>
                </w:p>
              </w:tc>
              <w:tc>
                <w:tcPr/>
                <w:p>
                  <w:pPr>
                    <w:pStyle w:val="Compact"/>
                    <w:jc w:val="left"/>
                    <w:jc w:val="center"/>
                  </w:pPr>
                  <w:r>
                    <w:t xml:space="preserve">0.000</w:t>
                  </w:r>
                </w:p>
              </w:tc>
              <w:tc>
                <w:tcPr/>
                <w:p>
                  <w:pPr>
                    <w:pStyle w:val="Compact"/>
                    <w:jc w:val="left"/>
                    <w:jc w:val="center"/>
                  </w:pPr>
                  <w:r>
                    <w:t xml:space="preserve">0.198</w:t>
                  </w:r>
                </w:p>
              </w:tc>
              <w:tc>
                <w:tcPr/>
                <w:p>
                  <w:pPr>
                    <w:pStyle w:val="Compact"/>
                    <w:jc w:val="left"/>
                    <w:jc w:val="center"/>
                  </w:pPr>
                  <w:r>
                    <w:t xml:space="preserve">0.495</w:t>
                  </w:r>
                </w:p>
              </w:tc>
            </w:tr>
            <w:tr>
              <w:tc>
                <w:tcPr/>
                <w:p>
                  <w:pPr>
                    <w:pStyle w:val="Compact"/>
                    <w:jc w:val="left"/>
                    <w:jc w:val="center"/>
                  </w:pPr>
                  <w:r>
                    <w:t xml:space="preserve">Single covariate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 lm without X</w:t>
                  </w:r>
                </w:p>
              </w:tc>
              <w:tc>
                <w:tcPr/>
                <w:p>
                  <w:pPr>
                    <w:pStyle w:val="Compact"/>
                    <w:jc w:val="left"/>
                    <w:jc w:val="center"/>
                  </w:pPr>
                  <w:r>
                    <w:t xml:space="preserve">0.000</w:t>
                  </w:r>
                </w:p>
              </w:tc>
              <w:tc>
                <w:tcPr/>
                <w:p>
                  <w:pPr>
                    <w:pStyle w:val="Compact"/>
                    <w:jc w:val="left"/>
                    <w:jc w:val="center"/>
                  </w:pPr>
                  <w:r>
                    <w:t xml:space="preserve">0.192</w:t>
                  </w:r>
                </w:p>
              </w:tc>
              <w:tc>
                <w:tcPr/>
                <w:p>
                  <w:pPr>
                    <w:pStyle w:val="Compact"/>
                    <w:jc w:val="left"/>
                    <w:jc w:val="center"/>
                  </w:pPr>
                  <w:r>
                    <w:t xml:space="preserve">0.479</w:t>
                  </w:r>
                </w:p>
              </w:tc>
            </w:tr>
            <w:tr>
              <w:tc>
                <w:tcPr/>
                <w:p>
                  <w:pPr>
                    <w:pStyle w:val="Compact"/>
                    <w:jc w:val="left"/>
                    <w:jc w:val="center"/>
                  </w:pPr>
                  <w:r>
                    <w:t xml:space="preserve">All covariates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 LASSO without X</w:t>
                  </w:r>
                </w:p>
              </w:tc>
              <w:tc>
                <w:tcPr/>
                <w:p>
                  <w:pPr>
                    <w:pStyle w:val="Compact"/>
                    <w:jc w:val="left"/>
                    <w:jc w:val="center"/>
                  </w:pPr>
                  <w:r>
                    <w:t xml:space="preserve">0.000</w:t>
                  </w:r>
                </w:p>
              </w:tc>
              <w:tc>
                <w:tcPr/>
                <w:p>
                  <w:pPr>
                    <w:pStyle w:val="Compact"/>
                    <w:jc w:val="left"/>
                    <w:jc w:val="center"/>
                  </w:pPr>
                  <w:r>
                    <w:t xml:space="preserve">0.195</w:t>
                  </w:r>
                </w:p>
              </w:tc>
              <w:tc>
                <w:tcPr/>
                <w:p>
                  <w:pPr>
                    <w:pStyle w:val="Compact"/>
                    <w:jc w:val="left"/>
                    <w:jc w:val="center"/>
                  </w:pPr>
                  <w:r>
                    <w:t xml:space="preserve">0.487</w:t>
                  </w:r>
                </w:p>
              </w:tc>
            </w:tr>
            <w:tr>
              <w:tc>
                <w:tcPr/>
                <w:p>
                  <w:pPr>
                    <w:pStyle w:val="Compact"/>
                    <w:jc w:val="left"/>
                    <w:jc w:val="center"/>
                  </w:pPr>
                  <w:r>
                    <w:t xml:space="preserve">All covariates LASSO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bl>
          <w:bookmarkEnd w:id="56"/>
          <w:p/>
        </w:tc>
      </w:tr>
    </w:tbl>
    <w:p>
      <w:pPr>
        <w:pStyle w:val="BodyText"/>
      </w:pPr>
      <w:r>
        <w:rPr>
          <w:vertAlign w:val="subscript"/>
        </w:rPr>
        <w:t xml:space="preserve">Source:</w:t>
      </w:r>
      <w:r>
        <w:rPr>
          <w:vertAlign w:val="subscript"/>
        </w:rPr>
        <w:t xml:space="preserve"> </w:t>
      </w:r>
      <w:hyperlink r:id="rId57">
        <w:r>
          <w:rPr>
            <w:rStyle w:val="Hyperlink"/>
            <w:vertAlign w:val="subscript"/>
          </w:rPr>
          <w:t xml:space="preserve">Make Tables for Main Manuscript</w:t>
        </w:r>
      </w:hyperlink>
    </w:p>
    <w:tbl>
      <w:tblPr>
        <w:tblStyle w:val="Table"/>
        <w:tblW w:type="pct" w:w="5000"/>
        <w:tblLayout w:type="fixed"/>
        <w:tblLook w:firstRow="0" w:lastRow="0" w:firstColumn="0" w:lastColumn="0" w:noHBand="0" w:noVBand="0" w:val="0000"/>
      </w:tblPr>
      <w:tblGrid>
        <w:gridCol w:w="7920"/>
      </w:tblGrid>
      <w:tr>
        <w:tc>
          <w:tcPr/>
          <w:bookmarkStart w:id="61" w:name="fig-distribution-bx"/>
          <w:p>
            <w:pPr>
              <w:pStyle w:val="Compact"/>
              <w:jc w:val="center"/>
            </w:pPr>
            <w:r>
              <w:drawing>
                <wp:inline>
                  <wp:extent cx="5334000" cy="6096000"/>
                  <wp:effectExtent b="0" l="0" r="0" t="0"/>
                  <wp:docPr descr="" title="" id="59" name="Picture"/>
                  <a:graphic>
                    <a:graphicData uri="http://schemas.openxmlformats.org/drawingml/2006/picture">
                      <pic:pic>
                        <pic:nvPicPr>
                          <pic:cNvPr descr="index_files/figure-docx/notebooks-mak_figures-fig-distribution-bx-output-1.png" id="60" name="Picture"/>
                          <pic:cNvPicPr>
                            <a:picLocks noChangeArrowheads="1" noChangeAspect="1"/>
                          </pic:cNvPicPr>
                        </pic:nvPicPr>
                        <pic:blipFill>
                          <a:blip r:embed="rId58"/>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Sampling Distribution for Population Parameter Estimates.</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Figures for Main Manuscript</w:t>
        </w:r>
      </w:hyperlink>
    </w:p>
    <w:bookmarkEnd w:id="63"/>
    <w:bookmarkEnd w:id="64"/>
    <w:bookmarkStart w:id="65"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 p-hacking severely inflates Type I error rate. Simmons et al. simulated an average Type I error rate of 11.7% for a treatment effect when selecting between two potential covariates (</w:t>
      </w:r>
      <w:r>
        <w:rPr>
          <w:i/>
          <w:iCs/>
        </w:rPr>
        <w:t xml:space="preserve">N</w:t>
      </w:r>
      <w:r>
        <w:t xml:space="preserve">=40). In our closest research context (</w:t>
      </w:r>
      <w:r>
        <w:rPr>
          <w:i/>
          <w:iCs/>
        </w:rPr>
        <w:t xml:space="preserve">N</w:t>
      </w:r>
      <w:r>
        <w:t xml:space="preserve">=50, 4 covariates), we observed similar rates of 10.3% (range: 5.6%-15.2%)</w:t>
      </w:r>
      <w:r>
        <w:t xml:space="preserve">. However, our simulations suggest this estimate may gravely underestimate the magnitude of the problem of p-hacking. It is more realistic that researchers can choose from several to many available candidate covariates. Even when the number of available covariates is modest (i.e., 8-12), our results show that Type I error rates increase to 19.1% (range: 12.1%-27.5%) across contexts. When selecting among 16-20 covariates, Type I error rates, on average, reach nearly a 3-fold increase from our 4-covariate context (29.4%, range: 21.7%-38.3%).</w:t>
      </w:r>
    </w:p>
    <w:p>
      <w:pPr>
        <w:pStyle w:val="BodyText"/>
      </w:pPr>
      <w:r>
        <w:t xml:space="preserve">When covariates were not used at all (i.e., a priori no covariates method), simulated models yielded an average Type I error rate of .05 and an unbiased parameter estimate of the</w:t>
      </w:r>
      <w:r>
        <w:t xml:space="preserve"> </w:t>
      </w:r>
      <m:oMath>
        <m:r>
          <m:t>X</m:t>
        </m:r>
      </m:oMath>
      <w:r>
        <w:t xml:space="preserve"> </w:t>
      </w:r>
      <w:r>
        <w:t xml:space="preserve">effect. However, this approach had a meaningfully higher Type II error rate compared to the other methods. This is not surprising. Adding covariates correlated with the outcome and uncorrelated with</w:t>
      </w:r>
      <w:r>
        <w:t xml:space="preserve"> </w:t>
      </w:r>
      <m:oMath>
        <m:r>
          <m:t>X</m:t>
        </m:r>
      </m:oMath>
      <w:r>
        <w:t xml:space="preserve"> </w:t>
      </w:r>
      <w:r>
        <w:t xml:space="preserve">will account for additional variance in the outcome, thus increasing power (or lowering Type II error rate). Perhaps then it is also not surprising that the research contexts with highest discrepancies in Type II error rates between the no covariates method and selection methods include situations with moderate to large sample sizes (</w:t>
      </w:r>
      <w:r>
        <w:rPr>
          <w:i/>
          <w:iCs/>
        </w:rPr>
        <w:t xml:space="preserve">N</w:t>
      </w:r>
      <w:r>
        <w:t xml:space="preserve">=150-400) where degrees of freedom can afford the cost of additional parameters, and in situations where there are many covariates to choose from with strong correlations to the outcome, where covariates have the most opportunity to reduce unexplained variance in the outcome. We believe that these data provide strong evidence to support the use of covariates when available.</w:t>
      </w:r>
    </w:p>
    <w:p>
      <w:pPr>
        <w:pStyle w:val="BodyText"/>
      </w:pPr>
      <w:r>
        <w:t xml:space="preserve">In many instances, using all available covariates selected a priori to data analysis is a reasonable option. Our simulated models showed consistent average Type I error rates of .05 and unbiased parameter for</w:t>
      </w:r>
      <w:r>
        <w:t xml:space="preserve"> </w:t>
      </w:r>
      <m:oMath>
        <m:r>
          <m:t>X</m:t>
        </m:r>
      </m:oMath>
      <w:r>
        <w:t xml:space="preserve">. Additionally, on average Type II error rates were only about 1.5-2% higher than some of the best performing data-driven selection methods (i.e., all covariates LASSO with</w:t>
      </w:r>
      <w:r>
        <w:t xml:space="preserve"> </w:t>
      </w:r>
      <m:oMath>
        <m:r>
          <m:t>X</m:t>
        </m:r>
      </m:oMath>
      <w:r>
        <w:t xml:space="preserve"> </w:t>
      </w:r>
      <w:r>
        <w:t xml:space="preserve">and single covariate linear model with</w:t>
      </w:r>
      <w:r>
        <w:t xml:space="preserve"> </w:t>
      </w:r>
      <m:oMath>
        <m:r>
          <m:t>X</m:t>
        </m:r>
      </m:oMath>
      <w:r>
        <w:t xml:space="preserve">). Using all available covariates is easiest because it eliminates the need for selection. However, in certain contexts, such as with small sample sizes or large numbers of covariates this difference is no longer trivial, with some data-driven selection methods yielding Type II error rates as much as 7% lower than the all covariates method. These findings are concerning in that it is not uncommon in psychological research to have 20+ covariates available. Moreover, the high cost of running experimental studies may confine researchers to smaller than ideal sample sizes. Moreover, even with an adequate sample size and modest number of covariates, it may not be wise to walk away from any power to detect an effect.</w:t>
      </w:r>
      <w:r>
        <w:t xml:space="preserve"> </w:t>
      </w:r>
    </w:p>
    <w:p>
      <w:pPr>
        <w:pStyle w:val="BodyText"/>
      </w:pPr>
      <w:r>
        <w:t xml:space="preserve">Among the three data-driven selection methods our simulations showed that when the methods did not include the focal variable,</w:t>
      </w:r>
      <w:r>
        <w:t xml:space="preserve"> </w:t>
      </w:r>
      <m:oMath>
        <m:r>
          <m:t>X</m:t>
        </m:r>
      </m:oMath>
      <w:r>
        <w:t xml:space="preserve">, in the model they produced biased parameter estimates. This bias results from the models favoring selecting covariates that are correlated with</w:t>
      </w:r>
      <w:r>
        <w:t xml:space="preserve"> </w:t>
      </w:r>
      <m:oMath>
        <m:r>
          <m:t>X</m:t>
        </m:r>
      </m:oMath>
      <w:r>
        <w:t xml:space="preserve"> </w:t>
      </w:r>
      <w:r>
        <w:t xml:space="preserve">in the sample despite being uncorrelated in the population. In other words, the models are accounting for variance in the outcome related to</w:t>
      </w:r>
      <w:r>
        <w:t xml:space="preserve"> </w:t>
      </w:r>
      <m:oMath>
        <m:r>
          <m:t>X</m:t>
        </m:r>
      </m:oMath>
      <w:r>
        <w:t xml:space="preserve"> </w:t>
      </w:r>
      <w:r>
        <w:t xml:space="preserve">by capitalizing on spurious correlations. This bias was largest for the all covariates linear model and trivial with the single covariate linear model.</w:t>
      </w:r>
    </w:p>
    <w:p>
      <w:pPr>
        <w:pStyle w:val="BodyText"/>
      </w:pPr>
      <w:r>
        <w:t xml:space="preserve">However, data-driven selection methods that included</w:t>
      </w:r>
      <w:r>
        <w:t xml:space="preserve"> </w:t>
      </w:r>
      <m:oMath>
        <m:r>
          <m:t>X</m:t>
        </m:r>
      </m:oMath>
      <w:r>
        <w:t xml:space="preserve"> </w:t>
      </w:r>
      <w:r>
        <w:t xml:space="preserve">in the model produced larger Type I error inflation.</w:t>
      </w:r>
      <w:r>
        <w:t xml:space="preserve"> </w:t>
      </w:r>
    </w:p>
    <w:p>
      <w:pPr>
        <w:pStyle w:val="BodyText"/>
      </w:pPr>
      <w:r>
        <w:t xml:space="preserve">Our findings suggest the all covariates linear model is not an optimal data-driven covariate selection method. On average it performed worse than the other data-driven methods. When no true effect existed the all covariates linear model with</w:t>
      </w:r>
      <w:r>
        <w:t xml:space="preserve"> </w:t>
      </w:r>
      <m:oMath>
        <m:r>
          <m:t>X</m:t>
        </m:r>
      </m:oMath>
      <w:r>
        <w:t xml:space="preserve"> </w:t>
      </w:r>
      <w:r>
        <w:t xml:space="preserve">yielded the highest Type II error compared to the other data-driven selection methods. When there was a true effect, the all covariates linear model with and without</w:t>
      </w:r>
      <w:r>
        <w:t xml:space="preserve"> </w:t>
      </w:r>
      <m:oMath>
        <m:r>
          <m:t>X</m:t>
        </m:r>
      </m:oMath>
      <w:r>
        <w:t xml:space="preserve"> </w:t>
      </w:r>
      <w:r>
        <w:t xml:space="preserve">showed higher Type II error rates compared to the respective single covariate linear and all covariates LASSO models, with and without</w:t>
      </w:r>
      <w:r>
        <w:t xml:space="preserve"> </w:t>
      </w:r>
      <m:oMath>
        <m:r>
          <m:t>X</m:t>
        </m:r>
      </m:oMath>
      <w:r>
        <w:t xml:space="preserve">. Finally, the all covariates model with</w:t>
      </w:r>
      <w:r>
        <w:t xml:space="preserve"> </w:t>
      </w:r>
      <m:oMath>
        <m:r>
          <m:t>X</m:t>
        </m:r>
      </m:oMath>
      <w:r>
        <w:t xml:space="preserve"> </w:t>
      </w:r>
      <w:r>
        <w:t xml:space="preserve">produced the most biased parameter estimates, compared to the other data-driven selection methods, when true effects existed.</w:t>
      </w:r>
    </w:p>
    <w:p>
      <w:pPr>
        <w:pStyle w:val="BodyText"/>
      </w:pPr>
      <w:r>
        <w:t xml:space="preserve">The absolute best method for Type II error is all covariates LASSO with</w:t>
      </w:r>
      <w:r>
        <w:t xml:space="preserve"> </w:t>
      </w:r>
      <m:oMath>
        <m:r>
          <m:t>X</m:t>
        </m:r>
      </m:oMath>
      <w:r>
        <w:t xml:space="preserve"> </w:t>
      </w:r>
      <w:r>
        <w:t xml:space="preserve">included in the model. LASSO is a machine learning algorithm that may be unfamiliar to some psychology researchers. As such, this data-driven selection method may feel overly complicated. We provide code in the supplement</w:t>
      </w:r>
      <w:r>
        <w:t xml:space="preserve"> </w:t>
      </w:r>
      <w:r>
        <w:t xml:space="preserve">to demonstrate how LASSO can be easily implemented in R for covariate selection.</w:t>
      </w:r>
    </w:p>
    <w:p>
      <w:pPr>
        <w:pStyle w:val="BodyText"/>
      </w:pPr>
      <w:r>
        <w:t xml:space="preserve">However, the simple single covariate linear model with</w:t>
      </w:r>
      <w:r>
        <w:t xml:space="preserve"> </w:t>
      </w:r>
      <m:oMath>
        <m:r>
          <m:t>X</m:t>
        </m:r>
      </m:oMath>
      <w:r>
        <w:t xml:space="preserve"> </w:t>
      </w:r>
      <w:r>
        <w:t xml:space="preserve">included in the model may be an equally viable alternative to LASSO. This method performed almost as good as LASSO with regard to Type II error and had lower Type I error compared to LASSO. Moreover, this method is easy to implement as it can be run as a table of correlation or partial correlation values. Both of these methods yielded unbiased parameter estimates and are likely comparable. Researchers can weigh the trade off between Type I and Type II error and the complexity of these methods in choosing which data-driven selection method to use. And of course, this decision should be pre-registered to avoid introducing additional researcher degrees of freedom into the analyses.</w:t>
      </w:r>
    </w:p>
    <w:p>
      <w:pPr>
        <w:pStyle w:val="BodyText"/>
      </w:pPr>
      <w:r>
        <w:t xml:space="preserve">This study demonstrated the gains in power when using covariates measured before assignment. These findings are likely still applicable to covariates uncorrelated to the focal variable and empirically related to the outcome but measured after assignment. Another use of covariates that we did not address in this study is to statistically control for confounding effects by including additional variables related to both the focal variable and the outcome. This is common practice in situations where</w:t>
      </w:r>
      <w:r>
        <w:t xml:space="preserve"> </w:t>
      </w:r>
      <m:oMath>
        <m:r>
          <m:t>X</m:t>
        </m:r>
      </m:oMath>
      <w:r>
        <w:t xml:space="preserve"> </w:t>
      </w:r>
      <w:r>
        <w:t xml:space="preserve">cannot be manipulated (e.g., controlling for gender when looking at the effects of parenting style on child school performance). This use of covariates, however, is complicated and covariates must be selected carefully based on theory and causal structure. Unfortunately, controlling for a confounding variable is also not as strong as people tend to believe. Controlling for a confounding variable with a covariate does not fully eliminate its influence but removes the partial effect on the outcome measurable by the model. Given the complex nature of these types of covariates, we considered them to fall outside the scope of the current paper and we plan to address them in a future simulation paper.</w:t>
      </w:r>
    </w:p>
    <w:bookmarkEnd w:id="65"/>
    <w:bookmarkStart w:id="100" w:name="references"/>
    <w:p>
      <w:pPr>
        <w:pStyle w:val="Heading1"/>
      </w:pPr>
      <w:r>
        <w:t xml:space="preserve">References</w:t>
      </w:r>
    </w:p>
    <w:bookmarkStart w:id="99" w:name="refs"/>
    <w:bookmarkStart w:id="67"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66">
        <w:r>
          <w:rPr>
            <w:rStyle w:val="Hyperlink"/>
          </w:rPr>
          <w:t xml:space="preserve">https://doi.org/10.1016/0197-2456(89)90055-x</w:t>
        </w:r>
      </w:hyperlink>
      <w:r>
        <w:t xml:space="preserve">.</w:t>
      </w:r>
    </w:p>
    <w:bookmarkEnd w:id="67"/>
    <w:bookmarkStart w:id="69"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68">
        <w:r>
          <w:rPr>
            <w:rStyle w:val="Hyperlink"/>
          </w:rPr>
          <w:t xml:space="preserve">https://doi.org/10.1038/nrn3475</w:t>
        </w:r>
      </w:hyperlink>
      <w:r>
        <w:t xml:space="preserve">.</w:t>
      </w:r>
    </w:p>
    <w:bookmarkEnd w:id="69"/>
    <w:bookmarkStart w:id="7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0">
        <w:r>
          <w:rPr>
            <w:rStyle w:val="Hyperlink"/>
          </w:rPr>
          <w:t xml:space="preserve">https://doi.org/10.21231/GNT1-HW21</w:t>
        </w:r>
      </w:hyperlink>
      <w:r>
        <w:t xml:space="preserve">.</w:t>
      </w:r>
    </w:p>
    <w:bookmarkEnd w:id="71"/>
    <w:bookmarkStart w:id="73"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72">
        <w:r>
          <w:rPr>
            <w:rStyle w:val="Hyperlink"/>
          </w:rPr>
          <w:t xml:space="preserve">https://doi.org/10.1037/h0045186</w:t>
        </w:r>
      </w:hyperlink>
      <w:r>
        <w:t xml:space="preserve">.</w:t>
      </w:r>
    </w:p>
    <w:bookmarkEnd w:id="73"/>
    <w:bookmarkStart w:id="74"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74"/>
    <w:bookmarkStart w:id="75"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75"/>
    <w:bookmarkStart w:id="77"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76">
        <w:r>
          <w:rPr>
            <w:rStyle w:val="Hyperlink"/>
          </w:rPr>
          <w:t xml:space="preserve">https://doi.org/10.1186/1471-2288-14-49</w:t>
        </w:r>
      </w:hyperlink>
      <w:r>
        <w:t xml:space="preserve">.</w:t>
      </w:r>
    </w:p>
    <w:bookmarkEnd w:id="77"/>
    <w:bookmarkStart w:id="79"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78">
        <w:r>
          <w:rPr>
            <w:rStyle w:val="Hyperlink"/>
          </w:rPr>
          <w:t xml:space="preserve">https://doi.org/10.1016/j.annepidem.2005.09.007</w:t>
        </w:r>
      </w:hyperlink>
      <w:r>
        <w:t xml:space="preserve">.</w:t>
      </w:r>
    </w:p>
    <w:bookmarkEnd w:id="79"/>
    <w:bookmarkStart w:id="81"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80">
        <w:r>
          <w:rPr>
            <w:rStyle w:val="Hyperlink"/>
          </w:rPr>
          <w:t xml:space="preserve">https://doi.org/10.1016/j.jclinepi.2003.09.014</w:t>
        </w:r>
      </w:hyperlink>
      <w:r>
        <w:t xml:space="preserve">.</w:t>
      </w:r>
    </w:p>
    <w:bookmarkEnd w:id="81"/>
    <w:bookmarkStart w:id="83"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82">
        <w:r>
          <w:rPr>
            <w:rStyle w:val="Hyperlink"/>
          </w:rPr>
          <w:t xml:space="preserve">https://doi.org/10.1371/journal.pmed.0020124</w:t>
        </w:r>
      </w:hyperlink>
      <w:r>
        <w:t xml:space="preserve">.</w:t>
      </w:r>
    </w:p>
    <w:bookmarkEnd w:id="83"/>
    <w:bookmarkStart w:id="85"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84">
        <w:r>
          <w:rPr>
            <w:rStyle w:val="Hyperlink"/>
          </w:rPr>
          <w:t xml:space="preserve">https://doi.org/10.1186/1745-6215-15-139</w:t>
        </w:r>
      </w:hyperlink>
      <w:r>
        <w:t xml:space="preserve">.</w:t>
      </w:r>
    </w:p>
    <w:bookmarkEnd w:id="85"/>
    <w:bookmarkStart w:id="86"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6"/>
    <w:bookmarkStart w:id="87"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87"/>
    <w:bookmarkStart w:id="89"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88">
        <w:r>
          <w:rPr>
            <w:rStyle w:val="Hyperlink"/>
          </w:rPr>
          <w:t xml:space="preserve">https://doi.org/10.1080/03610928508828942</w:t>
        </w:r>
      </w:hyperlink>
      <w:r>
        <w:t xml:space="preserve">.</w:t>
      </w:r>
    </w:p>
    <w:bookmarkEnd w:id="89"/>
    <w:bookmarkStart w:id="91"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90">
        <w:r>
          <w:rPr>
            <w:rStyle w:val="Hyperlink"/>
          </w:rPr>
          <w:t xml:space="preserve">https://doi.org/10.1177/0956797611417632</w:t>
        </w:r>
      </w:hyperlink>
      <w:r>
        <w:t xml:space="preserve">.</w:t>
      </w:r>
    </w:p>
    <w:bookmarkEnd w:id="91"/>
    <w:bookmarkStart w:id="93"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92">
        <w:r>
          <w:rPr>
            <w:rStyle w:val="Hyperlink"/>
          </w:rPr>
          <w:t xml:space="preserve">https://doi.org/10.1037/a0033242</w:t>
        </w:r>
      </w:hyperlink>
      <w:r>
        <w:t xml:space="preserve">.</w:t>
      </w:r>
    </w:p>
    <w:bookmarkEnd w:id="93"/>
    <w:bookmarkStart w:id="95"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94">
        <w:r>
          <w:rPr>
            <w:rStyle w:val="Hyperlink"/>
          </w:rPr>
          <w:t xml:space="preserve">https://doi.org/10.1016/j.jclinepi.2014.11.001</w:t>
        </w:r>
      </w:hyperlink>
      <w:r>
        <w:t xml:space="preserve">.</w:t>
      </w:r>
    </w:p>
    <w:bookmarkEnd w:id="95"/>
    <w:bookmarkStart w:id="97" w:name="X65fcee1c7a41f936cbb5091b59133225cfac5a3"/>
    <w:p>
      <w:pPr>
        <w:pStyle w:val="Bibliography"/>
      </w:pPr>
      <w:r>
        <w:t xml:space="preserve">Tibshirani, Robert. 1996.</w:t>
      </w:r>
      <w:r>
        <w:t xml:space="preserve"> </w:t>
      </w:r>
      <w:r>
        <w:t xml:space="preserve">“Regression</w:t>
      </w:r>
      <w:r>
        <w:t xml:space="preserve"> </w:t>
      </w:r>
      <w:r>
        <w:t xml:space="preserve">Shrinkage</w:t>
      </w:r>
      <w:r>
        <w:t xml:space="preserve"> </w:t>
      </w:r>
      <w:r>
        <w:t xml:space="preserve">and</w:t>
      </w:r>
      <w:r>
        <w:t xml:space="preserve"> </w:t>
      </w:r>
      <w:r>
        <w:t xml:space="preserve">Selection Via</w:t>
      </w:r>
      <w:r>
        <w:t xml:space="preserve"> </w:t>
      </w:r>
      <w:r>
        <w:t xml:space="preserve">the</w:t>
      </w:r>
      <w:r>
        <w:t xml:space="preserve"> </w:t>
      </w:r>
      <w:r>
        <w:t xml:space="preserve">Lasso</w:t>
      </w:r>
      <w:r>
        <w:t xml:space="preserve">.”</w:t>
      </w:r>
      <w:r>
        <w:t xml:space="preserve"> </w:t>
      </w:r>
      <w:r>
        <w:rPr>
          <w:i/>
          <w:iCs/>
        </w:rPr>
        <w:t xml:space="preserve">Journal of the Royal Statistical Society: Series B (Methodological)</w:t>
      </w:r>
      <w:r>
        <w:t xml:space="preserve"> </w:t>
      </w:r>
      <w:r>
        <w:t xml:space="preserve">58 (1): 267–88.</w:t>
      </w:r>
      <w:r>
        <w:t xml:space="preserve"> </w:t>
      </w:r>
      <w:hyperlink r:id="rId96">
        <w:r>
          <w:rPr>
            <w:rStyle w:val="Hyperlink"/>
          </w:rPr>
          <w:t xml:space="preserve">https://doi.org/10.1111/j.2517-6161.1996.tb02080.x</w:t>
        </w:r>
      </w:hyperlink>
      <w:r>
        <w:t xml:space="preserve">.</w:t>
      </w:r>
    </w:p>
    <w:bookmarkEnd w:id="97"/>
    <w:bookmarkStart w:id="98"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5" Target="media/rId45.png" /><Relationship Type="http://schemas.openxmlformats.org/officeDocument/2006/relationships/image" Id="rId58" Target="media/rId58.png" /><Relationship Type="http://schemas.openxmlformats.org/officeDocument/2006/relationships/image" Id="rId50" Target="media/rId50.png" /><Relationship Type="http://schemas.openxmlformats.org/officeDocument/2006/relationships/image" Id="rId39" Target="media/rId39.png" /><Relationship Type="http://schemas.openxmlformats.org/officeDocument/2006/relationships/hyperlink" Id="rId66" Target="https://doi.org/10.1016/0197-2456(89)90055-x" TargetMode="External" /><Relationship Type="http://schemas.openxmlformats.org/officeDocument/2006/relationships/hyperlink" Id="rId78" Target="https://doi.org/10.1016/j.annepidem.2005.09.007" TargetMode="External" /><Relationship Type="http://schemas.openxmlformats.org/officeDocument/2006/relationships/hyperlink" Id="rId80" Target="https://doi.org/10.1016/j.jclinepi.2003.09.014" TargetMode="External" /><Relationship Type="http://schemas.openxmlformats.org/officeDocument/2006/relationships/hyperlink" Id="rId94" Target="https://doi.org/10.1016/j.jclinepi.2014.11.001" TargetMode="External" /><Relationship Type="http://schemas.openxmlformats.org/officeDocument/2006/relationships/hyperlink" Id="rId92" Target="https://doi.org/10.1037/a0033242" TargetMode="External" /><Relationship Type="http://schemas.openxmlformats.org/officeDocument/2006/relationships/hyperlink" Id="rId72" Target="https://doi.org/10.1037/h0045186" TargetMode="External" /><Relationship Type="http://schemas.openxmlformats.org/officeDocument/2006/relationships/hyperlink" Id="rId68" Target="https://doi.org/10.1038/nrn3475" TargetMode="External" /><Relationship Type="http://schemas.openxmlformats.org/officeDocument/2006/relationships/hyperlink" Id="rId88" Target="https://doi.org/10.1080/03610928508828942" TargetMode="External" /><Relationship Type="http://schemas.openxmlformats.org/officeDocument/2006/relationships/hyperlink" Id="rId96" Target="https://doi.org/10.1111/j.2517-6161.1996.tb02080.x" TargetMode="External" /><Relationship Type="http://schemas.openxmlformats.org/officeDocument/2006/relationships/hyperlink" Id="rId90" Target="https://doi.org/10.1177/0956797611417632" TargetMode="External" /><Relationship Type="http://schemas.openxmlformats.org/officeDocument/2006/relationships/hyperlink" Id="rId76" Target="https://doi.org/10.1186/1471-2288-14-49" TargetMode="External" /><Relationship Type="http://schemas.openxmlformats.org/officeDocument/2006/relationships/hyperlink" Id="rId84" Target="https://doi.org/10.1186/1745-6215-15-139" TargetMode="External" /><Relationship Type="http://schemas.openxmlformats.org/officeDocument/2006/relationships/hyperlink" Id="rId82" Target="https://doi.org/10.1371/journal.pmed.0020124" TargetMode="External" /><Relationship Type="http://schemas.openxmlformats.org/officeDocument/2006/relationships/hyperlink" Id="rId70" Target="https://doi.org/10.21231/GNT1-HW21" TargetMode="External" /><Relationship Type="http://schemas.openxmlformats.org/officeDocument/2006/relationships/hyperlink" Id="rId27" Target="https://jjcurtin.github.io/study_cov/index-preview.html" TargetMode="External" /><Relationship Type="http://schemas.openxmlformats.org/officeDocument/2006/relationships/hyperlink" Id="rId38" Target="https://jjcurtin.github.io/study_cov/notebooks\mak_figures-preview.html#cell-fig-bar-1" TargetMode="External" /><Relationship Type="http://schemas.openxmlformats.org/officeDocument/2006/relationships/hyperlink" Id="rId49" Target="https://jjcurtin.github.io/study_cov/notebooks\mak_figures-preview.html#cell-fig-bar-2" TargetMode="External" /><Relationship Type="http://schemas.openxmlformats.org/officeDocument/2006/relationships/hyperlink" Id="rId62" Target="https://jjcurtin.github.io/study_cov/notebooks\mak_figures-preview.html#cell-fig-distribution-bx" TargetMode="External" /><Relationship Type="http://schemas.openxmlformats.org/officeDocument/2006/relationships/hyperlink" Id="rId54" Target="https://jjcurtin.github.io/study_cov/notebooks\mak_figures-preview.html#cell-fig-panel-2" TargetMode="External" /><Relationship Type="http://schemas.openxmlformats.org/officeDocument/2006/relationships/hyperlink" Id="rId43"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7"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jjcurtin.github.io/study_cov/notebooks\mak_tables-preview.html#cell-tbl-sigma" TargetMode="External" /><Relationship Type="http://schemas.openxmlformats.org/officeDocument/2006/relationships/hyperlink" Id="rId31" Target="https://osf.io/zh5gn/" TargetMode="External" /></Relationships>
</file>

<file path=word/_rels/footnotes.xml.rels><?xml version="1.0" encoding="UTF-8"?><Relationships xmlns="http://schemas.openxmlformats.org/package/2006/relationships"><Relationship Type="http://schemas.openxmlformats.org/officeDocument/2006/relationships/hyperlink" Id="rId66" Target="https://doi.org/10.1016/0197-2456(89)90055-x" TargetMode="External" /><Relationship Type="http://schemas.openxmlformats.org/officeDocument/2006/relationships/hyperlink" Id="rId78" Target="https://doi.org/10.1016/j.annepidem.2005.09.007" TargetMode="External" /><Relationship Type="http://schemas.openxmlformats.org/officeDocument/2006/relationships/hyperlink" Id="rId80" Target="https://doi.org/10.1016/j.jclinepi.2003.09.014" TargetMode="External" /><Relationship Type="http://schemas.openxmlformats.org/officeDocument/2006/relationships/hyperlink" Id="rId94" Target="https://doi.org/10.1016/j.jclinepi.2014.11.001" TargetMode="External" /><Relationship Type="http://schemas.openxmlformats.org/officeDocument/2006/relationships/hyperlink" Id="rId92" Target="https://doi.org/10.1037/a0033242" TargetMode="External" /><Relationship Type="http://schemas.openxmlformats.org/officeDocument/2006/relationships/hyperlink" Id="rId72" Target="https://doi.org/10.1037/h0045186" TargetMode="External" /><Relationship Type="http://schemas.openxmlformats.org/officeDocument/2006/relationships/hyperlink" Id="rId68" Target="https://doi.org/10.1038/nrn3475" TargetMode="External" /><Relationship Type="http://schemas.openxmlformats.org/officeDocument/2006/relationships/hyperlink" Id="rId88" Target="https://doi.org/10.1080/03610928508828942" TargetMode="External" /><Relationship Type="http://schemas.openxmlformats.org/officeDocument/2006/relationships/hyperlink" Id="rId96" Target="https://doi.org/10.1111/j.2517-6161.1996.tb02080.x" TargetMode="External" /><Relationship Type="http://schemas.openxmlformats.org/officeDocument/2006/relationships/hyperlink" Id="rId90" Target="https://doi.org/10.1177/0956797611417632" TargetMode="External" /><Relationship Type="http://schemas.openxmlformats.org/officeDocument/2006/relationships/hyperlink" Id="rId76" Target="https://doi.org/10.1186/1471-2288-14-49" TargetMode="External" /><Relationship Type="http://schemas.openxmlformats.org/officeDocument/2006/relationships/hyperlink" Id="rId84" Target="https://doi.org/10.1186/1745-6215-15-139" TargetMode="External" /><Relationship Type="http://schemas.openxmlformats.org/officeDocument/2006/relationships/hyperlink" Id="rId82" Target="https://doi.org/10.1371/journal.pmed.0020124" TargetMode="External" /><Relationship Type="http://schemas.openxmlformats.org/officeDocument/2006/relationships/hyperlink" Id="rId70" Target="https://doi.org/10.21231/GNT1-HW21" TargetMode="External" /><Relationship Type="http://schemas.openxmlformats.org/officeDocument/2006/relationships/hyperlink" Id="rId27" Target="https://jjcurtin.github.io/study_cov/index-preview.html" TargetMode="External" /><Relationship Type="http://schemas.openxmlformats.org/officeDocument/2006/relationships/hyperlink" Id="rId38" Target="https://jjcurtin.github.io/study_cov/notebooks\mak_figures-preview.html#cell-fig-bar-1" TargetMode="External" /><Relationship Type="http://schemas.openxmlformats.org/officeDocument/2006/relationships/hyperlink" Id="rId49" Target="https://jjcurtin.github.io/study_cov/notebooks\mak_figures-preview.html#cell-fig-bar-2" TargetMode="External" /><Relationship Type="http://schemas.openxmlformats.org/officeDocument/2006/relationships/hyperlink" Id="rId62" Target="https://jjcurtin.github.io/study_cov/notebooks\mak_figures-preview.html#cell-fig-distribution-bx" TargetMode="External" /><Relationship Type="http://schemas.openxmlformats.org/officeDocument/2006/relationships/hyperlink" Id="rId54" Target="https://jjcurtin.github.io/study_cov/notebooks\mak_figures-preview.html#cell-fig-panel-2" TargetMode="External" /><Relationship Type="http://schemas.openxmlformats.org/officeDocument/2006/relationships/hyperlink" Id="rId43"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7"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jjcurtin.github.io/study_cov/notebooks\mak_tables-preview.html#cell-tbl-sigma" TargetMode="External" /><Relationship Type="http://schemas.openxmlformats.org/officeDocument/2006/relationships/hyperlink" Id="rId31" Target="https://osf.io/zh5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2026-03-14T01:08:31Z</dcterms:created>
  <dcterms:modified xsi:type="dcterms:W3CDTF">2026-03-14T01:08:31Z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2026-03-13</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