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2026-04-16</w:t>
      </w:r>
    </w:p>
    <w:p>
      <w:pPr>
        <w:pStyle w:val="AbstractTitle"/>
      </w:pPr>
      <w:r>
        <w:t xml:space="preserve">Abstract</w:t>
      </w:r>
    </w:p>
    <w:p>
      <w:pPr>
        <w:pStyle w:val="Abstract"/>
      </w:pPr>
      <w:r>
        <w:t xml:space="preserve">Including covariates in a test of an experimentally manipulated independent variables (</w:t>
      </w:r>
      <m:oMath>
        <m:r>
          <m:t>X</m:t>
        </m:r>
      </m:oMath>
      <w:r>
        <w:t xml:space="preserve">) can reduce Type II error by explaining outcome variance, but selecting optimal covariates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 and without</w:t>
      </w:r>
      <w:r>
        <w:t xml:space="preserve"> </w:t>
      </w:r>
      <m:oMath>
        <m:r>
          <m:t>X</m:t>
        </m:r>
      </m:oMath>
      <w:r>
        <w:t xml:space="preserve">, linear models that screen all covariates simultaneously with and without</w:t>
      </w:r>
      <w:r>
        <w:t xml:space="preserve"> </w:t>
      </w:r>
      <m:oMath>
        <m:r>
          <m:t>X</m:t>
        </m:r>
      </m:oMath>
      <w:r>
        <w:t xml:space="preserve">, and LASSO models that screen all covariates simultaneously with and without</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w:t>
      </w:r>
      <w:r>
        <w:t xml:space="preserve"> </w:t>
      </w:r>
      <w:r>
        <w:t xml:space="preserve">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traditional no covariates approach</w:t>
      </w:r>
      <w:r>
        <w:t xml:space="preserve">),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pP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0.198</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Tables for Main Manuscript</w:t>
        </w:r>
      </w:hyperlink>
    </w:p>
    <w:bookmarkEnd w:id="65"/>
    <w:bookmarkStart w:id="106" w:name="references"/>
    <w:p>
      <w:pPr>
        <w:pStyle w:val="Heading1"/>
      </w:pPr>
      <w:r>
        <w:t xml:space="preserve">References</w:t>
      </w:r>
    </w:p>
    <w:bookmarkStart w:id="105"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8">
        <w:r>
          <w:rPr>
            <w:rStyle w:val="Hyperlink"/>
          </w:rPr>
          <w:t xml:space="preserve">https://doi.org/10.1177/0956797613499923</w:t>
        </w:r>
      </w:hyperlink>
      <w:r>
        <w:t xml:space="preserve">.</w:t>
      </w:r>
    </w:p>
    <w:bookmarkEnd w:id="69"/>
    <w:bookmarkStart w:id="71"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0">
        <w:r>
          <w:rPr>
            <w:rStyle w:val="Hyperlink"/>
          </w:rPr>
          <w:t xml:space="preserve">https://doi.org/10.1038/nrn3475</w:t>
        </w:r>
      </w:hyperlink>
      <w:r>
        <w:t xml:space="preserve">.</w:t>
      </w:r>
    </w:p>
    <w:bookmarkEnd w:id="71"/>
    <w:bookmarkStart w:id="73"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2">
        <w:r>
          <w:rPr>
            <w:rStyle w:val="Hyperlink"/>
          </w:rPr>
          <w:t xml:space="preserve">https://doi.org/10.21231/GNT1-HW21</w:t>
        </w:r>
      </w:hyperlink>
      <w:r>
        <w:t xml:space="preserve">.</w:t>
      </w:r>
    </w:p>
    <w:bookmarkEnd w:id="73"/>
    <w:bookmarkStart w:id="7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4">
        <w:r>
          <w:rPr>
            <w:rStyle w:val="Hyperlink"/>
          </w:rPr>
          <w:t xml:space="preserve">https://doi.org/10.1037/h0045186</w:t>
        </w:r>
      </w:hyperlink>
      <w:r>
        <w:t xml:space="preserve">.</w:t>
      </w:r>
    </w:p>
    <w:bookmarkEnd w:id="75"/>
    <w:bookmarkStart w:id="76"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6"/>
    <w:bookmarkStart w:id="77"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7"/>
    <w:bookmarkStart w:id="7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8">
        <w:r>
          <w:rPr>
            <w:rStyle w:val="Hyperlink"/>
          </w:rPr>
          <w:t xml:space="preserve">https://doi.org/10.1186/1471-2288-14-49</w:t>
        </w:r>
      </w:hyperlink>
      <w:r>
        <w:t xml:space="preserve">.</w:t>
      </w:r>
    </w:p>
    <w:bookmarkEnd w:id="79"/>
    <w:bookmarkStart w:id="81"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0">
        <w:r>
          <w:rPr>
            <w:rStyle w:val="Hyperlink"/>
          </w:rPr>
          <w:t xml:space="preserve">https://doi.org/10.1037/a0033407</w:t>
        </w:r>
      </w:hyperlink>
      <w:r>
        <w:t xml:space="preserve">.</w:t>
      </w:r>
    </w:p>
    <w:bookmarkEnd w:id="81"/>
    <w:bookmarkStart w:id="83"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2">
        <w:r>
          <w:rPr>
            <w:rStyle w:val="Hyperlink"/>
          </w:rPr>
          <w:t xml:space="preserve">https://doi.org/10.1016/j.annepidem.2005.09.007</w:t>
        </w:r>
      </w:hyperlink>
      <w:r>
        <w:t xml:space="preserve">.</w:t>
      </w:r>
    </w:p>
    <w:bookmarkEnd w:id="83"/>
    <w:bookmarkStart w:id="85"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4">
        <w:r>
          <w:rPr>
            <w:rStyle w:val="Hyperlink"/>
          </w:rPr>
          <w:t xml:space="preserve">https://doi.org/10.1016/j.jclinepi.2003.09.014</w:t>
        </w:r>
      </w:hyperlink>
      <w:r>
        <w:t xml:space="preserve">.</w:t>
      </w:r>
    </w:p>
    <w:bookmarkEnd w:id="85"/>
    <w:bookmarkStart w:id="87"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6">
        <w:r>
          <w:rPr>
            <w:rStyle w:val="Hyperlink"/>
          </w:rPr>
          <w:t xml:space="preserve">https://doi.org/10.1371/journal.pmed.0020124</w:t>
        </w:r>
      </w:hyperlink>
      <w:r>
        <w:t xml:space="preserve">.</w:t>
      </w:r>
    </w:p>
    <w:bookmarkEnd w:id="87"/>
    <w:bookmarkStart w:id="89"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8">
        <w:r>
          <w:rPr>
            <w:rStyle w:val="Hyperlink"/>
          </w:rPr>
          <w:t xml:space="preserve">https://doi.org/10.1186/1745-6215-15-139</w:t>
        </w:r>
      </w:hyperlink>
      <w:r>
        <w:t xml:space="preserve">.</w:t>
      </w:r>
    </w:p>
    <w:bookmarkEnd w:id="89"/>
    <w:bookmarkStart w:id="90"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0"/>
    <w:bookmarkStart w:id="92" w:name="Xacb972bec6951688223e59e5436f5358068fdee"/>
    <w:p>
      <w:pPr>
        <w:pStyle w:val="Bibliography"/>
      </w:pPr>
      <w:r>
        <w:t xml:space="preserve">Miller, G A, and J P Chapman. 2001.</w:t>
      </w:r>
      <w:r>
        <w:t xml:space="preserve"> </w:t>
      </w:r>
      <w:r>
        <w:t xml:space="preserve">“</w:t>
      </w:r>
      <w:hyperlink r:id="rId91">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2"/>
    <w:bookmarkStart w:id="93"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3"/>
    <w:bookmarkStart w:id="9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4">
        <w:r>
          <w:rPr>
            <w:rStyle w:val="Hyperlink"/>
          </w:rPr>
          <w:t xml:space="preserve">https://doi.org/10.1080/03610928508828942</w:t>
        </w:r>
      </w:hyperlink>
      <w:r>
        <w:t xml:space="preserve">.</w:t>
      </w:r>
    </w:p>
    <w:bookmarkEnd w:id="95"/>
    <w:bookmarkStart w:id="9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6">
        <w:r>
          <w:rPr>
            <w:rStyle w:val="Hyperlink"/>
          </w:rPr>
          <w:t xml:space="preserve">https://doi.org/10.1177/0956797611417632</w:t>
        </w:r>
      </w:hyperlink>
      <w:r>
        <w:t xml:space="preserve">.</w:t>
      </w:r>
    </w:p>
    <w:bookmarkEnd w:id="97"/>
    <w:bookmarkStart w:id="9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8">
        <w:r>
          <w:rPr>
            <w:rStyle w:val="Hyperlink"/>
          </w:rPr>
          <w:t xml:space="preserve">https://doi.org/10.1037/a0033242</w:t>
        </w:r>
      </w:hyperlink>
      <w:r>
        <w:t xml:space="preserve">.</w:t>
      </w:r>
    </w:p>
    <w:bookmarkEnd w:id="99"/>
    <w:bookmarkStart w:id="10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0">
        <w:r>
          <w:rPr>
            <w:rStyle w:val="Hyperlink"/>
          </w:rPr>
          <w:t xml:space="preserve">https://doi.org/10.1016/j.jclinepi.2014.11.001</w:t>
        </w:r>
      </w:hyperlink>
      <w:r>
        <w:t xml:space="preserve">.</w:t>
      </w:r>
    </w:p>
    <w:bookmarkEnd w:id="101"/>
    <w:bookmarkStart w:id="103"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2">
        <w:r>
          <w:rPr>
            <w:rStyle w:val="Hyperlink"/>
          </w:rPr>
          <w:t xml:space="preserve">https://doi.org/10.1111/j.2517-6161.1996.tb02080.x</w:t>
        </w:r>
      </w:hyperlink>
      <w:r>
        <w:t xml:space="preserve">.</w:t>
      </w:r>
    </w:p>
    <w:bookmarkEnd w:id="103"/>
    <w:bookmarkStart w:id="10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82" Target="https://doi.org/10.1016/j.annepidem.2005.09.007" TargetMode="External" /><Relationship Type="http://schemas.openxmlformats.org/officeDocument/2006/relationships/hyperlink" Id="rId84" Target="https://doi.org/10.1016/j.jclinepi.2003.09.014" TargetMode="External" /><Relationship Type="http://schemas.openxmlformats.org/officeDocument/2006/relationships/hyperlink" Id="rId100" Target="https://doi.org/10.1016/j.jclinepi.2014.11.001" TargetMode="External" /><Relationship Type="http://schemas.openxmlformats.org/officeDocument/2006/relationships/hyperlink" Id="rId98" Target="https://doi.org/10.1037/a0033242" TargetMode="External" /><Relationship Type="http://schemas.openxmlformats.org/officeDocument/2006/relationships/hyperlink" Id="rId80" Target="https://doi.org/10.1037/a0033407" TargetMode="External" /><Relationship Type="http://schemas.openxmlformats.org/officeDocument/2006/relationships/hyperlink" Id="rId74" Target="https://doi.org/10.1037/h0045186" TargetMode="External" /><Relationship Type="http://schemas.openxmlformats.org/officeDocument/2006/relationships/hyperlink" Id="rId70" Target="https://doi.org/10.1038/nrn3475" TargetMode="External" /><Relationship Type="http://schemas.openxmlformats.org/officeDocument/2006/relationships/hyperlink" Id="rId94" Target="https://doi.org/10.1080/03610928508828942" TargetMode="External" /><Relationship Type="http://schemas.openxmlformats.org/officeDocument/2006/relationships/hyperlink" Id="rId102" Target="https://doi.org/10.1111/j.2517-6161.1996.tb02080.x" TargetMode="External" /><Relationship Type="http://schemas.openxmlformats.org/officeDocument/2006/relationships/hyperlink" Id="rId96" Target="https://doi.org/10.1177/0956797611417632" TargetMode="External" /><Relationship Type="http://schemas.openxmlformats.org/officeDocument/2006/relationships/hyperlink" Id="rId68" Target="https://doi.org/10.1177/0956797613499923" TargetMode="External" /><Relationship Type="http://schemas.openxmlformats.org/officeDocument/2006/relationships/hyperlink" Id="rId78" Target="https://doi.org/10.1186/1471-2288-14-49" TargetMode="External" /><Relationship Type="http://schemas.openxmlformats.org/officeDocument/2006/relationships/hyperlink" Id="rId88" Target="https://doi.org/10.1186/1745-6215-15-139" TargetMode="External" /><Relationship Type="http://schemas.openxmlformats.org/officeDocument/2006/relationships/hyperlink" Id="rId86" Target="https://doi.org/10.1371/journal.pmed.0020124" TargetMode="External" /><Relationship Type="http://schemas.openxmlformats.org/officeDocument/2006/relationships/hyperlink" Id="rId72"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64" Target="https://jjcurtin.github.io/study_cov/notebooks\mak_tables-preview.html#cell-tbl-rec" TargetMode="External" /><Relationship Type="http://schemas.openxmlformats.org/officeDocument/2006/relationships/hyperlink" Id="rId29" Target="https://osf.io/zh5gn/" TargetMode="External" /><Relationship Type="http://schemas.openxmlformats.org/officeDocument/2006/relationships/hyperlink" Id="rId91"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2026-04-16T13:26:09Z</dcterms:created>
  <dcterms:modified xsi:type="dcterms:W3CDTF">2026-04-16T13:26:09Z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in a test of an experimentally manipulated independent variables (X) can reduce Type II error by explaining outcome variance, but selecting optimal covariates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conditions varying in effect size, sample size, number of covariates, and covariate-outcome relationships. Across these data sets we compared nine selection methods: two traditional approaches (no covariates, all covariates) and seven data-driven approaches using covariate screening models (p-hacking, linear models that screen each covariate separately with and without X, linear models that screen all covariates simultaneously with and without X, and LASSO models that screen all covariates simultaneously with and without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2026-04-16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