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40.png" ContentType="image/png"/>
  <Override PartName="/word/media/rId45.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2025-12-03</w:t>
      </w:r>
    </w:p>
    <w:p>
      <w:pPr>
        <w:pStyle w:val="AbstractTitle"/>
      </w:pPr>
      <w:r>
        <w:t xml:space="preserve">Abstract</w:t>
      </w:r>
    </w:p>
    <w:p>
      <w:pPr>
        <w:pStyle w:val="Abstract"/>
      </w:pPr>
      <w:r>
        <w:t xml:space="preserve">Abstract of paper goes here and can span several lines.</w:t>
      </w:r>
    </w:p>
    <w:bookmarkStart w:id="20" w:name="introduction"/>
    <w:p>
      <w:pPr>
        <w:pStyle w:val="Heading1"/>
      </w:pPr>
      <w:r>
        <w:t xml:space="preserve">Introduction</w:t>
      </w:r>
    </w:p>
    <w:p>
      <w:pPr>
        <w:pStyle w:val="FirstParagraph"/>
      </w:pPr>
      <w:r>
        <w:t xml:space="preserve">Psychology researchers are often interested in experimental manipulations as a means of establishing causal relationships between a variable of interest and a psychological outcome. For example, researchers may manipulate treatment conditions to determine whether a new psychotherapy intervention reduces anxiety symptoms.</w:t>
      </w:r>
      <w:r>
        <w:t xml:space="preserve"> </w:t>
      </w:r>
    </w:p>
    <w:p>
      <w:pPr>
        <w:pStyle w:val="BodyText"/>
      </w:pPr>
      <w:r>
        <w:t xml:space="preserve">Valid causal interpretations require adequate statistical power</w:t>
      </w:r>
      <w:r>
        <w:t xml:space="preserve"> </w:t>
      </w:r>
      <w:r>
        <w:t xml:space="preserve">(Cohen 1988, 1992)</w:t>
      </w:r>
      <w:r>
        <w:t xml:space="preserve">. Statistical power is the probability of avoiding a Type II error, or failing to reject the null hypothesis when a true effect exists. The field has increasingly recognized the critical importance of adequately powered studies. Low-powered studies do not replicate well. They have a low probability of finding true effects and when an effect is detected, the magnitude of the effect is often inflated and the likelihood that the finding is a true positive is low</w:t>
      </w:r>
      <w:r>
        <w:t xml:space="preserve"> </w:t>
      </w:r>
      <w:r>
        <w:t xml:space="preserve">(Cohen 1962; Button et al. 2013)</w:t>
      </w:r>
      <w:r>
        <w:t xml:space="preserve">.</w:t>
      </w:r>
    </w:p>
    <w:p>
      <w:pPr>
        <w:pStyle w:val="BodyText"/>
      </w:pPr>
      <w:r>
        <w:t xml:space="preserve">Adding covariates, variables measured at baseline prior to the manipulation, to statistical models has been shown to reduce Type II error by accounting for unexplained variance in the outcome that might otherwise be interpreted as noise</w:t>
      </w:r>
      <w:r>
        <w:t xml:space="preserve"> </w:t>
      </w:r>
      <w:r>
        <w:t xml:space="preserve">(Thompson et al. 2015; Adrián V. Hernández, Steyerberg, and Habbema 2004; Adrián V. Hernández, Eijkemans, and Steyerberg 2006; Kahan et al. 2014; Van Breukelen 2006; Egbewale, Lewis, and Sim 2014)</w:t>
      </w:r>
      <w:r>
        <w:t xml:space="preserve">. In the earlier example, where researchers test whether a new treatment reduces anxiety symptoms, they might consider including a measure of recent stressful life events as a covariate. Stressful events are expected to correlate with anxiety but, if measured after treatment assignment, would not be correlated with the manipulated variable thereby reducing variance in anxiety that is unrelated to the manipulation.</w:t>
      </w:r>
    </w:p>
    <w:p>
      <w:pPr>
        <w:pStyle w:val="BodyText"/>
      </w:pPr>
      <w:r>
        <w:t xml:space="preserve">However, selecting which covariates to include is not straightforward. As a result, researchers have often iterated over their analyses, selectively adding covariates that improve the statistical significance (i.e.,</w:t>
      </w:r>
      <w:r>
        <w:t xml:space="preserve"> </w:t>
      </w:r>
      <w:r>
        <w:rPr>
          <w:i/>
          <w:iCs/>
        </w:rPr>
        <w:t xml:space="preserve">p</w:t>
      </w:r>
      <w:r>
        <w:t xml:space="preserve">-value) of their focal variable. This is a practice known as</w:t>
      </w:r>
      <w:r>
        <w:t xml:space="preserve"> </w:t>
      </w:r>
      <w:r>
        <w:rPr>
          <w:i/>
          <w:iCs/>
        </w:rPr>
        <w:t xml:space="preserve">p</w:t>
      </w:r>
      <w:r>
        <w:t xml:space="preserve">-hacking</w:t>
      </w:r>
      <w:r>
        <w:t xml:space="preserve"> </w:t>
      </w:r>
      <w:r>
        <w:t xml:space="preserve">(Simonsohn, Nelson, and Simmons 2014)</w:t>
      </w:r>
      <w:r>
        <w:t xml:space="preserve">. It is now well-established that this is a statistically invalid method for covariate selection and leads to an increased Type I error rate (i.e., finding significant effects that do not truly exist;</w:t>
      </w:r>
      <w:r>
        <w:t xml:space="preserve"> </w:t>
      </w:r>
      <w:r>
        <w:t xml:space="preserve">(Simmons, Nelson, and Simonsohn 2011; Ioannidis 2005; Schelchter and Forsythe 1985; Beach and Meier 1989)</w:t>
      </w:r>
      <w:r>
        <w:t xml:space="preserve">). These concerns have led to a replication crisis and have prompted increased caution and consideration around researcher decisions in statistical tests.</w:t>
      </w:r>
      <w:r>
        <w:t xml:space="preserve"> </w:t>
      </w:r>
      <w:r>
        <w:t xml:space="preserve"> </w:t>
      </w:r>
      <w:r>
        <w:t xml:space="preserve"> </w:t>
      </w:r>
    </w:p>
    <w:p>
      <w:pPr>
        <w:pStyle w:val="BodyText"/>
      </w:pPr>
      <w:r>
        <w:t xml:space="preserve">While this serves as an example of what not to do, there remains an important question on how covariates should be selected. In light of the serious consequences of</w:t>
      </w:r>
      <w:r>
        <w:t xml:space="preserve"> </w:t>
      </w:r>
      <w:r>
        <w:rPr>
          <w:i/>
          <w:iCs/>
        </w:rPr>
        <w:t xml:space="preserve">p</w:t>
      </w:r>
      <w:r>
        <w:t xml:space="preserve">-hacking, as highlighted by</w:t>
      </w:r>
      <w:r>
        <w:t xml:space="preserve"> </w:t>
      </w:r>
      <w:r>
        <w:t xml:space="preserve">Simmons, Nelson, and Simonsohn (2011)</w:t>
      </w:r>
      <w:r>
        <w:t xml:space="preserve"> </w:t>
      </w:r>
      <w:r>
        <w:t xml:space="preserve">and others, one might conclude that perhaps no covariates should be used. Though, as noted earlier, this would increase the risk of Type II error. Another conclusion might be to use all available covariates that are reasonably believed to account for unexplained variance in the outcome. Each additional covariate, however, reduces degrees of freedom. In psychology, where potential covariates are numerous and often redundant</w:t>
      </w:r>
      <w:r>
        <w:t xml:space="preserve"> </w:t>
      </w:r>
      <w:r>
        <w:t xml:space="preserve">, this can unnecessarily reduce degrees of freedom, again increasing the risk of Type II error.</w:t>
      </w:r>
    </w:p>
    <w:p>
      <w:pPr>
        <w:pStyle w:val="BodyText"/>
      </w:pPr>
      <w:r>
        <w:t xml:space="preserve">It is clear, then, that covariate selection is essential for adequately powered analyses (i.e., those with low Type II error). An optimal covariate selection method will be able to select the covariates that provide the highest increase in power (e.g., covariates highly correlated with the outcome</w:t>
      </w:r>
      <w:r>
        <w:t xml:space="preserve"> </w:t>
      </w:r>
      <w:r>
        <w:t xml:space="preserve">(Kahan et al. 2014)</w:t>
      </w:r>
      <w:r>
        <w:t xml:space="preserve">) with the lowest cost to degrees of freedom (e.g., by including covariates that contribute to unique reductions in variance). Criticially the method of covariate selection must also not nominally inflate the Type I error rate, as occurs with</w:t>
      </w:r>
      <w:r>
        <w:t xml:space="preserve"> </w:t>
      </w:r>
      <w:r>
        <w:rPr>
          <w:i/>
          <w:iCs/>
        </w:rPr>
        <w:t xml:space="preserve">p</w:t>
      </w:r>
      <w:r>
        <w:t xml:space="preserve">-hacking.</w:t>
      </w:r>
    </w:p>
    <w:p>
      <w:pPr>
        <w:pStyle w:val="BodyText"/>
      </w:pPr>
      <w:r>
        <w:t xml:space="preserve">This study aims to provide clear and accessible methods for researchers to select among a set of covariates. Specifically, we conducted 40,000 simulations of nine candidate methods across several research settings. These settings varied in population parameter, sample size, number of available covariates, proportion of good covariates, and the strength of relationships between good covariates and the outcome.</w:t>
      </w:r>
      <w:r>
        <w:t xml:space="preserve"> </w:t>
      </w:r>
      <w:r>
        <w:t xml:space="preserve">We report Type I and Type II error rates for methods that use no covariates, all available covariates, a statistically invalid selection method (</w:t>
      </w:r>
      <w:r>
        <w:rPr>
          <w:i/>
          <w:iCs/>
        </w:rPr>
        <w:t xml:space="preserve">p</w:t>
      </w:r>
      <w:r>
        <w:t xml:space="preserve">-hacking), and three valid selection methods (Pearson correlation, full linear model, and least absolute shrinkage and selection operator [LASSO]) that were each tested with and without controlling for the focal variable.</w:t>
      </w:r>
      <w:r>
        <w:t xml:space="preserve"> </w:t>
      </w:r>
      <w:r>
        <w:t xml:space="preserve">These findings can help researchers determine the optimal covariate selection method for their specific research setting.</w:t>
      </w:r>
    </w:p>
    <w:bookmarkEnd w:id="20"/>
    <w:bookmarkStart w:id="28" w:name="methods"/>
    <w:p>
      <w:pPr>
        <w:pStyle w:val="Heading1"/>
      </w:pPr>
      <w:r>
        <w:t xml:space="preserve">Methods</w:t>
      </w:r>
    </w:p>
    <w:bookmarkStart w:id="23" w:name="covariate-selection-methods"/>
    <w:p>
      <w:pPr>
        <w:pStyle w:val="Heading2"/>
      </w:pPr>
      <w:r>
        <w:t xml:space="preserve">Covariate Selection Methods</w:t>
      </w:r>
    </w:p>
    <w:p>
      <w:pPr>
        <w:pStyle w:val="FirstParagraph"/>
      </w:pPr>
      <w:r>
        <w:t xml:space="preserve">We evaluated nine linear regression models with varying levels and methods of covariate selection. Two models did not use any covariate selection: a linear regression model that used no covariates and a linear regression model that used all available covariates. One model used a statistically invalid method of selecting covariates based on whether they lower the regression p-value (i.e., p-hacking). The remaining six models used three systematic covariate selection methods, selection based on the Pearson correlation coefficient (</w:t>
      </w:r>
      <w:r>
        <w:rPr>
          <w:i/>
          <w:iCs/>
        </w:rPr>
        <w:t xml:space="preserve">r</w:t>
      </w:r>
      <w:r>
        <w:t xml:space="preserve">), a full linear model, and LASSO, controlling for the focal manipulation (i.e.,</w:t>
      </w:r>
      <w:r>
        <w:t xml:space="preserve"> </w:t>
      </w:r>
      <w:r>
        <w:rPr>
          <w:i/>
          <w:iCs/>
        </w:rPr>
        <w:t xml:space="preserve">X</w:t>
      </w:r>
      <w:r>
        <w:t xml:space="preserve">) and without controlling for</w:t>
      </w:r>
      <w:r>
        <w:t xml:space="preserve"> </w:t>
      </w:r>
      <w:r>
        <w:rPr>
          <w:i/>
          <w:iCs/>
        </w:rPr>
        <w:t xml:space="preserve">X</w:t>
      </w:r>
      <w:r>
        <w:t xml:space="preserve">. A summary of the nine models is presented in</w:t>
      </w:r>
      <w:r>
        <w:t xml:space="preserve"> </w:t>
      </w:r>
      <w:hyperlink w:anchor="tbl-methods">
        <w:r>
          <w:rPr>
            <w:rStyle w:val="Hyperlink"/>
          </w:rPr>
          <w:t xml:space="preserve">Table 1</w:t>
        </w:r>
      </w:hyperlink>
      <w:r>
        <w:t xml:space="preserve">.</w:t>
      </w:r>
      <w:r>
        <w:t xml:space="preserve"> </w:t>
      </w:r>
      <w:r>
        <w:t xml:space="preserve"> </w:t>
      </w:r>
      <w:r>
        <w:t xml:space="preserve"> </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start"/>
              <w:spacing w:before="200"/>
              <w:pStyle w:val="ImageCaption"/>
            </w:pPr>
            <w:r>
              <w:t xml:space="preserve">Table 1: The nine linear regression models and their definition for covariate selection.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Method</w:t>
                  </w:r>
                </w:p>
              </w:tc>
              <w:tc>
                <w:tcPr/>
                <w:p>
                  <w:pPr>
                    <w:pStyle w:val="Compact"/>
                    <w:jc w:val="left"/>
                    <w:jc w:val="center"/>
                  </w:pPr>
                  <w:r>
                    <w:t xml:space="preserve">Definition</w:t>
                  </w:r>
                </w:p>
              </w:tc>
            </w:tr>
            <w:tr>
              <w:tc>
                <w:tcPr/>
                <w:p>
                  <w:pPr>
                    <w:pStyle w:val="Compact"/>
                    <w:jc w:val="left"/>
                    <w:jc w:val="center"/>
                  </w:pPr>
                  <w:r>
                    <w:t xml:space="preserve">No covariates</w:t>
                  </w:r>
                </w:p>
              </w:tc>
              <w:tc>
                <w:tcPr/>
                <w:p>
                  <w:pPr>
                    <w:pStyle w:val="Compact"/>
                    <w:jc w:val="left"/>
                    <w:jc w:val="center"/>
                  </w:pPr>
                  <w:r>
                    <w:t xml:space="preserve">Y is regressed on X without any covariates.</w:t>
                  </w:r>
                </w:p>
              </w:tc>
            </w:tr>
            <w:tr>
              <w:tc>
                <w:tcPr/>
                <w:p>
                  <w:pPr>
                    <w:pStyle w:val="Compact"/>
                    <w:jc w:val="left"/>
                    <w:jc w:val="center"/>
                  </w:pPr>
                  <w:r>
                    <w:t xml:space="preserve">All covariates</w:t>
                  </w:r>
                </w:p>
              </w:tc>
              <w:tc>
                <w:tcPr/>
                <w:p>
                  <w:pPr>
                    <w:pStyle w:val="Compact"/>
                    <w:jc w:val="left"/>
                    <w:jc w:val="center"/>
                  </w:pPr>
                  <w:r>
                    <w:t xml:space="preserve">All available covariates are included in the regression model.</w:t>
                  </w:r>
                </w:p>
              </w:tc>
            </w:tr>
            <w:tr>
              <w:tc>
                <w:tcPr/>
                <w:p>
                  <w:pPr>
                    <w:pStyle w:val="Compact"/>
                    <w:jc w:val="left"/>
                    <w:jc w:val="center"/>
                  </w:pPr>
                  <w:r>
                    <w:t xml:space="preserve">P-hacking</w:t>
                  </w:r>
                </w:p>
              </w:tc>
              <w:tc>
                <w:tcPr/>
                <w:p>
                  <w:pPr>
                    <w:pStyle w:val="Compact"/>
                    <w:jc w:val="left"/>
                    <w:jc w:val="center"/>
                  </w:pPr>
                  <w:r>
                    <w:t xml:space="preserve">Unsystematically adding covariates based on whether they lower the p-value of the main effect of X on Y.</w:t>
                  </w:r>
                </w:p>
              </w:tc>
            </w:tr>
            <w:tr>
              <w:tc>
                <w:tcPr/>
                <w:p>
                  <w:pPr>
                    <w:pStyle w:val="Compact"/>
                    <w:jc w:val="left"/>
                    <w:jc w:val="center"/>
                  </w:pPr>
                  <w:r>
                    <w:t xml:space="preserve">Bivariate correlation</w:t>
                  </w:r>
                </w:p>
              </w:tc>
              <w:tc>
                <w:tcPr/>
                <w:p>
                  <w:pPr>
                    <w:pStyle w:val="Compact"/>
                    <w:jc w:val="left"/>
                    <w:jc w:val="center"/>
                  </w:pPr>
                  <w:r>
                    <w:t xml:space="preserve">Pearson correlation coefficient (r) of covariates on Y. Covariates are considered one at a time and included in the final model if they yield a significant effect on Y (p &lt; .05).</w:t>
                  </w:r>
                </w:p>
              </w:tc>
            </w:tr>
            <w:tr>
              <w:tc>
                <w:tcPr/>
                <w:p>
                  <w:pPr>
                    <w:pStyle w:val="Compact"/>
                    <w:jc w:val="left"/>
                    <w:jc w:val="center"/>
                  </w:pPr>
                  <w:r>
                    <w:t xml:space="preserve">Partial correlation</w:t>
                  </w:r>
                </w:p>
              </w:tc>
              <w:tc>
                <w:tcPr/>
                <w:p>
                  <w:pPr>
                    <w:pStyle w:val="Compact"/>
                    <w:jc w:val="left"/>
                    <w:jc w:val="center"/>
                  </w:pPr>
                  <w:r>
                    <w:t xml:space="preserve">Pearson correlation coefficient (r) of covariates on Y while controlling for X. Covariates are considered one at a time and included in the final model if they yield a significant effect on Y (p &lt; .05).</w:t>
                  </w:r>
                </w:p>
              </w:tc>
            </w:tr>
            <w:tr>
              <w:tc>
                <w:tcPr/>
                <w:p>
                  <w:pPr>
                    <w:pStyle w:val="Compact"/>
                    <w:jc w:val="left"/>
                    <w:jc w:val="center"/>
                  </w:pPr>
                  <w:r>
                    <w:t xml:space="preserve">Full linear model</w:t>
                  </w:r>
                </w:p>
              </w:tc>
              <w:tc>
                <w:tcPr/>
                <w:p>
                  <w:pPr>
                    <w:pStyle w:val="Compact"/>
                    <w:jc w:val="left"/>
                    <w:jc w:val="center"/>
                  </w:pPr>
                  <w:r>
                    <w:t xml:space="preserve">A full linear model that regresses Y on all available covariates. Covariates that have a statistically significant effect on Y (p &lt; .05) are retained.</w:t>
                  </w:r>
                </w:p>
              </w:tc>
            </w:tr>
            <w:tr>
              <w:tc>
                <w:tcPr/>
                <w:p>
                  <w:pPr>
                    <w:pStyle w:val="Compact"/>
                    <w:jc w:val="left"/>
                    <w:jc w:val="center"/>
                  </w:pPr>
                  <w:r>
                    <w:t xml:space="preserve">Full linear model with X</w:t>
                  </w:r>
                </w:p>
              </w:tc>
              <w:tc>
                <w:tcPr/>
                <w:p>
                  <w:pPr>
                    <w:pStyle w:val="Compact"/>
                    <w:jc w:val="left"/>
                    <w:jc w:val="center"/>
                  </w:pPr>
                  <w:r>
                    <w:t xml:space="preserve">A full linear model that regresses Y on all available covariates and X. Covariates that have a statistically significant effect on Y (p &lt; .05) when controlling for X are retained.</w:t>
                  </w:r>
                </w:p>
              </w:tc>
            </w:tr>
            <w:tr>
              <w:tc>
                <w:tcPr/>
                <w:p>
                  <w:pPr>
                    <w:pStyle w:val="Compact"/>
                    <w:jc w:val="left"/>
                    <w:jc w:val="center"/>
                  </w:pPr>
                  <w:r>
                    <w:t xml:space="preserve">LASSO</w:t>
                  </w:r>
                </w:p>
              </w:tc>
              <w:tc>
                <w:tcPr/>
                <w:p>
                  <w:pPr>
                    <w:pStyle w:val="Compact"/>
                    <w:jc w:val="left"/>
                    <w:jc w:val="center"/>
                  </w:pPr>
                  <w:r>
                    <w:t xml:space="preserve">A linear model that regresses Y on all available covariates and applies a penalty to shrink coefficients for less important covariates, potentially dropping them altogether (i.e., coefficient of 0). Covariates with non-zero coefficients were retained.</w:t>
                  </w:r>
                </w:p>
              </w:tc>
            </w:tr>
            <w:tr>
              <w:tc>
                <w:tcPr/>
                <w:p>
                  <w:pPr>
                    <w:pStyle w:val="Compact"/>
                    <w:jc w:val="left"/>
                    <w:jc w:val="center"/>
                  </w:pPr>
                  <w:r>
                    <w:t xml:space="preserve">LASSO with X</w:t>
                  </w:r>
                </w:p>
              </w:tc>
              <w:tc>
                <w:tcPr/>
                <w:p>
                  <w:pPr>
                    <w:pStyle w:val="Compact"/>
                    <w:jc w:val="left"/>
                    <w:jc w:val="center"/>
                  </w:pPr>
                  <w:r>
                    <w:t xml:space="preserve">A linear model that regresses Y on all available covariates and applies a penalty to shrink coefficients for less important covariates. We assigned a 0 penalty to X to retain it in the model. Covariates with non-zero coefficients when controlling for X were retained.</w:t>
                  </w: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settings"/>
    <w:p>
      <w:pPr>
        <w:pStyle w:val="Heading2"/>
      </w:pPr>
      <w:r>
        <w:t xml:space="preserve">Research Settings</w:t>
      </w:r>
    </w:p>
    <w:p>
      <w:pPr>
        <w:pStyle w:val="FirstParagraph"/>
      </w:pPr>
      <w:r>
        <w:t xml:space="preserve">We manipulated several variables designed to mimic varying research settings that psychology researchers might be working in. We crossed all levels of each variable to create a total of 540 unique research settings. A summary of these settings is presented in</w:t>
      </w:r>
      <w:r>
        <w:t xml:space="preserve"> </w:t>
      </w:r>
      <w:hyperlink w:anchor="tbl-dictionary">
        <w:r>
          <w:rPr>
            <w:rStyle w:val="Hyperlink"/>
          </w:rPr>
          <w:t xml:space="preserve">Table 2</w:t>
        </w:r>
      </w:hyperlink>
      <w:r>
        <w:t xml:space="preserve">. The variables include:</w:t>
      </w:r>
    </w:p>
    <w:p>
      <w:pPr>
        <w:numPr>
          <w:ilvl w:val="0"/>
          <w:numId w:val="1001"/>
        </w:numPr>
      </w:pPr>
      <w:r>
        <w:t xml:space="preserve">The true population parameter for X. We selected values that represent null (</w:t>
      </w:r>
      <m:oMath>
        <m:sSub>
          <m:e>
            <m:r>
              <m:t>b</m:t>
            </m:r>
          </m:e>
          <m:sub>
            <m:r>
              <m:t>x</m:t>
            </m:r>
          </m:sub>
        </m:sSub>
        <m:r>
          <m:rPr>
            <m:sty m:val="p"/>
          </m:rPr>
          <m:t>=</m:t>
        </m:r>
        <m:r>
          <m:t>0</m:t>
        </m:r>
      </m:oMath>
      <w:r>
        <w:t xml:space="preserve">), medium (</w:t>
      </w:r>
      <m:oMath>
        <m:sSub>
          <m:e>
            <m:r>
              <m:t>b</m:t>
            </m:r>
          </m:e>
          <m:sub>
            <m:r>
              <m:t>x</m:t>
            </m:r>
          </m:sub>
        </m:sSub>
        <m:r>
          <m:rPr>
            <m:sty m:val="p"/>
          </m:rPr>
          <m:t>=</m:t>
        </m:r>
        <m:r>
          <m:t>0.3</m:t>
        </m:r>
      </m:oMath>
      <w:r>
        <w:t xml:space="preserve">) and large (</w:t>
      </w:r>
      <m:oMath>
        <m:sSub>
          <m:e>
            <m:r>
              <m:t>b</m:t>
            </m:r>
          </m:e>
          <m:sub>
            <m:r>
              <m:t>x</m:t>
            </m:r>
          </m:sub>
        </m:sSub>
        <m:r>
          <m:rPr>
            <m:sty m:val="p"/>
          </m:rPr>
          <m:t>=</m:t>
        </m:r>
        <m:r>
          <m:t>0.5</m:t>
        </m:r>
      </m:oMath>
      <w:r>
        <w:t xml:space="preserve">) effect sizes.</w:t>
      </w:r>
      <w:r>
        <w:t xml:space="preserve"> </w:t>
      </w:r>
    </w:p>
    <w:p>
      <w:pPr>
        <w:numPr>
          <w:ilvl w:val="0"/>
          <w:numId w:val="1001"/>
        </w:numPr>
      </w:pPr>
      <w:r>
        <w:t xml:space="preserve">The sample size. We chose values for the number of observations that pertain to common sample sizes in experimental research: 50, 100, 150, 200, 300, and 400 observations.</w:t>
      </w:r>
    </w:p>
    <w:p>
      <w:pPr>
        <w:numPr>
          <w:ilvl w:val="0"/>
          <w:numId w:val="1001"/>
        </w:numPr>
      </w:pPr>
      <w:r>
        <w:t xml:space="preserve">The number of covariates available. We selected a wide range of possible scenarios: 4, 8, 12, 16, or 20 covariates.</w:t>
      </w:r>
    </w:p>
    <w:p>
      <w:pPr>
        <w:numPr>
          <w:ilvl w:val="0"/>
          <w:numId w:val="1001"/>
        </w:numPr>
      </w:pPr>
      <w:r>
        <w:t xml:space="preserve">The proportion of</w:t>
      </w:r>
      <w:r>
        <w:t xml:space="preserve"> </w:t>
      </w:r>
      <w:r>
        <w:t xml:space="preserve">“good”</w:t>
      </w:r>
      <w:r>
        <w:t xml:space="preserve"> </w:t>
      </w:r>
      <w:r>
        <w:t xml:space="preserve">covariates. We used varying proportions of good covariates across research settings (.25, .50, and .75) to represent a common reality when a researcher is faced with many covariates, but only some may be related to their outcome.</w:t>
      </w:r>
      <w:r>
        <w:t xml:space="preserve"> </w:t>
      </w:r>
    </w:p>
    <w:p>
      <w:pPr>
        <w:numPr>
          <w:ilvl w:val="0"/>
          <w:numId w:val="1001"/>
        </w:numPr>
      </w:pPr>
      <w:r>
        <w:t xml:space="preserve">The strength of the relationship between the good covariates and Y. All good covariates were given a moderate and large relationship to</w:t>
      </w:r>
      <w:r>
        <w:t xml:space="preserve"> </w:t>
      </w:r>
      <w:r>
        <w:rPr>
          <w:i/>
          <w:iCs/>
        </w:rPr>
        <w:t xml:space="preserve">Y</w:t>
      </w:r>
      <w:r>
        <w:t xml:space="preserve">, correlations of 0.3 and 0.5, respectively. Since these good covariates are all correlated with</w:t>
      </w:r>
      <w:r>
        <w:t xml:space="preserve"> </w:t>
      </w:r>
      <w:r>
        <w:rPr>
          <w:i/>
          <w:iCs/>
        </w:rPr>
        <w:t xml:space="preserve">Y</w:t>
      </w:r>
      <w:r>
        <w:t xml:space="preserve">, it is likeley they are also correlated with each other. Therefore we assigned a moderate 0.3 correlation for all relationships among good covariates.</w:t>
      </w:r>
      <w:r>
        <w:t xml:space="preserve"> </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start"/>
              <w:spacing w:before="200"/>
              <w:pStyle w:val="ImageCaption"/>
            </w:pPr>
            <w:r>
              <w:t xml:space="preserve">Table 2: Research setting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Setting Variable</w:t>
                  </w:r>
                </w:p>
              </w:tc>
              <w:tc>
                <w:tcPr/>
                <w:p>
                  <w:pPr>
                    <w:pStyle w:val="Compact"/>
                    <w:jc w:val="left"/>
                    <w:jc w:val="center"/>
                  </w:pPr>
                  <w:r>
                    <w:t xml:space="preserve">Values</w:t>
                  </w:r>
                </w:p>
              </w:tc>
            </w:tr>
            <w:tr>
              <w:tc>
                <w:tcPr/>
                <w:p>
                  <w:pPr>
                    <w:pStyle w:val="Compact"/>
                    <w:jc w:val="left"/>
                    <w:jc w:val="center"/>
                  </w:pPr>
                  <w:r>
                    <w:t xml:space="preserve">The population parameter for X</w:t>
                  </w:r>
                </w:p>
              </w:tc>
              <w:tc>
                <w:tcPr/>
                <w:p>
                  <w:pPr>
                    <w:pStyle w:val="Compact"/>
                    <w:jc w:val="left"/>
                    <w:jc w:val="center"/>
                  </w:pPr>
                  <w:r>
                    <w:t xml:space="preserve">0, 0.3, 0.5</w:t>
                  </w:r>
                </w:p>
              </w:tc>
            </w:tr>
            <w:tr>
              <w:tc>
                <w:tcPr/>
                <w:p>
                  <w:pPr>
                    <w:pStyle w:val="Compact"/>
                    <w:jc w:val="left"/>
                    <w:jc w:val="center"/>
                  </w:pPr>
                  <w:r>
                    <w:t xml:space="preserve">The number of observations in the sample</w:t>
                  </w:r>
                </w:p>
              </w:tc>
              <w:tc>
                <w:tcPr/>
                <w:p>
                  <w:pPr>
                    <w:pStyle w:val="Compact"/>
                    <w:jc w:val="left"/>
                    <w:jc w:val="center"/>
                  </w:pPr>
                  <w:r>
                    <w:t xml:space="preserve">50, 100, 150, 200, 300, 400</w:t>
                  </w:r>
                </w:p>
              </w:tc>
            </w:tr>
            <w:tr>
              <w:tc>
                <w:tcPr/>
                <w:p>
                  <w:pPr>
                    <w:pStyle w:val="Compact"/>
                    <w:jc w:val="left"/>
                    <w:jc w:val="center"/>
                  </w:pPr>
                  <w:r>
                    <w:t xml:space="preserve">The number of covariates</w:t>
                  </w:r>
                </w:p>
              </w:tc>
              <w:tc>
                <w:tcPr/>
                <w:p>
                  <w:pPr>
                    <w:pStyle w:val="Compact"/>
                    <w:jc w:val="left"/>
                    <w:jc w:val="center"/>
                  </w:pPr>
                  <w:r>
                    <w:t xml:space="preserve">4, 8, 12, 16, 20</w:t>
                  </w:r>
                </w:p>
              </w:tc>
            </w:tr>
            <w:tr>
              <w:tc>
                <w:tcPr/>
                <w:p>
                  <w:pPr>
                    <w:pStyle w:val="Compact"/>
                    <w:jc w:val="left"/>
                    <w:jc w:val="center"/>
                  </w:pPr>
                  <w:r>
                    <w:t xml:space="preserve">The proportion of "good" covariates</w:t>
                  </w:r>
                </w:p>
              </w:tc>
              <w:tc>
                <w:tcPr/>
                <w:p>
                  <w:pPr>
                    <w:pStyle w:val="Compact"/>
                    <w:jc w:val="left"/>
                    <w:jc w:val="center"/>
                  </w:pPr>
                  <w:r>
                    <w:t xml:space="preserve">0.25, 0.50, 0.75</w:t>
                  </w:r>
                </w:p>
              </w:tc>
            </w:tr>
            <w:tr>
              <w:tc>
                <w:tcPr/>
                <w:p>
                  <w:pPr>
                    <w:pStyle w:val="Compact"/>
                    <w:jc w:val="left"/>
                    <w:jc w:val="center"/>
                  </w:pPr>
                  <w:r>
                    <w:t xml:space="preserve">The correlation between Y and good covariates</w:t>
                  </w:r>
                </w:p>
              </w:tc>
              <w:tc>
                <w:tcPr/>
                <w:p>
                  <w:pPr>
                    <w:pStyle w:val="Compact"/>
                    <w:jc w:val="left"/>
                    <w:jc w:val="center"/>
                  </w:pPr>
                  <w:r>
                    <w:t xml:space="preserve">0.3, 0.5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27" w:name="data-analytic-plan"/>
    <w:p>
      <w:pPr>
        <w:pStyle w:val="Heading2"/>
      </w:pPr>
      <w:r>
        <w:t xml:space="preserve">Data Analytic Plan</w:t>
      </w:r>
    </w:p>
    <w:p>
      <w:pPr>
        <w:pStyle w:val="FirstParagraph"/>
      </w:pPr>
      <w:r>
        <w:t xml:space="preserve">All data analyses were done in R (version 4.4.2).</w:t>
      </w:r>
      <w:r>
        <w:t xml:space="preserve"> </w:t>
      </w:r>
      <w:r>
        <w:t xml:space="preserve">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ran 40,000 simulations for each research setting. Within each simulation we generated a unique datset that consisted of a dichotomous focal variable (</w:t>
      </w:r>
      <w:r>
        <w:rPr>
          <w:i/>
          <w:iCs/>
        </w:rPr>
        <w:t xml:space="preserve">X</w:t>
      </w:r>
      <w:r>
        <w:t xml:space="preserve">), varying numbers of quantitative covariates, where a subset are correlated with each other and with</w:t>
      </w:r>
      <w:r>
        <w:t xml:space="preserve"> </w:t>
      </w:r>
      <w:r>
        <w:rPr>
          <w:i/>
          <w:iCs/>
        </w:rPr>
        <w:t xml:space="preserve">Y</w:t>
      </w:r>
      <w:r>
        <w:t xml:space="preserve"> </w:t>
      </w:r>
      <w:r>
        <w:t xml:space="preserve">(see Research Settings section), and a quantitative outcome (</w:t>
      </w:r>
      <w:r>
        <w:rPr>
          <w:i/>
          <w:iCs/>
        </w:rPr>
        <w:t xml:space="preserve">Y</w:t>
      </w:r>
      <w:r>
        <w:t xml:space="preserve">) calculated by adding the</w:t>
      </w:r>
      <w:r>
        <w:t xml:space="preserve"> </w:t>
      </w:r>
      <w:r>
        <w:rPr>
          <w:i/>
          <w:iCs/>
        </w:rPr>
        <w:t xml:space="preserve">X</w:t>
      </w:r>
      <w:r>
        <w:t xml:space="preserve"> </w:t>
      </w:r>
      <w:r>
        <w:t xml:space="preserve">variable multiplied by the effect size (i.e., population parameter) to the</w:t>
      </w:r>
      <w:r>
        <w:t xml:space="preserve"> </w:t>
      </w:r>
      <w:r>
        <w:rPr>
          <w:i/>
          <w:iCs/>
        </w:rPr>
        <w:t xml:space="preserve">Y</w:t>
      </w:r>
      <w:r>
        <w:t xml:space="preserve"> </w:t>
      </w:r>
      <w:r>
        <w:t xml:space="preserve">generated from the correlation matrix with the covariates. We fit models from our nine methods on each simulated dataset. From each model we saved out the parameter estimate, standard error, and p-value for</w:t>
      </w:r>
      <w:r>
        <w:t xml:space="preserve"> </w:t>
      </w:r>
      <w:r>
        <w:rPr>
          <w:i/>
          <w:iCs/>
        </w:rPr>
        <w:t xml:space="preserve">X</w:t>
      </w:r>
      <w:r>
        <w:t xml:space="preserve">. We also calculated true and false positive rates to evaluate the rate at which the model selected covariates correlated with</w:t>
      </w:r>
      <w:r>
        <w:t xml:space="preserve"> </w:t>
      </w:r>
      <w:r>
        <w:rPr>
          <w:i/>
          <w:iCs/>
        </w:rPr>
        <w:t xml:space="preserve">Y</w:t>
      </w:r>
      <w:r>
        <w:t xml:space="preserve"> </w:t>
      </w:r>
      <w:r>
        <w:t xml:space="preserve">(i.e., percentage of good covariates selected) and incorrectly selected covariates not correlated with</w:t>
      </w:r>
      <w:r>
        <w:t xml:space="preserve"> </w:t>
      </w:r>
      <w:r>
        <w:rPr>
          <w:i/>
          <w:iCs/>
        </w:rPr>
        <w:t xml:space="preserve">Y</w:t>
      </w:r>
      <w:r>
        <w:t xml:space="preserve"> </w:t>
      </w:r>
      <w:r>
        <w:t xml:space="preserve">(i.e., percentage of bad covariates selected).</w:t>
      </w:r>
      <w:r>
        <w:t xml:space="preserve"> </w:t>
      </w:r>
      <w:r>
        <w:t xml:space="preserve"> </w:t>
      </w:r>
    </w:p>
    <w:p>
      <w:pPr>
        <w:pStyle w:val="BodyText"/>
      </w:pPr>
      <w:r>
        <w:t xml:space="preserve">For research settings where the population parameter for</w:t>
      </w:r>
      <w:r>
        <w:t xml:space="preserve"> </w:t>
      </w:r>
      <w:r>
        <w:rPr>
          <w:i/>
          <w:iCs/>
        </w:rPr>
        <w:t xml:space="preserve">X</w:t>
      </w:r>
      <w:r>
        <w:t xml:space="preserve"> </w:t>
      </w:r>
      <w:r>
        <w:t xml:space="preserve">is 0 (i.e.,</w:t>
      </w:r>
      <w:r>
        <w:t xml:space="preserve"> </w:t>
      </w:r>
      <w:r>
        <w:rPr>
          <w:i/>
          <w:iCs/>
        </w:rPr>
        <w:t xml:space="preserve">X</w:t>
      </w:r>
      <w:r>
        <w:t xml:space="preserve"> </w:t>
      </w:r>
      <w:r>
        <w:t xml:space="preserve">has no effect on</w:t>
      </w:r>
      <w:r>
        <w:t xml:space="preserve"> </w:t>
      </w:r>
      <w:r>
        <w:rPr>
          <w:i/>
          <w:iCs/>
        </w:rPr>
        <w:t xml:space="preserve">Y</w:t>
      </w:r>
      <w:r>
        <w:t xml:space="preserve">), we report the Type I error rate for each method both across and within research settings. For research settings where the population parameter for</w:t>
      </w:r>
      <w:r>
        <w:t xml:space="preserve"> </w:t>
      </w:r>
      <w:r>
        <w:rPr>
          <w:i/>
          <w:iCs/>
        </w:rPr>
        <w:t xml:space="preserve">X</w:t>
      </w:r>
      <w:r>
        <w:t xml:space="preserve"> </w:t>
      </w:r>
      <w:r>
        <w:t xml:space="preserve">is 0.3 or 0.5 (i.e.,</w:t>
      </w:r>
      <w:r>
        <w:t xml:space="preserve"> </w:t>
      </w:r>
      <w:r>
        <w:rPr>
          <w:i/>
          <w:iCs/>
        </w:rPr>
        <w:t xml:space="preserve">X</w:t>
      </w:r>
      <w:r>
        <w:t xml:space="preserve"> </w:t>
      </w:r>
      <w:r>
        <w:t xml:space="preserve">has an effect on</w:t>
      </w:r>
      <w:r>
        <w:t xml:space="preserve"> </w:t>
      </w:r>
      <w:r>
        <w:rPr>
          <w:i/>
          <w:iCs/>
        </w:rPr>
        <w:t xml:space="preserve">Y</w:t>
      </w:r>
      <w:r>
        <w:t xml:space="preserve">), we report the Type II error rate for each method across and within research settings. We also provide sampling distributions of the parameter estimate for</w:t>
      </w:r>
      <w:r>
        <w:t xml:space="preserve"> </w:t>
      </w:r>
      <w:r>
        <w:rPr>
          <w:i/>
          <w:iCs/>
        </w:rPr>
        <w:t xml:space="preserve">X</w:t>
      </w:r>
      <w:r>
        <w:t xml:space="preserve"> </w:t>
      </w:r>
      <w:r>
        <w:t xml:space="preserve">across research settings for each method, separately by true effect size (0, 0.3, and 0.5). Detailed tables of range and average error rates for each research setting and true and false positive rates for covariates are available in the supplement.</w:t>
      </w:r>
    </w:p>
    <w:bookmarkEnd w:id="27"/>
    <w:bookmarkEnd w:id="28"/>
    <w:bookmarkStart w:id="54" w:name="results"/>
    <w:p>
      <w:pPr>
        <w:pStyle w:val="Heading1"/>
      </w:pPr>
      <w:r>
        <w:t xml:space="preserve">Results</w:t>
      </w:r>
    </w:p>
    <w:bookmarkStart w:id="39" w:name="type-i-error"/>
    <w:p>
      <w:pPr>
        <w:pStyle w:val="Heading2"/>
      </w:pPr>
      <w:r>
        <w:t xml:space="preserve">Type I Error</w:t>
      </w:r>
    </w:p>
    <w:p>
      <w:pPr>
        <w:pStyle w:val="FirstParagraph"/>
      </w:pPr>
      <w:r>
        <w:t xml:space="preserve">Since this is simulation study, we were able to set the true population parameter for</w:t>
      </w:r>
      <w:r>
        <w:t xml:space="preserve"> </w:t>
      </w:r>
      <w:r>
        <w:rPr>
          <w:i/>
          <w:iCs/>
        </w:rPr>
        <w:t xml:space="preserve">X</w:t>
      </w:r>
      <w:r>
        <w:t xml:space="preserve"> </w:t>
      </w:r>
      <w:r>
        <w:t xml:space="preserve">to be zero (i.e.,</w:t>
      </w:r>
      <w:r>
        <w:t xml:space="preserve"> </w:t>
      </w:r>
      <m:oMath>
        <m:sSub>
          <m:e>
            <m:r>
              <m:t>b</m:t>
            </m:r>
          </m:e>
          <m:sub>
            <m:r>
              <m:t>x</m:t>
            </m:r>
          </m:sub>
        </m:sSub>
        <m:r>
          <m:rPr>
            <m:sty m:val="p"/>
          </m:rPr>
          <m:t>=</m:t>
        </m:r>
        <m:r>
          <m:t>0</m:t>
        </m:r>
      </m:oMath>
      <w:r>
        <w:t xml:space="preserve">). Therefore, any significant result found was a Type I error.</w:t>
      </w:r>
      <w:r>
        <w:t xml:space="preserve"> </w:t>
      </w:r>
      <w:hyperlink w:anchor="fig-bar-1">
        <w:r>
          <w:rPr>
            <w:rStyle w:val="Hyperlink"/>
          </w:rPr>
          <w:t xml:space="preserve">Figure 1</w:t>
        </w:r>
      </w:hyperlink>
      <w:r>
        <w:t xml:space="preserve"> </w:t>
      </w:r>
      <w:r>
        <w:t xml:space="preserve">shows the average Type I error rate across all research settings for each method. The p-hacking method for selecting covariates, unsurprisingly led to a highly inflated Type I error rate, consistent with the extant research published in the last several years on the connection between researcher degrees of freedom and false positives. Most other methods remained around the expected .05 threshold. There was some elevation in Type I errors for methods that controlled for</w:t>
      </w:r>
      <w:r>
        <w:t xml:space="preserve"> </w:t>
      </w:r>
      <w:r>
        <w:rPr>
          <w:i/>
          <w:iCs/>
        </w:rPr>
        <w:t xml:space="preserve">X</w:t>
      </w:r>
      <w:r>
        <w:t xml:space="preserve"> </w:t>
      </w:r>
      <w:r>
        <w:t xml:space="preserve">compared to those, however, it is not clear that these differences are substantial.</w:t>
      </w:r>
    </w:p>
    <w:tbl>
      <w:tblPr>
        <w:tblStyle w:val="Table"/>
        <w:tblW w:type="pct" w:w="5000"/>
        <w:tblLayout w:type="fixed"/>
        <w:tblLook w:firstRow="0" w:lastRow="0" w:firstColumn="0" w:lastColumn="0" w:noHBand="0" w:noVBand="0" w:val="0000"/>
      </w:tblPr>
      <w:tblGrid>
        <w:gridCol w:w="7920"/>
      </w:tblGrid>
      <w:tr>
        <w:tc>
          <w:tcPr/>
          <w:bookmarkStart w:id="32" w:name="fig-bar-1"/>
          <w:p>
            <w:pPr>
              <w:pStyle w:val="Compact"/>
              <w:jc w:val="center"/>
            </w:pPr>
            <w:r>
              <w:drawing>
                <wp:inline>
                  <wp:extent cx="5334000" cy="3048000"/>
                  <wp:effectExtent b="0" l="0" r="0" t="0"/>
                  <wp:docPr descr="" title="" id="30" name="Picture"/>
                  <a:graphic>
                    <a:graphicData uri="http://schemas.openxmlformats.org/drawingml/2006/picture">
                      <pic:pic>
                        <pic:nvPicPr>
                          <pic:cNvPr descr="index_files/figure-docx/notebooks-mak_figures-fig-bar-1-output-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Type I Error by Method. Average type I error rate across all research contexts is displayed for each method separately by color. A priori selection methods are on the left, data-driven selection methods are on the right. Striped shading indicates data-driven selection methods that do not control for X.</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Figures for Main Manuscript</w:t>
        </w:r>
      </w:hyperlink>
    </w:p>
    <w:p>
      <w:pPr>
        <w:pStyle w:val="BodyText"/>
      </w:pPr>
      <w:r>
        <w:t xml:space="preserve">We assessed Type I error by individual research setting and found several patterns (</w:t>
      </w:r>
      <w:hyperlink w:anchor="fig-type1-panel">
        <w:r>
          <w:rPr>
            <w:rStyle w:val="Hyperlink"/>
          </w:rPr>
          <w:t xml:space="preserve">Figure 2</w:t>
        </w:r>
      </w:hyperlink>
      <w:r>
        <w:t xml:space="preserve">). First, small sample sizes are more susceptible to inflated Type I error rates when using covariate selection methods that control for</w:t>
      </w:r>
      <w:r>
        <w:t xml:space="preserve"> </w:t>
      </w:r>
      <w:r>
        <w:rPr>
          <w:i/>
          <w:iCs/>
        </w:rPr>
        <w:t xml:space="preserve">X</w:t>
      </w:r>
      <w:r>
        <w:t xml:space="preserve">. As sample sizes get larger (i.e.,</w:t>
      </w:r>
      <w:r>
        <w:t xml:space="preserve"> </w:t>
      </w:r>
      <w:r>
        <w:rPr>
          <w:i/>
          <w:iCs/>
        </w:rPr>
        <w:t xml:space="preserve">n</w:t>
      </w:r>
      <w:r>
        <w:t xml:space="preserve"> </w:t>
      </w:r>
      <w:r>
        <w:t xml:space="preserve">= 300), the methods become comparable. Second, as the number of available covariates to select from increases, Type I error rate increases for covariate selection methods that control for</w:t>
      </w:r>
      <w:r>
        <w:t xml:space="preserve"> </w:t>
      </w:r>
      <w:r>
        <w:rPr>
          <w:i/>
          <w:iCs/>
        </w:rPr>
        <w:t xml:space="preserve">X</w:t>
      </w:r>
      <w:r>
        <w:t xml:space="preserve">, such as a full linear model with</w:t>
      </w:r>
      <w:r>
        <w:t xml:space="preserve"> </w:t>
      </w:r>
      <w:r>
        <w:rPr>
          <w:i/>
          <w:iCs/>
        </w:rPr>
        <w:t xml:space="preserve">X</w:t>
      </w:r>
      <w:r>
        <w:t xml:space="preserve"> </w:t>
      </w:r>
      <w:r>
        <w:t xml:space="preserve">and LASSO with</w:t>
      </w:r>
      <w:r>
        <w:t xml:space="preserve"> </w:t>
      </w:r>
      <w:r>
        <w:rPr>
          <w:i/>
          <w:iCs/>
        </w:rPr>
        <w:t xml:space="preserve">X</w:t>
      </w:r>
      <w:r>
        <w:t xml:space="preserve">, and to a lesser degree partial correlation. Third, there appeared to be no definitive pattern in Type I error rate as the proportion of good covariates increased</w:t>
      </w:r>
      <w:r>
        <w:t xml:space="preserve">. Similarly we did not see changes in Type I error rate as function of the correlation strength between covariates and</w:t>
      </w:r>
      <w:r>
        <w:t xml:space="preserve"> </w:t>
      </w:r>
      <w:r>
        <w:rPr>
          <w:i/>
          <w:iCs/>
        </w:rPr>
        <w:t xml:space="preserve">Y</w:t>
      </w:r>
      <w:r>
        <w:t xml:space="preserve">.</w:t>
      </w:r>
    </w:p>
    <w:tbl>
      <w:tblPr>
        <w:tblStyle w:val="Table"/>
        <w:tblW w:type="pct" w:w="5000"/>
        <w:tblLayout w:type="fixed"/>
        <w:tblLook w:firstRow="0" w:lastRow="0" w:firstColumn="0" w:lastColumn="0" w:noHBand="0" w:noVBand="0" w:val="0000"/>
      </w:tblPr>
      <w:tblGrid>
        <w:gridCol w:w="7920"/>
      </w:tblGrid>
      <w:tr>
        <w:tc>
          <w:tcPr/>
          <w:bookmarkStart w:id="37" w:name="fig-type1-panel"/>
          <w:p>
            <w:pPr>
              <w:pStyle w:val="Compact"/>
              <w:jc w:val="center"/>
            </w:pPr>
            <w:r>
              <w:drawing>
                <wp:inline>
                  <wp:extent cx="5334000" cy="4000499"/>
                  <wp:effectExtent b="0" l="0" r="0" t="0"/>
                  <wp:docPr descr="" title="" id="35" name="Picture"/>
                  <a:graphic>
                    <a:graphicData uri="http://schemas.openxmlformats.org/drawingml/2006/picture">
                      <pic:pic>
                        <pic:nvPicPr>
                          <pic:cNvPr descr="index_files/figure-docx/notebooks-mak_figures-fig-type1-panel-output-1.png" id="36" name="Picture"/>
                          <pic:cNvPicPr>
                            <a:picLocks noChangeArrowheads="1" noChangeAspect="1"/>
                          </pic:cNvPicPr>
                        </pic:nvPicPr>
                        <pic:blipFill>
                          <a:blip r:embed="rId3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Type I error by method and research context. Plots are paneled by aspects of the research context (number of observations, number of covariates, proportion of good covariates, and Y-covariate correlation strength). Methods are displayed separately by color. Data-driven correlation selection methods that control for X are depicted as dashed lines.</w:t>
            </w:r>
          </w:p>
          <w:bookmarkEnd w:id="37"/>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Figures for Main Manuscript</w:t>
        </w:r>
      </w:hyperlink>
    </w:p>
    <w:bookmarkEnd w:id="39"/>
    <w:bookmarkStart w:id="50" w:name="type-ii-error"/>
    <w:p>
      <w:pPr>
        <w:pStyle w:val="Heading2"/>
      </w:pPr>
      <w:r>
        <w:t xml:space="preserve">Type II Error</w:t>
      </w:r>
    </w:p>
    <w:p>
      <w:pPr>
        <w:pStyle w:val="FirstParagraph"/>
      </w:pPr>
      <w:r>
        <w:t xml:space="preserve">We simulated datasets with two possible population parameters for the effect of</w:t>
      </w:r>
      <w:r>
        <w:t xml:space="preserve"> </w:t>
      </w:r>
      <w:r>
        <w:rPr>
          <w:i/>
          <w:iCs/>
        </w:rPr>
        <w:t xml:space="preserve">X</w:t>
      </w:r>
      <w:r>
        <w:t xml:space="preserve"> </w:t>
      </w:r>
      <w:r>
        <w:t xml:space="preserve">on</w:t>
      </w:r>
      <w:r>
        <w:t xml:space="preserve"> </w:t>
      </w:r>
      <w:r>
        <w:rPr>
          <w:i/>
          <w:iCs/>
        </w:rPr>
        <w:t xml:space="preserve">Y</w:t>
      </w:r>
      <w:r>
        <w:t xml:space="preserve"> </w:t>
      </w:r>
      <w:r>
        <w:t xml:space="preserve">(</w:t>
      </w:r>
      <m:oMath>
        <m:sSub>
          <m:e>
            <m:r>
              <m:t>b</m:t>
            </m:r>
          </m:e>
          <m:sub>
            <m:r>
              <m:t>x</m:t>
            </m:r>
          </m:sub>
        </m:sSub>
        <m:r>
          <m:rPr>
            <m:sty m:val="p"/>
          </m:rPr>
          <m:t>=</m:t>
        </m:r>
        <m:r>
          <m:t>0.3</m:t>
        </m:r>
      </m:oMath>
      <w:r>
        <w:t xml:space="preserve">,</w:t>
      </w:r>
      <w:r>
        <w:t xml:space="preserve"> </w:t>
      </w:r>
      <m:oMath>
        <m:sSub>
          <m:e>
            <m:r>
              <m:t>b</m:t>
            </m:r>
          </m:e>
          <m:sub>
            <m:r>
              <m:t>x</m:t>
            </m:r>
          </m:sub>
        </m:sSub>
        <m:r>
          <m:rPr>
            <m:sty m:val="p"/>
          </m:rPr>
          <m:t>=</m:t>
        </m:r>
        <m:r>
          <m:t>0.5</m:t>
        </m:r>
      </m:oMath>
      <w:r>
        <w:t xml:space="preserve">). Any non-significant result found indicated a Type II error. Stronger statistical methods will have lower Type II error (implying greater statistical power). Since we demonstrated that p-hacking substantially inflates Type I error, making it a statistically invalid method for covariate selection, we do not evaluate Type II Error for this method.</w:t>
      </w:r>
    </w:p>
    <w:p>
      <w:pPr>
        <w:pStyle w:val="BodyText"/>
      </w:pPr>
      <w:hyperlink w:anchor="fig-bar-2">
        <w:r>
          <w:rPr>
            <w:rStyle w:val="Hyperlink"/>
          </w:rPr>
          <w:t xml:space="preserve">Figure 3</w:t>
        </w:r>
      </w:hyperlink>
      <w:r>
        <w:t xml:space="preserve"> </w:t>
      </w:r>
      <w:r>
        <w:t xml:space="preserve">shows the average Type II error rate across all research settings for each method. Using no covariates results in the highest Type II error highlighting the importance of covariates for detecting true effects. Type II error rates trended lower for covariate selection methods that controlled for</w:t>
      </w:r>
      <w:r>
        <w:t xml:space="preserve"> </w:t>
      </w:r>
      <w:r>
        <w:rPr>
          <w:i/>
          <w:iCs/>
        </w:rPr>
        <w:t xml:space="preserve">X</w:t>
      </w:r>
      <w:r>
        <w:t xml:space="preserve"> </w:t>
      </w:r>
      <w:r>
        <w:t xml:space="preserve">compared to those that did not control for</w:t>
      </w:r>
      <w:r>
        <w:t xml:space="preserve"> </w:t>
      </w:r>
      <w:r>
        <w:rPr>
          <w:i/>
          <w:iCs/>
        </w:rPr>
        <w:t xml:space="preserve">X</w:t>
      </w:r>
      <w:r>
        <w:t xml:space="preserve">.</w:t>
      </w:r>
      <w:r>
        <w:t xml:space="preserve"> </w:t>
      </w:r>
    </w:p>
    <w:tbl>
      <w:tblPr>
        <w:tblStyle w:val="Table"/>
        <w:tblW w:type="pct" w:w="5000"/>
        <w:tblLayout w:type="fixed"/>
        <w:tblLook w:firstRow="0" w:lastRow="0" w:firstColumn="0" w:lastColumn="0" w:noHBand="0" w:noVBand="0" w:val="0000"/>
      </w:tblPr>
      <w:tblGrid>
        <w:gridCol w:w="7920"/>
      </w:tblGrid>
      <w:tr>
        <w:tc>
          <w:tcPr/>
          <w:bookmarkStart w:id="43" w:name="fig-bar-2"/>
          <w:p>
            <w:pPr>
              <w:pStyle w:val="Compact"/>
              <w:jc w:val="center"/>
            </w:pPr>
            <w:r>
              <w:drawing>
                <wp:inline>
                  <wp:extent cx="5334000" cy="3048000"/>
                  <wp:effectExtent b="0" l="0" r="0" t="0"/>
                  <wp:docPr descr="" title="" id="41" name="Picture"/>
                  <a:graphic>
                    <a:graphicData uri="http://schemas.openxmlformats.org/drawingml/2006/picture">
                      <pic:pic>
                        <pic:nvPicPr>
                          <pic:cNvPr descr="index_files/figure-docx/notebooks-mak_figures-fig-bar-2-output-1.png" id="42" name="Picture"/>
                          <pic:cNvPicPr>
                            <a:picLocks noChangeArrowheads="1" noChangeAspect="1"/>
                          </pic:cNvPicPr>
                        </pic:nvPicPr>
                        <pic:blipFill>
                          <a:blip r:embed="rId40"/>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Type II Error by Method. Average type II error rate across all research settings is displayed for each method separately by color. A priori selection methods are on the left, data-driven selection methods are on the right. Striped shading indicates data-driven selection methods that do not control for X.</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Figures for Main Manuscript</w:t>
        </w:r>
      </w:hyperlink>
    </w:p>
    <w:p>
      <w:pPr>
        <w:pStyle w:val="BodyText"/>
      </w:pPr>
      <w:r>
        <w:t xml:space="preserve">We also assessed Type II error by individual research setting (</w:t>
      </w:r>
      <w:hyperlink w:anchor="fig-panel-2">
        <w:r>
          <w:rPr>
            <w:rStyle w:val="Hyperlink"/>
          </w:rPr>
          <w:t xml:space="preserve">Figure 4</w:t>
        </w:r>
      </w:hyperlink>
      <w:r>
        <w:t xml:space="preserve">). Across all research setting, using no covariates was associated with higher Type II error. Using all available covariates or selection methods that do not control for</w:t>
      </w:r>
      <w:r>
        <w:t xml:space="preserve"> </w:t>
      </w:r>
      <w:r>
        <w:rPr>
          <w:i/>
          <w:iCs/>
        </w:rPr>
        <w:t xml:space="preserve">X</w:t>
      </w:r>
      <w:r>
        <w:t xml:space="preserve"> </w:t>
      </w:r>
      <w:r>
        <w:t xml:space="preserve">performed had higher Type II error rates compared to the other methods when sample sizes were low. This pattern was especially notable for using all covariates and a full linear model without</w:t>
      </w:r>
      <w:r>
        <w:t xml:space="preserve"> </w:t>
      </w:r>
      <w:r>
        <w:rPr>
          <w:i/>
          <w:iCs/>
        </w:rPr>
        <w:t xml:space="preserve">X</w:t>
      </w:r>
      <w:r>
        <w:t xml:space="preserve">. As sample size increased, the methods performed comparably with respect to Type II error. Using all covariates or a full linear model without</w:t>
      </w:r>
      <w:r>
        <w:t xml:space="preserve"> </w:t>
      </w:r>
      <w:r>
        <w:rPr>
          <w:i/>
          <w:iCs/>
        </w:rPr>
        <w:t xml:space="preserve">X</w:t>
      </w:r>
      <w:r>
        <w:t xml:space="preserve"> </w:t>
      </w:r>
      <w:r>
        <w:t xml:space="preserve">for selection produced higher Type II error rates compared to other methods when there was a larger number of covariates available. The full linear model without</w:t>
      </w:r>
      <w:r>
        <w:t xml:space="preserve"> </w:t>
      </w:r>
      <w:r>
        <w:rPr>
          <w:i/>
          <w:iCs/>
        </w:rPr>
        <w:t xml:space="preserve">X</w:t>
      </w:r>
      <w:r>
        <w:t xml:space="preserve"> </w:t>
      </w:r>
      <w:r>
        <w:t xml:space="preserve">also produced higher Type II error rates, compared to other methods when the proportion of good covariates was higher.</w:t>
      </w:r>
    </w:p>
    <w:tbl>
      <w:tblPr>
        <w:tblStyle w:val="Table"/>
        <w:tblW w:type="pct" w:w="5000"/>
        <w:tblLayout w:type="fixed"/>
        <w:tblLook w:firstRow="0" w:lastRow="0" w:firstColumn="0" w:lastColumn="0" w:noHBand="0" w:noVBand="0" w:val="0000"/>
      </w:tblPr>
      <w:tblGrid>
        <w:gridCol w:w="7920"/>
      </w:tblGrid>
      <w:tr>
        <w:tc>
          <w:tcPr/>
          <w:bookmarkStart w:id="48" w:name="fig-panel-2"/>
          <w:p>
            <w:pPr>
              <w:pStyle w:val="Compact"/>
              <w:jc w:val="center"/>
            </w:pPr>
            <w:r>
              <w:drawing>
                <wp:inline>
                  <wp:extent cx="5334000" cy="6400800"/>
                  <wp:effectExtent b="0" l="0" r="0" t="0"/>
                  <wp:docPr descr="" title="" id="46" name="Picture"/>
                  <a:graphic>
                    <a:graphicData uri="http://schemas.openxmlformats.org/drawingml/2006/picture">
                      <pic:pic>
                        <pic:nvPicPr>
                          <pic:cNvPr descr="index_files/figure-docx/notebooks-mak_figures-fig-panel-2-output-1.png" id="47" name="Picture"/>
                          <pic:cNvPicPr>
                            <a:picLocks noChangeArrowheads="1" noChangeAspect="1"/>
                          </pic:cNvPicPr>
                        </pic:nvPicPr>
                        <pic:blipFill>
                          <a:blip r:embed="rId45"/>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Type II error by method and research context. Plots are paneled by aspects of the research context (number of observations, number of covariates, proportion of good covariates, and Y-covariate correlation strength, and population parameter for X). Methods are displayed separately by color. Data-driven correlation selection methods that control for X are depicted as dashed lines.</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 for Main Manuscript</w:t>
        </w:r>
      </w:hyperlink>
    </w:p>
    <w:bookmarkEnd w:id="50"/>
    <w:bookmarkStart w:id="53" w:name="parameter-estimates"/>
    <w:p>
      <w:pPr>
        <w:pStyle w:val="Heading2"/>
      </w:pPr>
      <w:r>
        <w:t xml:space="preserve">Parameter Estimates</w:t>
      </w:r>
    </w:p>
    <w:p>
      <w:pPr>
        <w:pStyle w:val="FirstParagraph"/>
      </w:pPr>
      <w:hyperlink w:anchor="tbl-est">
        <w:r>
          <w:rPr>
            <w:rStyle w:val="Hyperlink"/>
          </w:rPr>
          <w:t xml:space="preserve">Table 3</w:t>
        </w:r>
      </w:hyperlink>
      <w:r>
        <w:t xml:space="preserve"> </w:t>
      </w:r>
      <w:r>
        <w:t xml:space="preserve">shows the mean parameter estimate of</w:t>
      </w:r>
      <w:r>
        <w:t xml:space="preserve"> </w:t>
      </w:r>
      <w:r>
        <w:rPr>
          <w:i/>
          <w:iCs/>
        </w:rPr>
        <w:t xml:space="preserve">X</w:t>
      </w:r>
      <w:r>
        <w:t xml:space="preserve"> </w:t>
      </w:r>
      <w:r>
        <w:t xml:space="preserve">for all nine methods separately by effect size (</w:t>
      </w:r>
      <m:oMath>
        <m:sSub>
          <m:e>
            <m:r>
              <m:t>b</m:t>
            </m:r>
          </m:e>
          <m:sub>
            <m:r>
              <m:t>x</m:t>
            </m:r>
          </m:sub>
        </m:sSub>
        <m:r>
          <m:rPr>
            <m:sty m:val="p"/>
          </m:rPr>
          <m:t>=</m:t>
        </m:r>
        <m:r>
          <m:t>0</m:t>
        </m:r>
      </m:oMath>
      <w:r>
        <w:t xml:space="preserve">,</w:t>
      </w:r>
      <w:r>
        <w:t xml:space="preserve"> </w:t>
      </w:r>
      <m:oMath>
        <m:sSub>
          <m:e>
            <m:r>
              <m:t>b</m:t>
            </m:r>
          </m:e>
          <m:sub>
            <m:r>
              <m:t>x</m:t>
            </m:r>
          </m:sub>
        </m:sSub>
        <m:r>
          <m:rPr>
            <m:sty m:val="p"/>
          </m:rPr>
          <m:t>=</m:t>
        </m:r>
        <m:r>
          <m:t>0.3</m:t>
        </m:r>
      </m:oMath>
      <w:r>
        <w:t xml:space="preserve">,</w:t>
      </w:r>
      <w:r>
        <w:t xml:space="preserve"> </w:t>
      </w:r>
      <m:oMath>
        <m:sSub>
          <m:e>
            <m:r>
              <m:t>b</m:t>
            </m:r>
          </m:e>
          <m:sub>
            <m:r>
              <m:t>x</m:t>
            </m:r>
          </m:sub>
        </m:sSub>
        <m:r>
          <m:rPr>
            <m:sty m:val="p"/>
          </m:rPr>
          <m:t>=</m:t>
        </m:r>
        <m:r>
          <m:t>0.5</m:t>
        </m:r>
      </m:oMath>
      <w:r>
        <w:t xml:space="preserve">). All methods yield unbiased estimates when the effect size is 0. When there is a non-zero effect, p-hacking methods notably inflate the effect size. Other data-driven methods that do not control for X yield slightly biased parameter estimates. Sampling distributions of parameter estimates are available in the supplement.</w:t>
      </w:r>
    </w:p>
    <w:tbl>
      <w:tblPr>
        <w:tblStyle w:val="Table"/>
        <w:tblW w:type="pct" w:w="5000"/>
        <w:tblLayout w:type="fixed"/>
        <w:tblLook w:firstRow="0" w:lastRow="0" w:firstColumn="0" w:lastColumn="0" w:noHBand="0" w:noVBand="0" w:val="0000"/>
      </w:tblPr>
      <w:tblGrid>
        <w:gridCol w:w="7920"/>
      </w:tblGrid>
      <w:tr>
        <w:tc>
          <w:tcPr/>
          <w:bookmarkStart w:id="51" w:name="tbl-est"/>
          <w:p>
            <w:pPr>
              <w:jc w:val="center"/>
            </w:pPr>
            <w:pPr>
              <w:jc w:val="start"/>
              <w:spacing w:before="200"/>
              <w:pStyle w:val="ImageCaption"/>
            </w:pPr>
            <w:r>
              <w:t xml:space="preserve">Table 3: Mean estimates of effect size by method and true effect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w:t>
                  </w:r>
                </w:p>
              </w:tc>
              <w:tc>
                <w:tcPr/>
                <w:p>
                  <w:pPr>
                    <w:pStyle w:val="Compact"/>
                    <w:jc w:val="right"/>
                    <w:jc w:val="center"/>
                  </w:pPr>
                  <w:r>
                    <w:t xml:space="preserve">d = .3</w:t>
                  </w:r>
                </w:p>
              </w:tc>
              <w:tc>
                <w:tcPr/>
                <w:p>
                  <w:pPr>
                    <w:pStyle w:val="Compact"/>
                    <w:jc w:val="right"/>
                    <w:jc w:val="center"/>
                  </w:pPr>
                  <w:r>
                    <w:t xml:space="preserve">d = .5</w:t>
                  </w:r>
                </w:p>
              </w:tc>
            </w:tr>
            <w:tr>
              <w:tc>
                <w:tcPr/>
                <w:p>
                  <w:pPr>
                    <w:pStyle w:val="Compact"/>
                    <w:jc w:val="left"/>
                    <w:jc w:val="center"/>
                  </w:pPr>
                  <w:r>
                    <w:t xml:space="preserve">Researcher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right"/>
                    <w:jc w:val="center"/>
                  </w:pPr>
                  <w:r>
                    <w:t xml:space="preserve">0.300</w:t>
                  </w:r>
                </w:p>
              </w:tc>
              <w:tc>
                <w:tcPr/>
                <w:p>
                  <w:pPr>
                    <w:pStyle w:val="Compact"/>
                    <w:jc w:val="righ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right"/>
                    <w:jc w:val="center"/>
                  </w:pPr>
                  <w:r>
                    <w:t xml:space="preserve">0.300</w:t>
                  </w:r>
                </w:p>
              </w:tc>
              <w:tc>
                <w:tcPr/>
                <w:p>
                  <w:pPr>
                    <w:pStyle w:val="Compact"/>
                    <w:jc w:val="righ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0.000</w:t>
                  </w:r>
                </w:p>
              </w:tc>
              <w:tc>
                <w:tcPr/>
                <w:p>
                  <w:pPr>
                    <w:pStyle w:val="Compact"/>
                    <w:jc w:val="right"/>
                    <w:jc w:val="center"/>
                  </w:pPr>
                  <w:r>
                    <w:t xml:space="preserve">0.368</w:t>
                  </w:r>
                </w:p>
              </w:tc>
              <w:tc>
                <w:tcPr/>
                <w:p>
                  <w:pPr>
                    <w:pStyle w:val="Compact"/>
                    <w:jc w:val="right"/>
                    <w:jc w:val="center"/>
                  </w:pPr>
                  <w:r>
                    <w:t xml:space="preserve">0.563</w:t>
                  </w:r>
                </w:p>
              </w:tc>
            </w:tr>
            <w:tr>
              <w:tc>
                <w:tcPr/>
                <w:p>
                  <w:pPr>
                    <w:pStyle w:val="Compact"/>
                    <w:jc w:val="left"/>
                    <w:jc w:val="center"/>
                  </w:pPr>
                  <w:r>
                    <w:t xml:space="preserve">Single covariate lm without X</w:t>
                  </w:r>
                </w:p>
              </w:tc>
              <w:tc>
                <w:tcPr/>
                <w:p>
                  <w:pPr>
                    <w:pStyle w:val="Compact"/>
                    <w:jc w:val="left"/>
                    <w:jc w:val="center"/>
                  </w:pPr>
                  <w:r>
                    <w:t xml:space="preserve">0.000</w:t>
                  </w:r>
                </w:p>
              </w:tc>
              <w:tc>
                <w:tcPr/>
                <w:p>
                  <w:pPr>
                    <w:pStyle w:val="Compact"/>
                    <w:jc w:val="right"/>
                    <w:jc w:val="center"/>
                  </w:pPr>
                  <w:r>
                    <w:t xml:space="preserve">0.297</w:t>
                  </w:r>
                </w:p>
              </w:tc>
              <w:tc>
                <w:tcPr/>
                <w:p>
                  <w:pPr>
                    <w:pStyle w:val="Compact"/>
                    <w:jc w:val="right"/>
                    <w:jc w:val="center"/>
                  </w:pPr>
                  <w:r>
                    <w:t xml:space="preserve">0.495</w:t>
                  </w:r>
                </w:p>
              </w:tc>
            </w:tr>
            <w:tr>
              <w:tc>
                <w:tcPr/>
                <w:p>
                  <w:pPr>
                    <w:pStyle w:val="Compact"/>
                    <w:jc w:val="left"/>
                    <w:jc w:val="center"/>
                  </w:pPr>
                  <w:r>
                    <w:t xml:space="preserve">Single covariate lm with X</w:t>
                  </w:r>
                </w:p>
              </w:tc>
              <w:tc>
                <w:tcPr/>
                <w:p>
                  <w:pPr>
                    <w:pStyle w:val="Compact"/>
                    <w:jc w:val="left"/>
                    <w:jc w:val="center"/>
                  </w:pPr>
                  <w:r>
                    <w:t xml:space="preserve">0.000</w:t>
                  </w:r>
                </w:p>
              </w:tc>
              <w:tc>
                <w:tcPr/>
                <w:p>
                  <w:pPr>
                    <w:pStyle w:val="Compact"/>
                    <w:jc w:val="right"/>
                    <w:jc w:val="center"/>
                  </w:pPr>
                  <w:r>
                    <w:t xml:space="preserve">0.300</w:t>
                  </w:r>
                </w:p>
              </w:tc>
              <w:tc>
                <w:tcPr/>
                <w:p>
                  <w:pPr>
                    <w:pStyle w:val="Compact"/>
                    <w:jc w:val="right"/>
                    <w:jc w:val="center"/>
                  </w:pPr>
                  <w:r>
                    <w:t xml:space="preserve">0.500</w:t>
                  </w:r>
                </w:p>
              </w:tc>
            </w:tr>
            <w:tr>
              <w:tc>
                <w:tcPr/>
                <w:p>
                  <w:pPr>
                    <w:pStyle w:val="Compact"/>
                    <w:jc w:val="left"/>
                    <w:jc w:val="center"/>
                  </w:pPr>
                  <w:r>
                    <w:t xml:space="preserve">All covariates lm without X</w:t>
                  </w:r>
                </w:p>
              </w:tc>
              <w:tc>
                <w:tcPr/>
                <w:p>
                  <w:pPr>
                    <w:pStyle w:val="Compact"/>
                    <w:jc w:val="left"/>
                    <w:jc w:val="center"/>
                  </w:pPr>
                  <w:r>
                    <w:t xml:space="preserve">0.000</w:t>
                  </w:r>
                </w:p>
              </w:tc>
              <w:tc>
                <w:tcPr/>
                <w:p>
                  <w:pPr>
                    <w:pStyle w:val="Compact"/>
                    <w:jc w:val="right"/>
                    <w:jc w:val="center"/>
                  </w:pPr>
                  <w:r>
                    <w:t xml:space="preserve">0.287</w:t>
                  </w:r>
                </w:p>
              </w:tc>
              <w:tc>
                <w:tcPr/>
                <w:p>
                  <w:pPr>
                    <w:pStyle w:val="Compact"/>
                    <w:jc w:val="right"/>
                    <w:jc w:val="center"/>
                  </w:pPr>
                  <w:r>
                    <w:t xml:space="preserve">0.479</w:t>
                  </w:r>
                </w:p>
              </w:tc>
            </w:tr>
            <w:tr>
              <w:tc>
                <w:tcPr/>
                <w:p>
                  <w:pPr>
                    <w:pStyle w:val="Compact"/>
                    <w:jc w:val="left"/>
                    <w:jc w:val="center"/>
                  </w:pPr>
                  <w:r>
                    <w:t xml:space="preserve">All covariates lm with X</w:t>
                  </w:r>
                </w:p>
              </w:tc>
              <w:tc>
                <w:tcPr/>
                <w:p>
                  <w:pPr>
                    <w:pStyle w:val="Compact"/>
                    <w:jc w:val="left"/>
                    <w:jc w:val="center"/>
                  </w:pPr>
                  <w:r>
                    <w:t xml:space="preserve">0.000</w:t>
                  </w:r>
                </w:p>
              </w:tc>
              <w:tc>
                <w:tcPr/>
                <w:p>
                  <w:pPr>
                    <w:pStyle w:val="Compact"/>
                    <w:jc w:val="right"/>
                    <w:jc w:val="center"/>
                  </w:pPr>
                  <w:r>
                    <w:t xml:space="preserve">0.300</w:t>
                  </w:r>
                </w:p>
              </w:tc>
              <w:tc>
                <w:tcPr/>
                <w:p>
                  <w:pPr>
                    <w:pStyle w:val="Compact"/>
                    <w:jc w:val="right"/>
                    <w:jc w:val="center"/>
                  </w:pPr>
                  <w:r>
                    <w:t xml:space="preserve">0.500</w:t>
                  </w:r>
                </w:p>
              </w:tc>
            </w:tr>
            <w:tr>
              <w:tc>
                <w:tcPr/>
                <w:p>
                  <w:pPr>
                    <w:pStyle w:val="Compact"/>
                    <w:jc w:val="left"/>
                    <w:jc w:val="center"/>
                  </w:pPr>
                  <w:r>
                    <w:t xml:space="preserve">All covariates LASSO without X</w:t>
                  </w:r>
                </w:p>
              </w:tc>
              <w:tc>
                <w:tcPr/>
                <w:p>
                  <w:pPr>
                    <w:pStyle w:val="Compact"/>
                    <w:jc w:val="left"/>
                    <w:jc w:val="center"/>
                  </w:pPr>
                  <w:r>
                    <w:t xml:space="preserve">0.000</w:t>
                  </w:r>
                </w:p>
              </w:tc>
              <w:tc>
                <w:tcPr/>
                <w:p>
                  <w:pPr>
                    <w:pStyle w:val="Compact"/>
                    <w:jc w:val="right"/>
                    <w:jc w:val="center"/>
                  </w:pPr>
                  <w:r>
                    <w:t xml:space="preserve">0.292</w:t>
                  </w:r>
                </w:p>
              </w:tc>
              <w:tc>
                <w:tcPr/>
                <w:p>
                  <w:pPr>
                    <w:pStyle w:val="Compact"/>
                    <w:jc w:val="right"/>
                    <w:jc w:val="center"/>
                  </w:pPr>
                  <w:r>
                    <w:t xml:space="preserve">0.487</w:t>
                  </w:r>
                </w:p>
              </w:tc>
            </w:tr>
            <w:tr>
              <w:tc>
                <w:tcPr/>
                <w:p>
                  <w:pPr>
                    <w:pStyle w:val="Compact"/>
                    <w:jc w:val="left"/>
                    <w:jc w:val="center"/>
                  </w:pPr>
                  <w:r>
                    <w:t xml:space="preserve">All covariates LASSO with X</w:t>
                  </w:r>
                </w:p>
              </w:tc>
              <w:tc>
                <w:tcPr/>
                <w:p>
                  <w:pPr>
                    <w:pStyle w:val="Compact"/>
                    <w:jc w:val="left"/>
                    <w:jc w:val="center"/>
                  </w:pPr>
                  <w:r>
                    <w:t xml:space="preserve">0.000</w:t>
                  </w:r>
                </w:p>
              </w:tc>
              <w:tc>
                <w:tcPr/>
                <w:p>
                  <w:pPr>
                    <w:pStyle w:val="Compact"/>
                    <w:jc w:val="right"/>
                    <w:jc w:val="center"/>
                  </w:pPr>
                  <w:r>
                    <w:t xml:space="preserve">0.300</w:t>
                  </w:r>
                </w:p>
              </w:tc>
              <w:tc>
                <w:tcPr/>
                <w:p>
                  <w:pPr>
                    <w:pStyle w:val="Compact"/>
                    <w:jc w:val="right"/>
                    <w:jc w:val="center"/>
                  </w:pPr>
                  <w:r>
                    <w:t xml:space="preserve">0.500</w:t>
                  </w:r>
                </w:p>
              </w:tc>
            </w:tr>
          </w:tbl>
          <w:bookmarkEnd w:id="51"/>
          <w:p/>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Tables for Main Manuscript</w:t>
        </w:r>
      </w:hyperlink>
    </w:p>
    <w:bookmarkEnd w:id="53"/>
    <w:bookmarkEnd w:id="54"/>
    <w:bookmarkStart w:id="55"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 p-hacking severely inflates Type I error rate. Simmons et al. simulated an average Type I error rate of 11.7% for a treatment effect when selecting between two potential covariates (</w:t>
      </w:r>
      <w:r>
        <w:rPr>
          <w:i/>
          <w:iCs/>
        </w:rPr>
        <w:t xml:space="preserve">N</w:t>
      </w:r>
      <w:r>
        <w:t xml:space="preserve">=40). In our closest research context (</w:t>
      </w:r>
      <w:r>
        <w:rPr>
          <w:i/>
          <w:iCs/>
        </w:rPr>
        <w:t xml:space="preserve">N</w:t>
      </w:r>
      <w:r>
        <w:t xml:space="preserve">=50, 4 covariates), we observed similar rates of 10.3% (range: 8.4%-13.5%). However, our simulations suggest this estimate may gravely underestimate the magnitude of the problem of p-hacking. It is more realistic that researchers must choose from several candidate covariates. Even when the number of available covariates is modest (i.e., 8-12), our results show that Type I error rates increase to 17.6% (range: 9.4%-32.9%) across contexts. When selecting among 16-20 covariates, Type I error rates, on average, reach a 2.5 fold increase from the 4 covariate context (26.9%, range: 13.9%-46.2%).</w:t>
      </w:r>
    </w:p>
    <w:p>
      <w:pPr>
        <w:pStyle w:val="BodyText"/>
      </w:pPr>
      <w:r>
        <w:t xml:space="preserve">When covariates were completely withheld (i.e., no covariates method), simulated models yielded an average Type I error rate of .05 and unbiased parameter estimates. However, this approach also showed a meaningfully higher Type II error rate compared to the other methods. This is not surprising. Adding covariates correlated with the outcome and uncorrelated with</w:t>
      </w:r>
      <w:r>
        <w:t xml:space="preserve"> </w:t>
      </w:r>
      <w:r>
        <w:rPr>
          <w:i/>
          <w:iCs/>
        </w:rPr>
        <w:t xml:space="preserve">X</w:t>
      </w:r>
      <w:r>
        <w:t xml:space="preserve"> </w:t>
      </w:r>
      <w:r>
        <w:t xml:space="preserve">will account for additional variance in the outcome, thus increasing power (or lowering Type II error rate). Perhaps then it is also not surprising that the research contexts with highest discrepancies in Type II error rates between the no covariates method and selection methods include situations with moderate to large sample sizes (</w:t>
      </w:r>
      <w:r>
        <w:rPr>
          <w:i/>
          <w:iCs/>
        </w:rPr>
        <w:t xml:space="preserve">N</w:t>
      </w:r>
      <w:r>
        <w:t xml:space="preserve">=150-400) where degrees of freedom can afford the cost of additional parameters, and in situations where there are many covariates to choose from with strong correlations to the outcome, where covariates have the most opportunity to reduce unexplained variance in the outcome.</w:t>
      </w:r>
    </w:p>
    <w:p>
      <w:pPr>
        <w:pStyle w:val="BodyText"/>
      </w:pPr>
      <w:r>
        <w:t xml:space="preserve">In many instances, using all available covariates selected a priori to data analysis is a reasonable option. Our simulated models showed consistent average Type I error rates of .05 and unbiased parameter estimates. Additionally, on average Type II error rates were only about 2% higher than some of the best performing data-driven selection methods (i.e., all covariates LASSO with</w:t>
      </w:r>
      <w:r>
        <w:t xml:space="preserve"> </w:t>
      </w:r>
      <w:r>
        <w:rPr>
          <w:i/>
          <w:iCs/>
        </w:rPr>
        <w:t xml:space="preserve">X</w:t>
      </w:r>
      <w:r>
        <w:t xml:space="preserve"> </w:t>
      </w:r>
      <w:r>
        <w:t xml:space="preserve">and single covariate linear model with</w:t>
      </w:r>
      <w:r>
        <w:t xml:space="preserve"> </w:t>
      </w:r>
      <w:r>
        <w:rPr>
          <w:i/>
          <w:iCs/>
        </w:rPr>
        <w:t xml:space="preserve">X</w:t>
      </w:r>
      <w:r>
        <w:t xml:space="preserve">). Using all available covariates is easiest because it eliminates the need for selection. However, in certain contexts, such as with small sample sizes or large numbers of covariates this difference is no longer trivial, with some data-driven selection methods yielding Type II error rates as much as 9% lower the all covariates method. These findings are concerning in that it is not uncommon in psychological research to have 20+ covariates available. Moreover, the high cost of running experimental studies may confine researchers to smaller than ideal sample sizes. Moreover, even with an adequate sample size and modest number of covariates, it may not be wise to walk away from any power to detect an effect.</w:t>
      </w:r>
      <w:r>
        <w:t xml:space="preserve"> </w:t>
      </w:r>
    </w:p>
    <w:p>
      <w:pPr>
        <w:pStyle w:val="BodyText"/>
      </w:pPr>
      <w:r>
        <w:t xml:space="preserve">Among the three data-driven selection methods our simulations showed that when the methods did not include the focal variable,</w:t>
      </w:r>
      <w:r>
        <w:t xml:space="preserve"> </w:t>
      </w:r>
      <w:r>
        <w:rPr>
          <w:i/>
          <w:iCs/>
        </w:rPr>
        <w:t xml:space="preserve">X</w:t>
      </w:r>
      <w:r>
        <w:t xml:space="preserve">, in the model they produced biased parameter estimates. This bias results from the models favoring selecting covariates that are correlated with</w:t>
      </w:r>
      <w:r>
        <w:t xml:space="preserve"> </w:t>
      </w:r>
      <w:r>
        <w:rPr>
          <w:i/>
          <w:iCs/>
        </w:rPr>
        <w:t xml:space="preserve">X</w:t>
      </w:r>
      <w:r>
        <w:t xml:space="preserve"> </w:t>
      </w:r>
      <w:r>
        <w:t xml:space="preserve">in the sample despite being uncorrelated in the population. In other words, the models are accounting for variance in the outcome related to</w:t>
      </w:r>
      <w:r>
        <w:t xml:space="preserve"> </w:t>
      </w:r>
      <w:r>
        <w:rPr>
          <w:i/>
          <w:iCs/>
        </w:rPr>
        <w:t xml:space="preserve">X</w:t>
      </w:r>
      <w:r>
        <w:t xml:space="preserve"> </w:t>
      </w:r>
      <w:r>
        <w:t xml:space="preserve">by capitalizing on spurious correlations. This bias was largest for the all covariates linear model and trivial with the single covariate linear model.</w:t>
      </w:r>
    </w:p>
    <w:p>
      <w:pPr>
        <w:pStyle w:val="BodyText"/>
      </w:pPr>
      <w:r>
        <w:t xml:space="preserve">However, data-driven selection methods that included</w:t>
      </w:r>
      <w:r>
        <w:t xml:space="preserve"> </w:t>
      </w:r>
      <w:r>
        <w:rPr>
          <w:i/>
          <w:iCs/>
        </w:rPr>
        <w:t xml:space="preserve">X</w:t>
      </w:r>
      <w:r>
        <w:t xml:space="preserve"> </w:t>
      </w:r>
      <w:r>
        <w:t xml:space="preserve">in the model produced larger Type I error inflation.</w:t>
      </w:r>
      <w:r>
        <w:t xml:space="preserve"> </w:t>
      </w:r>
    </w:p>
    <w:p>
      <w:pPr>
        <w:pStyle w:val="BodyText"/>
      </w:pPr>
      <w:r>
        <w:t xml:space="preserve">Our findings suggest the all covariates linear model is not an optimal data-driven covariate selection method. On average it performed worse the other data-driven methods. When no true effect existed the all covariates linear model with</w:t>
      </w:r>
      <w:r>
        <w:t xml:space="preserve"> </w:t>
      </w:r>
      <w:r>
        <w:rPr>
          <w:i/>
          <w:iCs/>
        </w:rPr>
        <w:t xml:space="preserve">X</w:t>
      </w:r>
      <w:r>
        <w:t xml:space="preserve"> </w:t>
      </w:r>
      <w:r>
        <w:t xml:space="preserve">yielded the highest Type II error compared to the other data-driven selection methods. When there was a true effect, the all covariates linear model with and without</w:t>
      </w:r>
      <w:r>
        <w:t xml:space="preserve"> </w:t>
      </w:r>
      <w:r>
        <w:rPr>
          <w:i/>
          <w:iCs/>
        </w:rPr>
        <w:t xml:space="preserve">X</w:t>
      </w:r>
      <w:r>
        <w:t xml:space="preserve"> </w:t>
      </w:r>
      <w:r>
        <w:t xml:space="preserve">showed higher Type II error rates compared to the respective single covariate linear and all covariates LASSO models, with and without</w:t>
      </w:r>
      <w:r>
        <w:t xml:space="preserve"> </w:t>
      </w:r>
      <w:r>
        <w:rPr>
          <w:i/>
          <w:iCs/>
        </w:rPr>
        <w:t xml:space="preserve">X</w:t>
      </w:r>
      <w:r>
        <w:t xml:space="preserve">. Finally, the all covariates model with</w:t>
      </w:r>
      <w:r>
        <w:t xml:space="preserve"> </w:t>
      </w:r>
      <w:r>
        <w:rPr>
          <w:i/>
          <w:iCs/>
        </w:rPr>
        <w:t xml:space="preserve">X</w:t>
      </w:r>
      <w:r>
        <w:t xml:space="preserve"> </w:t>
      </w:r>
      <w:r>
        <w:t xml:space="preserve">produced the most biased parameter estimates, compared to the other data-driven selection methods, when true effects existed.</w:t>
      </w:r>
    </w:p>
    <w:p>
      <w:pPr>
        <w:pStyle w:val="BodyText"/>
      </w:pPr>
      <w:r>
        <w:t xml:space="preserve">The absolute best method for Type II error is LASSO with</w:t>
      </w:r>
      <w:r>
        <w:t xml:space="preserve"> </w:t>
      </w:r>
      <w:r>
        <w:rPr>
          <w:i/>
          <w:iCs/>
        </w:rPr>
        <w:t xml:space="preserve">X</w:t>
      </w:r>
      <w:r>
        <w:t xml:space="preserve"> </w:t>
      </w:r>
      <w:r>
        <w:t xml:space="preserve">included in the model. LASSO is a machine learning algorithm that may be unfamiliar to some psychology researchers. As such, this data-driven selection method may feel overly complicated. We provide code in the supplement</w:t>
      </w:r>
      <w:r>
        <w:t xml:space="preserve"> </w:t>
      </w:r>
      <w:r>
        <w:t xml:space="preserve">to demonstrate how LASSO can be easily implemented in R for covariate selection.</w:t>
      </w:r>
    </w:p>
    <w:p>
      <w:pPr>
        <w:pStyle w:val="BodyText"/>
      </w:pPr>
      <w:r>
        <w:t xml:space="preserve">However, the simple single covariate linear model with</w:t>
      </w:r>
      <w:r>
        <w:t xml:space="preserve"> </w:t>
      </w:r>
      <w:r>
        <w:rPr>
          <w:i/>
          <w:iCs/>
        </w:rPr>
        <w:t xml:space="preserve">X</w:t>
      </w:r>
      <w:r>
        <w:t xml:space="preserve"> </w:t>
      </w:r>
      <w:r>
        <w:t xml:space="preserve">included in the model may be an equally viable alternative to LASSO. This method performed almost as good as LASSO with regard to Type II error and had lower Type I error compared to LASSO. Moreover, this method is easy to implement as it can be run as a table of correlation or partial correlation values. Both of these methods yielded unbiased parameter estimates and are likely comparable. Researchers can weigh the trade off between Type I and Type II error and the complexity of these methods in choosing which data-driven selection method to use. And of course, this decision should be pre-registered to avoid adding additional researcher degrees of freedom into the analyses.</w:t>
      </w:r>
    </w:p>
    <w:p>
      <w:pPr>
        <w:pStyle w:val="BodyText"/>
      </w:pPr>
      <w:r>
        <w:t xml:space="preserve">This study demonstrated the gains in power when using covariates measured before assignment. These findings are likely still applicable to covariates uncorrelated to the focal variable and empirically related to the outcome, but measured after assignment. Another use of covariates that we did not address in this study is to statistically control for confounding effects by including additional variables related to both the focal variable and the outcome. This is common practice in situations where</w:t>
      </w:r>
      <w:r>
        <w:t xml:space="preserve"> </w:t>
      </w:r>
      <w:r>
        <w:rPr>
          <w:i/>
          <w:iCs/>
        </w:rPr>
        <w:t xml:space="preserve">X</w:t>
      </w:r>
      <w:r>
        <w:t xml:space="preserve"> </w:t>
      </w:r>
      <w:r>
        <w:t xml:space="preserve">cannot be manipulated (e.g., controlling for gender when looking at the effects of parenting style on child school performance). This use of covariates, however, is complicated and covariates must be selected carefully based on theory and causal structure. Unfortunately, controlling for a confounding variable is also not as strong as people tend to believe. Controlling for a confounding variable with a covariate does not fully eliminate its influence, but removes the partial effect on the outcome measurable by the model. Given the complex nature of these types of covariates, we considered them to fall outside the scope of the current paper and we plan to address them in a future simulation paper.</w:t>
      </w:r>
    </w:p>
    <w:bookmarkEnd w:id="55"/>
    <w:bookmarkStart w:id="86" w:name="references"/>
    <w:p>
      <w:pPr>
        <w:pStyle w:val="Heading1"/>
      </w:pPr>
      <w:r>
        <w:t xml:space="preserve">References</w:t>
      </w:r>
    </w:p>
    <w:bookmarkStart w:id="85" w:name="refs"/>
    <w:bookmarkStart w:id="57"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56">
        <w:r>
          <w:rPr>
            <w:rStyle w:val="Hyperlink"/>
          </w:rPr>
          <w:t xml:space="preserve">https://doi.org/10.1016/0197-2456(89)90055-x</w:t>
        </w:r>
      </w:hyperlink>
      <w:r>
        <w:t xml:space="preserve">.</w:t>
      </w:r>
    </w:p>
    <w:bookmarkEnd w:id="57"/>
    <w:bookmarkStart w:id="59"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58">
        <w:r>
          <w:rPr>
            <w:rStyle w:val="Hyperlink"/>
          </w:rPr>
          <w:t xml:space="preserve">https://doi.org/10.1038/nrn3475</w:t>
        </w:r>
      </w:hyperlink>
      <w:r>
        <w:t xml:space="preserve">.</w:t>
      </w:r>
    </w:p>
    <w:bookmarkEnd w:id="59"/>
    <w:bookmarkStart w:id="61"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0">
        <w:r>
          <w:rPr>
            <w:rStyle w:val="Hyperlink"/>
          </w:rPr>
          <w:t xml:space="preserve">https://doi.org/10.21231/GNT1-HW21</w:t>
        </w:r>
      </w:hyperlink>
      <w:r>
        <w:t xml:space="preserve">.</w:t>
      </w:r>
    </w:p>
    <w:bookmarkEnd w:id="61"/>
    <w:bookmarkStart w:id="63"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62">
        <w:r>
          <w:rPr>
            <w:rStyle w:val="Hyperlink"/>
          </w:rPr>
          <w:t xml:space="preserve">https://doi.org/10.1037/h0045186</w:t>
        </w:r>
      </w:hyperlink>
      <w:r>
        <w:t xml:space="preserve">.</w:t>
      </w:r>
    </w:p>
    <w:bookmarkEnd w:id="63"/>
    <w:bookmarkStart w:id="64"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64"/>
    <w:bookmarkStart w:id="65"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65"/>
    <w:bookmarkStart w:id="67"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66">
        <w:r>
          <w:rPr>
            <w:rStyle w:val="Hyperlink"/>
          </w:rPr>
          <w:t xml:space="preserve">https://doi.org/10.1186/1471-2288-14-49</w:t>
        </w:r>
      </w:hyperlink>
      <w:r>
        <w:t xml:space="preserve">.</w:t>
      </w:r>
    </w:p>
    <w:bookmarkEnd w:id="67"/>
    <w:bookmarkStart w:id="69"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68">
        <w:r>
          <w:rPr>
            <w:rStyle w:val="Hyperlink"/>
          </w:rPr>
          <w:t xml:space="preserve">https://doi.org/10.1016/j.annepidem.2005.09.007</w:t>
        </w:r>
      </w:hyperlink>
      <w:r>
        <w:t xml:space="preserve">.</w:t>
      </w:r>
    </w:p>
    <w:bookmarkEnd w:id="69"/>
    <w:bookmarkStart w:id="71"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70">
        <w:r>
          <w:rPr>
            <w:rStyle w:val="Hyperlink"/>
          </w:rPr>
          <w:t xml:space="preserve">https://doi.org/10.1016/j.jclinepi.2003.09.014</w:t>
        </w:r>
      </w:hyperlink>
      <w:r>
        <w:t xml:space="preserve">.</w:t>
      </w:r>
    </w:p>
    <w:bookmarkEnd w:id="71"/>
    <w:bookmarkStart w:id="73"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72">
        <w:r>
          <w:rPr>
            <w:rStyle w:val="Hyperlink"/>
          </w:rPr>
          <w:t xml:space="preserve">https://doi.org/10.1371/journal.pmed.0020124</w:t>
        </w:r>
      </w:hyperlink>
      <w:r>
        <w:t xml:space="preserve">.</w:t>
      </w:r>
    </w:p>
    <w:bookmarkEnd w:id="73"/>
    <w:bookmarkStart w:id="75"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74">
        <w:r>
          <w:rPr>
            <w:rStyle w:val="Hyperlink"/>
          </w:rPr>
          <w:t xml:space="preserve">https://doi.org/10.1186/1745-6215-15-139</w:t>
        </w:r>
      </w:hyperlink>
      <w:r>
        <w:t xml:space="preserve">.</w:t>
      </w:r>
    </w:p>
    <w:bookmarkEnd w:id="75"/>
    <w:bookmarkStart w:id="77"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76">
        <w:r>
          <w:rPr>
            <w:rStyle w:val="Hyperlink"/>
          </w:rPr>
          <w:t xml:space="preserve">https://doi.org/10.1080/03610928508828942</w:t>
        </w:r>
      </w:hyperlink>
      <w:r>
        <w:t xml:space="preserve">.</w:t>
      </w:r>
    </w:p>
    <w:bookmarkEnd w:id="77"/>
    <w:bookmarkStart w:id="79"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78">
        <w:r>
          <w:rPr>
            <w:rStyle w:val="Hyperlink"/>
          </w:rPr>
          <w:t xml:space="preserve">https://doi.org/10.1177/0956797611417632</w:t>
        </w:r>
      </w:hyperlink>
      <w:r>
        <w:t xml:space="preserve">.</w:t>
      </w:r>
    </w:p>
    <w:bookmarkEnd w:id="79"/>
    <w:bookmarkStart w:id="81"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80">
        <w:r>
          <w:rPr>
            <w:rStyle w:val="Hyperlink"/>
          </w:rPr>
          <w:t xml:space="preserve">https://doi.org/10.1037/a0033242</w:t>
        </w:r>
      </w:hyperlink>
      <w:r>
        <w:t xml:space="preserve">.</w:t>
      </w:r>
    </w:p>
    <w:bookmarkEnd w:id="81"/>
    <w:bookmarkStart w:id="83"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82">
        <w:r>
          <w:rPr>
            <w:rStyle w:val="Hyperlink"/>
          </w:rPr>
          <w:t xml:space="preserve">https://doi.org/10.1016/j.jclinepi.2014.11.001</w:t>
        </w:r>
      </w:hyperlink>
      <w:r>
        <w:t xml:space="preserve">.</w:t>
      </w:r>
    </w:p>
    <w:bookmarkEnd w:id="83"/>
    <w:bookmarkStart w:id="84"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84"/>
    <w:bookmarkEnd w:id="85"/>
    <w:bookmarkEnd w:id="8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34" Target="media/rId34.png" /><Relationship Type="http://schemas.openxmlformats.org/officeDocument/2006/relationships/hyperlink" Id="rId56" Target="https://doi.org/10.1016/0197-2456(89)90055-x" TargetMode="External" /><Relationship Type="http://schemas.openxmlformats.org/officeDocument/2006/relationships/hyperlink" Id="rId68" Target="https://doi.org/10.1016/j.annepidem.2005.09.007" TargetMode="External" /><Relationship Type="http://schemas.openxmlformats.org/officeDocument/2006/relationships/hyperlink" Id="rId70" Target="https://doi.org/10.1016/j.jclinepi.2003.09.014" TargetMode="External" /><Relationship Type="http://schemas.openxmlformats.org/officeDocument/2006/relationships/hyperlink" Id="rId82" Target="https://doi.org/10.1016/j.jclinepi.2014.11.001" TargetMode="External" /><Relationship Type="http://schemas.openxmlformats.org/officeDocument/2006/relationships/hyperlink" Id="rId80" Target="https://doi.org/10.1037/a0033242" TargetMode="External" /><Relationship Type="http://schemas.openxmlformats.org/officeDocument/2006/relationships/hyperlink" Id="rId62" Target="https://doi.org/10.1037/h0045186" TargetMode="External" /><Relationship Type="http://schemas.openxmlformats.org/officeDocument/2006/relationships/hyperlink" Id="rId58" Target="https://doi.org/10.1038/nrn3475" TargetMode="External" /><Relationship Type="http://schemas.openxmlformats.org/officeDocument/2006/relationships/hyperlink" Id="rId76" Target="https://doi.org/10.1080/03610928508828942" TargetMode="External" /><Relationship Type="http://schemas.openxmlformats.org/officeDocument/2006/relationships/hyperlink" Id="rId78" Target="https://doi.org/10.1177/0956797611417632" TargetMode="External" /><Relationship Type="http://schemas.openxmlformats.org/officeDocument/2006/relationships/hyperlink" Id="rId66" Target="https://doi.org/10.1186/1471-2288-14-49" TargetMode="External" /><Relationship Type="http://schemas.openxmlformats.org/officeDocument/2006/relationships/hyperlink" Id="rId74" Target="https://doi.org/10.1186/1745-6215-15-139" TargetMode="External" /><Relationship Type="http://schemas.openxmlformats.org/officeDocument/2006/relationships/hyperlink" Id="rId72" Target="https://doi.org/10.1371/journal.pmed.0020124" TargetMode="External" /><Relationship Type="http://schemas.openxmlformats.org/officeDocument/2006/relationships/hyperlink" Id="rId60" Target="https://doi.org/10.21231/GNT1-HW21"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2"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_rels/footnotes.xml.rels><?xml version="1.0" encoding="UTF-8"?><Relationships xmlns="http://schemas.openxmlformats.org/package/2006/relationships"><Relationship Type="http://schemas.openxmlformats.org/officeDocument/2006/relationships/hyperlink" Id="rId56" Target="https://doi.org/10.1016/0197-2456(89)90055-x" TargetMode="External" /><Relationship Type="http://schemas.openxmlformats.org/officeDocument/2006/relationships/hyperlink" Id="rId68" Target="https://doi.org/10.1016/j.annepidem.2005.09.007" TargetMode="External" /><Relationship Type="http://schemas.openxmlformats.org/officeDocument/2006/relationships/hyperlink" Id="rId70" Target="https://doi.org/10.1016/j.jclinepi.2003.09.014" TargetMode="External" /><Relationship Type="http://schemas.openxmlformats.org/officeDocument/2006/relationships/hyperlink" Id="rId82" Target="https://doi.org/10.1016/j.jclinepi.2014.11.001" TargetMode="External" /><Relationship Type="http://schemas.openxmlformats.org/officeDocument/2006/relationships/hyperlink" Id="rId80" Target="https://doi.org/10.1037/a0033242" TargetMode="External" /><Relationship Type="http://schemas.openxmlformats.org/officeDocument/2006/relationships/hyperlink" Id="rId62" Target="https://doi.org/10.1037/h0045186" TargetMode="External" /><Relationship Type="http://schemas.openxmlformats.org/officeDocument/2006/relationships/hyperlink" Id="rId58" Target="https://doi.org/10.1038/nrn3475" TargetMode="External" /><Relationship Type="http://schemas.openxmlformats.org/officeDocument/2006/relationships/hyperlink" Id="rId76" Target="https://doi.org/10.1080/03610928508828942" TargetMode="External" /><Relationship Type="http://schemas.openxmlformats.org/officeDocument/2006/relationships/hyperlink" Id="rId78" Target="https://doi.org/10.1177/0956797611417632" TargetMode="External" /><Relationship Type="http://schemas.openxmlformats.org/officeDocument/2006/relationships/hyperlink" Id="rId66" Target="https://doi.org/10.1186/1471-2288-14-49" TargetMode="External" /><Relationship Type="http://schemas.openxmlformats.org/officeDocument/2006/relationships/hyperlink" Id="rId74" Target="https://doi.org/10.1186/1745-6215-15-139" TargetMode="External" /><Relationship Type="http://schemas.openxmlformats.org/officeDocument/2006/relationships/hyperlink" Id="rId72" Target="https://doi.org/10.1371/journal.pmed.0020124" TargetMode="External" /><Relationship Type="http://schemas.openxmlformats.org/officeDocument/2006/relationships/hyperlink" Id="rId60" Target="https://doi.org/10.21231/GNT1-HW21"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2"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2025-12-03T19:32:25Z</dcterms:created>
  <dcterms:modified xsi:type="dcterms:W3CDTF">2025-12-03T19:32:25Z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2025-12-03</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