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4.png" ContentType="image/png"/>
  <Override PartName="/word/media/rId37.png" ContentType="image/png"/>
  <Override PartName="/word/media/rId5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Optimal</w:t>
      </w:r>
      <w:r>
        <w:t xml:space="preserve"> </w:t>
      </w:r>
      <w:r>
        <w:t xml:space="preserve">Covariate</w:t>
      </w:r>
      <w:r>
        <w:t xml:space="preserve"> </w:t>
      </w:r>
      <w:r>
        <w:t xml:space="preserve">Selection</w:t>
      </w:r>
      <w:r>
        <w:t xml:space="preserve"> </w:t>
      </w:r>
      <w:r>
        <w:t xml:space="preserve">Approaches</w:t>
      </w:r>
      <w:r>
        <w:t xml:space="preserve"> </w:t>
      </w:r>
      <w:r>
        <w:t xml:space="preserve">for</w:t>
      </w:r>
      <w:r>
        <w:t xml:space="preserve"> </w:t>
      </w:r>
      <w:r>
        <w:t xml:space="preserve">Experimental</w:t>
      </w:r>
      <w:r>
        <w:t xml:space="preserve"> </w:t>
      </w:r>
      <w:r>
        <w:t xml:space="preserve">Research:</w:t>
      </w:r>
      <w:r>
        <w:t xml:space="preserve"> </w:t>
      </w:r>
      <w:r>
        <w:t xml:space="preserve">A</w:t>
      </w:r>
      <w:r>
        <w:t xml:space="preserve"> </w:t>
      </w:r>
      <w:r>
        <w:t xml:space="preserve">Simulation</w:t>
      </w:r>
      <w:r>
        <w:t xml:space="preserve"> </w:t>
      </w:r>
      <w:r>
        <w:t xml:space="preserve">Study</w:t>
      </w:r>
    </w:p>
    <w:p>
      <w:pPr>
        <w:pStyle w:val="Author"/>
      </w:pPr>
      <w:r>
        <w:t xml:space="preserve">Kendra</w:t>
      </w:r>
      <w:r>
        <w:t xml:space="preserve"> </w:t>
      </w:r>
      <w:r>
        <w:t xml:space="preserve">Wyant</w:t>
      </w:r>
    </w:p>
    <w:p>
      <w:pPr>
        <w:pStyle w:val="Author"/>
      </w:pPr>
      <w:r>
        <w:t xml:space="preserve">Lauren</w:t>
      </w:r>
      <w:r>
        <w:t xml:space="preserve"> </w:t>
      </w:r>
      <w:r>
        <w:t xml:space="preserve">Khoury</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2026-06-23</w:t>
      </w:r>
    </w:p>
    <w:p>
      <w:pPr>
        <w:pStyle w:val="AbstractTitle"/>
      </w:pPr>
      <w:r>
        <w:t xml:space="preserve">Abstract</w:t>
      </w:r>
    </w:p>
    <w:p>
      <w:pPr>
        <w:pStyle w:val="Abstract"/>
      </w:pPr>
      <w:r>
        <w:t xml:space="preserve">Covariates</w:t>
      </w:r>
      <w:r>
        <w:t xml:space="preserve"> </w:t>
      </w:r>
      <w:r>
        <w:t xml:space="preserve">can</w:t>
      </w:r>
      <w:r>
        <w:t xml:space="preserve"> </w:t>
      </w:r>
      <w:r>
        <w:t xml:space="preserve">reduce</w:t>
      </w:r>
      <w:r>
        <w:t xml:space="preserve"> </w:t>
      </w:r>
      <w:r>
        <w:t xml:space="preserve">Type</w:t>
      </w:r>
      <w:r>
        <w:t xml:space="preserve"> </w:t>
      </w:r>
      <w:r>
        <w:t xml:space="preserve">II</w:t>
      </w:r>
      <w:r>
        <w:t xml:space="preserve"> </w:t>
      </w:r>
      <w:r>
        <w:t xml:space="preserve">errors</w:t>
      </w:r>
      <w:r>
        <w:t xml:space="preserve"> </w:t>
      </w:r>
      <w:r>
        <w:t xml:space="preserve">in</w:t>
      </w:r>
      <w:r>
        <w:t xml:space="preserve"> </w:t>
      </w:r>
      <w:r>
        <w:t xml:space="preserve">experimental</w:t>
      </w:r>
      <w:r>
        <w:t xml:space="preserve"> </w:t>
      </w:r>
      <w:r>
        <w:t xml:space="preserve">research,</w:t>
      </w:r>
      <w:r>
        <w:t xml:space="preserve"> </w:t>
      </w:r>
      <w:r>
        <w:t xml:space="preserve">but</w:t>
      </w:r>
      <w:r>
        <w:t xml:space="preserve"> </w:t>
      </w:r>
      <w:r>
        <w:t xml:space="preserve">optimal</w:t>
      </w:r>
      <w:r>
        <w:t xml:space="preserve"> </w:t>
      </w:r>
      <w:r>
        <w:t xml:space="preserve">covariate</w:t>
      </w:r>
      <w:r>
        <w:t xml:space="preserve"> </w:t>
      </w:r>
      <w:r>
        <w:t xml:space="preserve">selection</w:t>
      </w:r>
      <w:r>
        <w:t xml:space="preserve"> </w:t>
      </w:r>
      <w:r>
        <w:t xml:space="preserve">can</w:t>
      </w:r>
      <w:r>
        <w:t xml:space="preserve"> </w:t>
      </w:r>
      <w:r>
        <w:t xml:space="preserve">be</w:t>
      </w:r>
      <w:r>
        <w:t xml:space="preserve"> </w:t>
      </w:r>
      <w:r>
        <w:t xml:space="preserve">challenging</w:t>
      </w:r>
      <w:r>
        <w:t xml:space="preserve"> </w:t>
      </w:r>
      <w:r>
        <w:t xml:space="preserve">and</w:t>
      </w:r>
      <w:r>
        <w:t xml:space="preserve"> </w:t>
      </w:r>
      <w:r>
        <w:t xml:space="preserve">may</w:t>
      </w:r>
      <w:r>
        <w:t xml:space="preserve"> </w:t>
      </w:r>
      <w:r>
        <w:t xml:space="preserve">reduce</w:t>
      </w:r>
      <w:r>
        <w:t xml:space="preserve"> </w:t>
      </w:r>
      <w:r>
        <w:t xml:space="preserve">statistical</w:t>
      </w:r>
      <w:r>
        <w:t xml:space="preserve"> </w:t>
      </w:r>
      <w:r>
        <w:t xml:space="preserve">validity</w:t>
      </w:r>
      <w:r>
        <w:t xml:space="preserve"> </w:t>
      </w:r>
      <w:r>
        <w:t xml:space="preserve">if</w:t>
      </w:r>
      <w:r>
        <w:t xml:space="preserve"> </w:t>
      </w:r>
      <w:r>
        <w:t xml:space="preserve">done</w:t>
      </w:r>
      <w:r>
        <w:t xml:space="preserve"> </w:t>
      </w:r>
      <w:r>
        <w:t xml:space="preserve">incorrectly.</w:t>
      </w:r>
      <w:r>
        <w:t xml:space="preserve"> </w:t>
      </w:r>
      <w:r>
        <w:t xml:space="preserve">Consequently,</w:t>
      </w:r>
      <w:r>
        <w:t xml:space="preserve"> </w:t>
      </w:r>
      <w:r>
        <w:t xml:space="preserve">researchers</w:t>
      </w:r>
      <w:r>
        <w:t xml:space="preserve"> </w:t>
      </w:r>
      <w:r>
        <w:t xml:space="preserve">often</w:t>
      </w:r>
      <w:r>
        <w:t xml:space="preserve"> </w:t>
      </w:r>
      <w:r>
        <w:t xml:space="preserve">adopt</w:t>
      </w:r>
      <w:r>
        <w:t xml:space="preserve"> </w:t>
      </w:r>
      <w:r>
        <w:t xml:space="preserve">two</w:t>
      </w:r>
      <w:r>
        <w:t xml:space="preserve"> </w:t>
      </w:r>
      <w:r>
        <w:t xml:space="preserve">extremes</w:t>
      </w:r>
      <w:r>
        <w:t xml:space="preserve"> </w:t>
      </w:r>
      <w:r>
        <w:t xml:space="preserve">-</w:t>
      </w:r>
      <w:r>
        <w:t xml:space="preserve"> </w:t>
      </w:r>
      <w:r>
        <w:t xml:space="preserve">including</w:t>
      </w:r>
      <w:r>
        <w:t xml:space="preserve"> </w:t>
      </w:r>
      <w:r>
        <w:t xml:space="preserve">no</w:t>
      </w:r>
      <w:r>
        <w:t xml:space="preserve"> </w:t>
      </w:r>
      <w:r>
        <w:t xml:space="preserve">or</w:t>
      </w:r>
      <w:r>
        <w:t xml:space="preserve"> </w:t>
      </w:r>
      <w:r>
        <w:t xml:space="preserve">all</w:t>
      </w:r>
      <w:r>
        <w:t xml:space="preserve"> </w:t>
      </w:r>
      <w:r>
        <w:t xml:space="preserve">covariates</w:t>
      </w:r>
      <w:r>
        <w:t xml:space="preserve"> </w:t>
      </w:r>
      <w:r>
        <w:t xml:space="preserve">in</w:t>
      </w:r>
      <w:r>
        <w:t xml:space="preserve"> </w:t>
      </w:r>
      <w:r>
        <w:t xml:space="preserve">their</w:t>
      </w:r>
      <w:r>
        <w:t xml:space="preserve"> </w:t>
      </w:r>
      <w:r>
        <w:t xml:space="preserve">primary</w:t>
      </w:r>
      <w:r>
        <w:t xml:space="preserve"> </w:t>
      </w:r>
      <w:r>
        <w:t xml:space="preserve">analysis.</w:t>
      </w:r>
      <w:r>
        <w:t xml:space="preserve"> </w:t>
      </w:r>
      <w:r>
        <w:t xml:space="preserve">However,</w:t>
      </w:r>
      <w:r>
        <w:t xml:space="preserve"> </w:t>
      </w:r>
      <w:r>
        <w:t xml:space="preserve">data-driven</w:t>
      </w:r>
      <w:r>
        <w:t xml:space="preserve"> </w:t>
      </w:r>
      <w:r>
        <w:t xml:space="preserve">approaches</w:t>
      </w:r>
      <w:r>
        <w:t xml:space="preserve"> </w:t>
      </w:r>
      <w:r>
        <w:t xml:space="preserve">for</w:t>
      </w:r>
      <w:r>
        <w:t xml:space="preserve"> </w:t>
      </w:r>
      <w:r>
        <w:t xml:space="preserve">covariate</w:t>
      </w:r>
      <w:r>
        <w:t xml:space="preserve"> </w:t>
      </w:r>
      <w:r>
        <w:t xml:space="preserve">selection</w:t>
      </w:r>
      <w:r>
        <w:t xml:space="preserve"> </w:t>
      </w:r>
      <w:r>
        <w:t xml:space="preserve">may</w:t>
      </w:r>
      <w:r>
        <w:t xml:space="preserve"> </w:t>
      </w:r>
      <w:r>
        <w:t xml:space="preserve">represent</w:t>
      </w:r>
      <w:r>
        <w:t xml:space="preserve"> </w:t>
      </w:r>
      <w:r>
        <w:t xml:space="preserve">an</w:t>
      </w:r>
      <w:r>
        <w:t xml:space="preserve"> </w:t>
      </w:r>
      <w:r>
        <w:t xml:space="preserve">effective</w:t>
      </w:r>
      <w:r>
        <w:t xml:space="preserve"> </w:t>
      </w:r>
      <w:r>
        <w:t xml:space="preserve">advantageous</w:t>
      </w:r>
      <w:r>
        <w:t xml:space="preserve"> </w:t>
      </w:r>
      <w:r>
        <w:t xml:space="preserve">alternative.</w:t>
      </w:r>
    </w:p>
    <w:p>
      <w:pPr>
        <w:pStyle w:val="Abstract"/>
      </w:pPr>
      <w:r>
        <w:t xml:space="preserve">In</w:t>
      </w:r>
      <w:r>
        <w:t xml:space="preserve"> </w:t>
      </w:r>
      <w:r>
        <w:t xml:space="preserve">this</w:t>
      </w:r>
      <w:r>
        <w:t xml:space="preserve"> </w:t>
      </w:r>
      <w:r>
        <w:t xml:space="preserve">simulation</w:t>
      </w:r>
      <w:r>
        <w:t xml:space="preserve"> </w:t>
      </w:r>
      <w:r>
        <w:t xml:space="preserve">study,</w:t>
      </w:r>
      <w:r>
        <w:t xml:space="preserve"> </w:t>
      </w:r>
      <w:r>
        <w:t xml:space="preserve">we</w:t>
      </w:r>
      <w:r>
        <w:t xml:space="preserve"> </w:t>
      </w:r>
      <w:r>
        <w:t xml:space="preserve">evaluated</w:t>
      </w:r>
      <w:r>
        <w:t xml:space="preserve"> </w:t>
      </w:r>
      <w:r>
        <w:t xml:space="preserve">nine</w:t>
      </w:r>
      <w:r>
        <w:t xml:space="preserve"> </w:t>
      </w:r>
      <w:r>
        <w:t xml:space="preserve">covariate</w:t>
      </w:r>
      <w:r>
        <w:t xml:space="preserve"> </w:t>
      </w:r>
      <w:r>
        <w:t xml:space="preserve">selection</w:t>
      </w:r>
      <w:r>
        <w:t xml:space="preserve"> </w:t>
      </w:r>
      <w:r>
        <w:t xml:space="preserve">approaches</w:t>
      </w:r>
      <w:r>
        <w:t xml:space="preserve"> </w:t>
      </w:r>
      <w:r>
        <w:t xml:space="preserve">that</w:t>
      </w:r>
      <w:r>
        <w:t xml:space="preserve"> </w:t>
      </w:r>
      <w:r>
        <w:t xml:space="preserve">include</w:t>
      </w:r>
      <w:r>
        <w:t xml:space="preserve"> </w:t>
      </w:r>
      <w:r>
        <w:t xml:space="preserve">the</w:t>
      </w:r>
      <w:r>
        <w:t xml:space="preserve"> </w:t>
      </w:r>
      <w:r>
        <w:t xml:space="preserve">two</w:t>
      </w:r>
      <w:r>
        <w:t xml:space="preserve"> </w:t>
      </w:r>
      <w:r>
        <w:t xml:space="preserve">traditional</w:t>
      </w:r>
      <w:r>
        <w:t xml:space="preserve"> </w:t>
      </w:r>
      <w:r>
        <w:t xml:space="preserve">approaches</w:t>
      </w:r>
      <w:r>
        <w:t xml:space="preserve"> </w:t>
      </w:r>
      <w:r>
        <w:t xml:space="preserve">(no</w:t>
      </w:r>
      <w:r>
        <w:t xml:space="preserve"> </w:t>
      </w:r>
      <w:r>
        <w:t xml:space="preserve">covariates,</w:t>
      </w:r>
      <w:r>
        <w:t xml:space="preserve"> </w:t>
      </w:r>
      <w:r>
        <w:t xml:space="preserve">all</w:t>
      </w:r>
      <w:r>
        <w:t xml:space="preserve"> </w:t>
      </w:r>
      <w:r>
        <w:t xml:space="preserve">covariates)</w:t>
      </w:r>
      <w:r>
        <w:t xml:space="preserve"> </w:t>
      </w:r>
      <w:r>
        <w:t xml:space="preserve">and</w:t>
      </w:r>
      <w:r>
        <w:t xml:space="preserve"> </w:t>
      </w:r>
      <w:r>
        <w:t xml:space="preserve">seven</w:t>
      </w:r>
      <w:r>
        <w:t xml:space="preserve"> </w:t>
      </w:r>
      <w:r>
        <w:t xml:space="preserve">data-driven</w:t>
      </w:r>
      <w:r>
        <w:t xml:space="preserve"> </w:t>
      </w:r>
      <w:r>
        <w:t xml:space="preserve">approaches</w:t>
      </w:r>
      <w:r>
        <w:t xml:space="preserve"> </w:t>
      </w:r>
      <w:r>
        <w:t xml:space="preserve">that</w:t>
      </w:r>
      <w:r>
        <w:t xml:space="preserve"> </w:t>
      </w:r>
      <w:r>
        <w:t xml:space="preserve">use</w:t>
      </w:r>
      <w:r>
        <w:t xml:space="preserve"> </w:t>
      </w:r>
      <w:r>
        <w:t xml:space="preserve">screening</w:t>
      </w:r>
      <w:r>
        <w:t xml:space="preserve"> </w:t>
      </w:r>
      <w:r>
        <w:t xml:space="preserve">models</w:t>
      </w:r>
      <w:r>
        <w:t xml:space="preserve"> </w:t>
      </w:r>
      <w:r>
        <w:t xml:space="preserve">to</w:t>
      </w:r>
      <w:r>
        <w:t xml:space="preserve"> </w:t>
      </w:r>
      <w:r>
        <w:t xml:space="preserve">identify</w:t>
      </w:r>
      <w:r>
        <w:t xml:space="preserve"> </w:t>
      </w:r>
      <w:r>
        <w:t xml:space="preserve">optimal</w:t>
      </w:r>
      <w:r>
        <w:t xml:space="preserve"> </w:t>
      </w:r>
      <w:r>
        <w:t xml:space="preserve">covariates.</w:t>
      </w:r>
      <w:r>
        <w:t xml:space="preserve"> </w:t>
      </w:r>
      <w:r>
        <w:t xml:space="preserve">We</w:t>
      </w:r>
      <w:r>
        <w:t xml:space="preserve"> </w:t>
      </w:r>
      <w:r>
        <w:t xml:space="preserve">compared</w:t>
      </w:r>
      <w:r>
        <w:t xml:space="preserve"> </w:t>
      </w:r>
      <w:r>
        <w:t xml:space="preserve">these</w:t>
      </w:r>
      <w:r>
        <w:t xml:space="preserve"> </w:t>
      </w:r>
      <w:r>
        <w:t xml:space="preserve">approaches</w:t>
      </w:r>
      <w:r>
        <w:t xml:space="preserve"> </w:t>
      </w:r>
      <w:r>
        <w:t xml:space="preserve">on</w:t>
      </w:r>
      <w:r>
        <w:t xml:space="preserve"> </w:t>
      </w:r>
      <w:r>
        <w:t xml:space="preserve">their</w:t>
      </w:r>
      <w:r>
        <w:t xml:space="preserve"> </w:t>
      </w:r>
      <w:r>
        <w:t xml:space="preserve">Type</w:t>
      </w:r>
      <w:r>
        <w:t xml:space="preserve"> </w:t>
      </w:r>
      <w:r>
        <w:t xml:space="preserve">I</w:t>
      </w:r>
      <w:r>
        <w:t xml:space="preserve"> </w:t>
      </w:r>
      <w:r>
        <w:t xml:space="preserve">and</w:t>
      </w:r>
      <w:r>
        <w:t xml:space="preserve"> </w:t>
      </w:r>
      <w:r>
        <w:t xml:space="preserve">Type</w:t>
      </w:r>
      <w:r>
        <w:t xml:space="preserve"> </w:t>
      </w:r>
      <w:r>
        <w:t xml:space="preserve">II</w:t>
      </w:r>
      <w:r>
        <w:t xml:space="preserve"> </w:t>
      </w:r>
      <w:r>
        <w:t xml:space="preserve">errors</w:t>
      </w:r>
      <w:r>
        <w:t xml:space="preserve"> </w:t>
      </w:r>
      <w:r>
        <w:t xml:space="preserve">rates</w:t>
      </w:r>
      <w:r>
        <w:t xml:space="preserve"> </w:t>
      </w:r>
      <w:r>
        <w:t xml:space="preserve">and</w:t>
      </w:r>
      <w:r>
        <w:t xml:space="preserve"> </w:t>
      </w:r>
      <w:r>
        <w:t xml:space="preserve">evidence</w:t>
      </w:r>
      <w:r>
        <w:t xml:space="preserve"> </w:t>
      </w:r>
      <w:r>
        <w:t xml:space="preserve">of</w:t>
      </w:r>
      <w:r>
        <w:t xml:space="preserve"> </w:t>
      </w:r>
      <w:r>
        <w:t xml:space="preserve">parameter</w:t>
      </w:r>
      <w:r>
        <w:t xml:space="preserve"> </w:t>
      </w:r>
      <w:r>
        <w:t xml:space="preserve">estimate</w:t>
      </w:r>
      <w:r>
        <w:t xml:space="preserve"> </w:t>
      </w:r>
      <w:r>
        <w:t xml:space="preserve">bias</w:t>
      </w:r>
      <w:r>
        <w:t xml:space="preserve"> </w:t>
      </w:r>
      <w:r>
        <w:t xml:space="preserve">within</w:t>
      </w:r>
      <w:r>
        <w:t xml:space="preserve"> </w:t>
      </w:r>
      <w:r>
        <w:t xml:space="preserve">40,000</w:t>
      </w:r>
      <w:r>
        <w:t xml:space="preserve"> </w:t>
      </w:r>
      <w:r>
        <w:t xml:space="preserve">simulated</w:t>
      </w:r>
      <w:r>
        <w:t xml:space="preserve"> </w:t>
      </w:r>
      <w:r>
        <w:t xml:space="preserve">datasets</w:t>
      </w:r>
      <w:r>
        <w:t xml:space="preserve"> </w:t>
      </w:r>
      <w:r>
        <w:t xml:space="preserve">across</w:t>
      </w:r>
      <w:r>
        <w:t xml:space="preserve"> </w:t>
      </w:r>
      <w:r>
        <w:t xml:space="preserve">540</w:t>
      </w:r>
      <w:r>
        <w:t xml:space="preserve"> </w:t>
      </w:r>
      <w:r>
        <w:t xml:space="preserve">research</w:t>
      </w:r>
      <w:r>
        <w:t xml:space="preserve"> </w:t>
      </w:r>
      <w:r>
        <w:t xml:space="preserve">contexts</w:t>
      </w:r>
      <w:r>
        <w:t xml:space="preserve"> </w:t>
      </w:r>
      <w:r>
        <w:t xml:space="preserve">varying</w:t>
      </w:r>
      <w:r>
        <w:t xml:space="preserve"> </w:t>
      </w:r>
      <w:r>
        <w:t xml:space="preserve">in</w:t>
      </w:r>
      <w:r>
        <w:t xml:space="preserve"> </w:t>
      </w:r>
      <w:r>
        <w:t xml:space="preserve">effect</w:t>
      </w:r>
      <w:r>
        <w:t xml:space="preserve"> </w:t>
      </w:r>
      <w:r>
        <w:t xml:space="preserve">size,</w:t>
      </w:r>
      <w:r>
        <w:t xml:space="preserve"> </w:t>
      </w:r>
      <w:r>
        <w:t xml:space="preserve">sample</w:t>
      </w:r>
      <w:r>
        <w:t xml:space="preserve"> </w:t>
      </w:r>
      <w:r>
        <w:t xml:space="preserve">size,</w:t>
      </w:r>
      <w:r>
        <w:t xml:space="preserve"> </w:t>
      </w:r>
      <w:r>
        <w:t xml:space="preserve">number</w:t>
      </w:r>
      <w:r>
        <w:t xml:space="preserve"> </w:t>
      </w:r>
      <w:r>
        <w:t xml:space="preserve">of</w:t>
      </w:r>
      <w:r>
        <w:t xml:space="preserve"> </w:t>
      </w:r>
      <w:r>
        <w:t xml:space="preserve">covariates,</w:t>
      </w:r>
      <w:r>
        <w:t xml:space="preserve"> </w:t>
      </w:r>
      <w:r>
        <w:t xml:space="preserve">and</w:t>
      </w:r>
      <w:r>
        <w:t xml:space="preserve"> </w:t>
      </w:r>
      <w:r>
        <w:t xml:space="preserve">covariate-outcome</w:t>
      </w:r>
      <w:r>
        <w:t xml:space="preserve"> </w:t>
      </w:r>
      <w:r>
        <w:t xml:space="preserve">relationships.</w:t>
      </w:r>
      <w:r>
        <w:t xml:space="preserve"> </w:t>
      </w:r>
      <w:r>
        <w:t xml:space="preserve">Simulation</w:t>
      </w:r>
      <w:r>
        <w:t xml:space="preserve"> </w:t>
      </w:r>
      <w:r>
        <w:t xml:space="preserve">results</w:t>
      </w:r>
      <w:r>
        <w:t xml:space="preserve"> </w:t>
      </w:r>
      <w:r>
        <w:t xml:space="preserve">confirm</w:t>
      </w:r>
      <w:r>
        <w:t xml:space="preserve"> </w:t>
      </w:r>
      <w:r>
        <w:t xml:space="preserve">the</w:t>
      </w:r>
      <w:r>
        <w:t xml:space="preserve"> </w:t>
      </w:r>
      <w:r>
        <w:t xml:space="preserve">benefits</w:t>
      </w:r>
      <w:r>
        <w:t xml:space="preserve"> </w:t>
      </w:r>
      <w:r>
        <w:t xml:space="preserve">of</w:t>
      </w:r>
      <w:r>
        <w:t xml:space="preserve"> </w:t>
      </w:r>
      <w:r>
        <w:t xml:space="preserve">using</w:t>
      </w:r>
      <w:r>
        <w:t xml:space="preserve"> </w:t>
      </w:r>
      <w:r>
        <w:t xml:space="preserve">covariates</w:t>
      </w:r>
      <w:r>
        <w:t xml:space="preserve"> </w:t>
      </w:r>
      <w:r>
        <w:t xml:space="preserve">generally,</w:t>
      </w:r>
      <w:r>
        <w:t xml:space="preserve"> </w:t>
      </w:r>
      <w:r>
        <w:t xml:space="preserve">the</w:t>
      </w:r>
      <w:r>
        <w:t xml:space="preserve"> </w:t>
      </w:r>
      <w:r>
        <w:t xml:space="preserve">risks</w:t>
      </w:r>
      <w:r>
        <w:t xml:space="preserve"> </w:t>
      </w:r>
      <w:r>
        <w:t xml:space="preserve">of</w:t>
      </w:r>
      <w:r>
        <w:t xml:space="preserve"> </w:t>
      </w:r>
      <w:r>
        <w:t xml:space="preserve">p-hacking,</w:t>
      </w:r>
      <w:r>
        <w:t xml:space="preserve"> </w:t>
      </w:r>
      <w:r>
        <w:t xml:space="preserve">and</w:t>
      </w:r>
      <w:r>
        <w:t xml:space="preserve"> </w:t>
      </w:r>
      <w:r>
        <w:t xml:space="preserve">the</w:t>
      </w:r>
      <w:r>
        <w:t xml:space="preserve"> </w:t>
      </w:r>
      <w:r>
        <w:t xml:space="preserve">incremental</w:t>
      </w:r>
      <w:r>
        <w:t xml:space="preserve"> </w:t>
      </w:r>
      <w:r>
        <w:t xml:space="preserve">increase</w:t>
      </w:r>
      <w:r>
        <w:t xml:space="preserve"> </w:t>
      </w:r>
      <w:r>
        <w:t xml:space="preserve">in</w:t>
      </w:r>
      <w:r>
        <w:t xml:space="preserve"> </w:t>
      </w:r>
      <w:r>
        <w:t xml:space="preserve">statical</w:t>
      </w:r>
      <w:r>
        <w:t xml:space="preserve"> </w:t>
      </w:r>
      <w:r>
        <w:t xml:space="preserve">power</w:t>
      </w:r>
      <w:r>
        <w:t xml:space="preserve"> </w:t>
      </w:r>
      <w:r>
        <w:t xml:space="preserve">associated</w:t>
      </w:r>
      <w:r>
        <w:t xml:space="preserve"> </w:t>
      </w:r>
      <w:r>
        <w:t xml:space="preserve">with</w:t>
      </w:r>
      <w:r>
        <w:t xml:space="preserve"> </w:t>
      </w:r>
      <w:r>
        <w:t xml:space="preserve">several</w:t>
      </w:r>
      <w:r>
        <w:t xml:space="preserve"> </w:t>
      </w:r>
      <w:r>
        <w:t xml:space="preserve">data-driven</w:t>
      </w:r>
      <w:r>
        <w:t xml:space="preserve"> </w:t>
      </w:r>
      <w:r>
        <w:t xml:space="preserve">covariate</w:t>
      </w:r>
      <w:r>
        <w:t xml:space="preserve"> </w:t>
      </w:r>
      <w:r>
        <w:t xml:space="preserve">selection</w:t>
      </w:r>
      <w:r>
        <w:t xml:space="preserve"> </w:t>
      </w:r>
      <w:r>
        <w:t xml:space="preserve">approaches.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alcohol’s effect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w:t>
      </w:r>
      <w:r>
        <w:t xml:space="preserve">. By definition, low statistical power is associated with a high probability of a Type II error. Furthermore, significant effects detected by low-powered studies may not replicate (due to low positive predictive value) and estimates of their effect size may be positively biased (due to publication bias)</w:t>
      </w:r>
      <w:r>
        <w:t xml:space="preserve">(Button et al., 2013)</w:t>
      </w:r>
      <w:r>
        <w:t xml:space="preserve">. For all these reasons, methods to reduce Type II errors when testing IV effects are critically important for a robust scientific literature</w:t>
      </w:r>
      <w:r>
        <w:t xml:space="preserve"> </w:t>
      </w:r>
      <w:r>
        <w:t xml:space="preserve">(Cohen, 1962)</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(Hernández et al., 2004; Thompson et al., 2015)</w:t>
      </w:r>
      <w:r>
        <w:t xml:space="preserve">. For example, in the previously described test of alcohol’s effect on stress response, baseline measures of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optimal covariates to reduce Type II errors is not straightforward. Historically, researchers often iterated over a large set of available covariates and included only those covariates that increased the effect size (and decreased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w:t>
      </w:r>
      <w:r>
        <w:t xml:space="preserve"> </w:t>
      </w:r>
      <w:r>
        <w:t xml:space="preserve">(Ioannidis, 2005; Schelchter &amp; Forsythe, 1985; Simmons et al., 2011)</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Traditionally, researchers have relied on two somewhat extreme strategies for selecting covariates. At one end, the researcher could avoid the use of covariates altogether with no risk to Type I error control. But this decision would increase the probability of Type II errors due to lower statistical power. At the other extreme, the researcher could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w:t>
      </w:r>
    </w:p>
    <w:p>
      <w:pPr>
        <w:pStyle w:val="BodyText"/>
      </w:pPr>
      <w:r>
        <w:t xml:space="preserve">Given these possibly sub-optimal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w:t>
      </w:r>
    </w:p>
    <w:p>
      <w:pPr>
        <w:pStyle w:val="BodyText"/>
      </w:pPr>
      <w:r>
        <w:t xml:space="preserve">In this study, we use simulation methods to evaluate two traditional (</w:t>
      </w:r>
      <w:r>
        <w:t xml:space="preserve">“</w:t>
      </w:r>
      <w:r>
        <w:t xml:space="preserve">no covariates</w:t>
      </w:r>
      <w:r>
        <w:t xml:space="preserve">”</w:t>
      </w:r>
      <w:r>
        <w:t xml:space="preserve"> </w:t>
      </w:r>
      <w:r>
        <w:t xml:space="preserve">and</w:t>
      </w:r>
      <w:r>
        <w:t xml:space="preserve"> </w:t>
      </w:r>
      <w:r>
        <w:t xml:space="preserve">“</w:t>
      </w:r>
      <w:r>
        <w:t xml:space="preserve">all covariates</w:t>
      </w:r>
      <w:r>
        <w:t xml:space="preserve">”</w:t>
      </w:r>
      <w:r>
        <w:t xml:space="preserve">) and seven data-driven approaches to select an optimal set of covariates when testing the effect of a focal manipulated IV. For each data-driven approach, we use covariate</w:t>
      </w:r>
      <w:r>
        <w:t xml:space="preserve"> </w:t>
      </w:r>
      <w:r>
        <w:t xml:space="preserve">“</w:t>
      </w:r>
      <w:r>
        <w:t xml:space="preserve">screening models</w:t>
      </w:r>
      <w:r>
        <w:t xml:space="preserve">”</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For all of the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20"/>
    <w:bookmarkStart w:id="24" w:name="research-transparency-statement"/>
    <w:p>
      <w:pPr>
        <w:pStyle w:val="Heading1"/>
      </w:pPr>
      <w:r>
        <w:t xml:space="preserve">Research Transparency Statement</w:t>
      </w:r>
    </w:p>
    <w:bookmarkStart w:id="21" w:name="general-disclosures"/>
    <w:p>
      <w:pPr>
        <w:pStyle w:val="Heading2"/>
      </w:pPr>
      <w:r>
        <w:t xml:space="preserve">General Disclosures</w:t>
      </w:r>
    </w:p>
    <w:p>
      <w:pPr>
        <w:pStyle w:val="FirstParagraph"/>
      </w:pPr>
      <w:r>
        <w:t xml:space="preserve">Conflicts of interest: All authors declare they have no conflicts of interest. Funding: This research received no funding. Artificial intelligence: No artificial intelligence assisted technologies were used in this research or the creation of this article. Ethics: This research did not require ethics approval because no human participants involved.</w:t>
      </w:r>
    </w:p>
    <w:bookmarkEnd w:id="21"/>
    <w:bookmarkStart w:id="23" w:name="study-1-disclosures"/>
    <w:p>
      <w:pPr>
        <w:pStyle w:val="Heading2"/>
      </w:pPr>
      <w:r>
        <w:t xml:space="preserve">Study 1 Disclosures</w:t>
      </w:r>
    </w:p>
    <w:p>
      <w:pPr>
        <w:pStyle w:val="FirstParagraph"/>
      </w:pPr>
      <w:r>
        <w:t xml:space="preserve">Preregistration: No aspects of this study were preregistered. Materials: Not applicable. Data: All primary data are publicly available</w:t>
      </w:r>
      <w:r>
        <w:t xml:space="preserve"> </w:t>
      </w:r>
      <w:hyperlink r:id="rId22">
        <w:r>
          <w:rPr>
            <w:rStyle w:val="Hyperlink"/>
          </w:rPr>
          <w:t xml:space="preserve">https://osf.io/zh5gn/</w:t>
        </w:r>
      </w:hyperlink>
      <w:r>
        <w:t xml:space="preserve">. Analysis scripts: All analysis scripts are publicly available</w:t>
      </w:r>
      <w:r>
        <w:t xml:space="preserve"> </w:t>
      </w:r>
      <w:hyperlink r:id="rId22">
        <w:r>
          <w:rPr>
            <w:rStyle w:val="Hyperlink"/>
          </w:rPr>
          <w:t xml:space="preserve">https://osf.io/zh5gn/</w:t>
        </w:r>
      </w:hyperlink>
      <w:r>
        <w:t xml:space="preserve">.</w:t>
      </w:r>
    </w:p>
    <w:bookmarkEnd w:id="23"/>
    <w:bookmarkEnd w:id="24"/>
    <w:bookmarkStart w:id="34" w:name="methods"/>
    <w:p>
      <w:pPr>
        <w:pStyle w:val="Heading1"/>
      </w:pPr>
      <w:r>
        <w:t xml:space="preserve">Methods</w:t>
      </w:r>
    </w:p>
    <w:bookmarkStart w:id="27"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w:t>
      </w:r>
      <w:r>
        <w:t xml:space="preserve">no covariates</w:t>
      </w:r>
      <w:r>
        <w:t xml:space="preserve">”</w:t>
      </w:r>
      <w:r>
        <w:t xml:space="preserve"> </w:t>
      </w:r>
      <w:r>
        <w:t xml:space="preserve">and</w:t>
      </w:r>
      <w:r>
        <w:t xml:space="preserve"> </w:t>
      </w:r>
      <w:r>
        <w:t xml:space="preserve">“</w:t>
      </w:r>
      <w:r>
        <w:t xml:space="preserve">all covariates</w:t>
      </w:r>
      <w:r>
        <w:t xml:space="preserve">”</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w:t>
      </w:r>
      <w:r>
        <w:t xml:space="preserve">separate lm</w:t>
      </w:r>
      <w:r>
        <w:t xml:space="preserve">”</w:t>
      </w:r>
      <w:r>
        <w:t xml:space="preserve"> </w:t>
      </w:r>
      <w:r>
        <w:t xml:space="preserve">approach), linear models that screened all covariates simultaneously in a single model (</w:t>
      </w:r>
      <w:r>
        <w:t xml:space="preserve">“</w:t>
      </w:r>
      <w:r>
        <w:t xml:space="preserve">simultaneous lm</w:t>
      </w:r>
      <w:r>
        <w:t xml:space="preserve">”</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w:t>
      </w:r>
      <w:r>
        <w:t xml:space="preserve">simultaneous LASSO</w:t>
      </w:r>
      <w:r>
        <w:t xml:space="preserve">”</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5" w:name="tbl-methods"/>
          <w:p>
            <w:pPr>
              <w:jc w:val="center"/>
            </w:pPr>
            <w:pPr>
              <w:jc w:val="star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Make Tables for Main Manuscript</w:t>
        </w:r>
      </w:hyperlink>
    </w:p>
    <w:bookmarkEnd w:id="27"/>
    <w:bookmarkStart w:id="30"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8"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bookmarkEnd w:id="30"/>
    <w:bookmarkStart w:id="33"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&amp;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31">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2"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2"/>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31">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endChr m:val=")"/>
            <m:sep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2">
        <w:r>
          <w:rPr>
            <w:rStyle w:val="Hyperlink"/>
          </w:rPr>
          <w:t xml:space="preserve">https://osf.io/zh5gn/</w:t>
        </w:r>
      </w:hyperlink>
      <w:r>
        <w:t xml:space="preserve">).</w:t>
      </w:r>
    </w:p>
    <w:bookmarkEnd w:id="33"/>
    <w:bookmarkEnd w:id="34"/>
    <w:bookmarkStart w:id="65" w:name="results"/>
    <w:p>
      <w:pPr>
        <w:pStyle w:val="Heading1"/>
      </w:pPr>
      <w:r>
        <w:t xml:space="preserve">Results</w:t>
      </w:r>
    </w:p>
    <w:bookmarkStart w:id="42"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5" w:name="tbl-est"/>
          <w:p>
            <w:pPr>
              <w:jc w:val="center"/>
            </w:pPr>
            <w:pPr>
              <w:jc w:val="star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distribution-bx">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distribution-bx"/>
          <w:p>
            <w:pPr>
              <w:pStyle w:val="Compact"/>
              <w:jc w:val="center"/>
            </w:pPr>
            <w:r>
              <w:drawing>
                <wp:inline>
                  <wp:extent cx="5334000" cy="6096000"/>
                  <wp:effectExtent b="0" l="0" r="0" t="0"/>
                  <wp:docPr descr="" title="" id="38" name="Picture"/>
                  <a:graphic>
                    <a:graphicData uri="http://schemas.openxmlformats.org/drawingml/2006/picture">
                      <pic:pic>
                        <pic:nvPicPr>
                          <pic:cNvPr descr="index_files/figure-docx/notebooks-mak_figures-fig-distribution-bx-output-1.png" id="39" name="Picture"/>
                          <pic:cNvPicPr>
                            <a:picLocks noChangeArrowheads="1" noChangeAspect="1"/>
                          </pic:cNvPicPr>
                        </pic:nvPicPr>
                        <pic:blipFill>
                          <a:blip r:embed="rId3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42"/>
    <w:bookmarkStart w:id="53"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(Baker, 2016; Fanelli, 2010; Ioannidis, 2005; Simmons et al., 2011)</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6" w:name="fig-bar-1"/>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1-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type1-panel"/>
          <w:p>
            <w:pPr>
              <w:pStyle w:val="Compact"/>
              <w:jc w:val="center"/>
            </w:pPr>
            <w:r>
              <w:drawing>
                <wp:inline>
                  <wp:extent cx="5334000" cy="4000499"/>
                  <wp:effectExtent b="0" l="0" r="0" t="0"/>
                  <wp:docPr descr="" title="" id="49" name="Picture"/>
                  <a:graphic>
                    <a:graphicData uri="http://schemas.openxmlformats.org/drawingml/2006/picture">
                      <pic:pic>
                        <pic:nvPicPr>
                          <pic:cNvPr descr="index_files/figure-docx/notebooks-mak_figures-fig-type1-panel-output-1.png" id="50" name="Picture"/>
                          <pic:cNvPicPr>
                            <a:picLocks noChangeArrowheads="1" noChangeAspect="1"/>
                          </pic:cNvPicPr>
                        </pic:nvPicPr>
                        <pic:blipFill>
                          <a:blip r:embed="rId4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4"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7" w:name="fig-bar-2"/>
          <w:p>
            <w:pPr>
              <w:pStyle w:val="Compact"/>
              <w:jc w:val="center"/>
            </w:pPr>
            <w:r>
              <w:drawing>
                <wp:inline>
                  <wp:extent cx="5334000" cy="3048000"/>
                  <wp:effectExtent b="0" l="0" r="0" t="0"/>
                  <wp:docPr descr="" title="" id="55" name="Picture"/>
                  <a:graphic>
                    <a:graphicData uri="http://schemas.openxmlformats.org/drawingml/2006/picture">
                      <pic:pic>
                        <pic:nvPicPr>
                          <pic:cNvPr descr="index_files/figure-docx/notebooks-mak_figures-fig-bar-2-output-1.png" id="56" name="Picture"/>
                          <pic:cNvPicPr>
                            <a:picLocks noChangeArrowheads="1" noChangeAspect="1"/>
                          </pic:cNvPicPr>
                        </pic:nvPicPr>
                        <pic:blipFill>
                          <a:blip r:embed="rId5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62" w:name="fig-panel-2"/>
          <w:p>
            <w:pPr>
              <w:pStyle w:val="Compact"/>
              <w:jc w:val="center"/>
            </w:pPr>
            <w:r>
              <w:drawing>
                <wp:inline>
                  <wp:extent cx="5334000" cy="6400800"/>
                  <wp:effectExtent b="0" l="0" r="0" t="0"/>
                  <wp:docPr descr="" title="" id="60" name="Picture"/>
                  <a:graphic>
                    <a:graphicData uri="http://schemas.openxmlformats.org/drawingml/2006/picture">
                      <pic:pic>
                        <pic:nvPicPr>
                          <pic:cNvPr descr="index_files/figure-docx/notebooks-mak_figures-fig-panel-2-output-1.png" id="61" name="Picture"/>
                          <pic:cNvPicPr>
                            <a:picLocks noChangeArrowheads="1" noChangeAspect="1"/>
                          </pic:cNvPicPr>
                        </pic:nvPicPr>
                        <pic:blipFill>
                          <a:blip r:embed="rId5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 for Main Manuscript</w:t>
        </w:r>
      </w:hyperlink>
    </w:p>
    <w:bookmarkEnd w:id="64"/>
    <w:bookmarkEnd w:id="65"/>
    <w:bookmarkStart w:id="66" w:name="discussion"/>
    <w:p>
      <w:pPr>
        <w:pStyle w:val="Heading1"/>
      </w:pPr>
      <w:r>
        <w:t xml:space="preserve">Discussion</w:t>
      </w:r>
    </w:p>
    <w:p>
      <w:pPr>
        <w:pStyle w:val="FirstParagraph"/>
      </w:pPr>
      <w:r>
        <w:t xml:space="preserve">Our findings reinforce Simmons and colleagues</w:t>
      </w:r>
      <w:r>
        <w:t xml:space="preserve"> </w:t>
      </w:r>
      <w:r>
        <w:t xml:space="preserve">(Simmons et al., 2011)</w:t>
      </w:r>
      <w:r>
        <w:t xml:space="preserve"> </w:t>
      </w:r>
      <w:r>
        <w:t xml:space="preserve">warning that</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is higher when more covariates are available and a higher percentage of them (e.g., 75%) have strong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we acknowledge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almost all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And, of course, it is easier to implement because it eliminates the need for screening models altogether.</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the Type II error rate was 0.203 lower for the simultaneous LASSO with</w:t>
      </w:r>
      <w:r>
        <w:t xml:space="preserve"> </w:t>
      </w:r>
      <m:oMath>
        <m:r>
          <m:t>X</m:t>
        </m:r>
      </m:oMath>
      <w:r>
        <w:t xml:space="preserve"> </w:t>
      </w:r>
      <w:r>
        <w:t xml:space="preserve">approach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and/or more familiar to some researchers. When compared to the LASSO with</w:t>
      </w:r>
      <w:r>
        <w:t xml:space="preserve"> </w:t>
      </w:r>
      <m:oMath>
        <m:r>
          <m:t>X</m:t>
        </m:r>
      </m:oMath>
      <w:r>
        <w:t xml:space="preserve"> </w:t>
      </w:r>
      <w:r>
        <w:t xml:space="preserve">approach, separate lm with</w:t>
      </w:r>
      <w:r>
        <w:t xml:space="preserve"> </w:t>
      </w:r>
      <m:oMath>
        <m:r>
          <m:t>X</m:t>
        </m:r>
      </m:oMath>
      <w:r>
        <w:t xml:space="preserve"> </w:t>
      </w:r>
      <w:r>
        <w:t xml:space="preserve">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these other two approaches.</w:t>
      </w:r>
    </w:p>
    <w:p>
      <w:pPr>
        <w:pStyle w:val="BodyText"/>
      </w:pPr>
      <w:r>
        <w:t xml:space="preserve">There are several additional considerations worth noting when evaluating a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 predictors is routinely violated.</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pre-registered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and therefore uncorrelated with the subsequently manipulated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&amp; Chapman, 2001)</w:t>
      </w:r>
      <w:r>
        <w:t xml:space="preserve">.</w:t>
      </w:r>
    </w:p>
    <w:p>
      <w:pPr>
        <w:pStyle w:val="BodyText"/>
      </w:pPr>
      <w:r>
        <w:t xml:space="preserve">We believe our paper provides strong evidence of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best choices when considering both Type I/II error rates and parameter estimate bias. However, we also hope that we have clarified the relative costs and benefits across all of these approaches to allow researchers to make informed decisions based on their own priorities and research context.</w:t>
      </w:r>
    </w:p>
    <w:bookmarkEnd w:id="66"/>
    <w:bookmarkStart w:id="67"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67"/>
    <w:bookmarkStart w:id="104" w:name="references"/>
    <w:p>
      <w:pPr>
        <w:pStyle w:val="Heading1"/>
      </w:pPr>
      <w:r>
        <w:t xml:space="preserve">References</w:t>
      </w:r>
    </w:p>
    <w:bookmarkStart w:id="103" w:name="refs"/>
    <w:bookmarkStart w:id="69" w:name="ref-baker1500ScientistsLift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68">
        <w:r>
          <w:rPr>
            <w:rStyle w:val="Hyperlink"/>
          </w:rPr>
          <w:t xml:space="preserve">https://doi.org/10.1038/533452a</w:t>
        </w:r>
      </w:hyperlink>
    </w:p>
    <w:bookmarkEnd w:id="69"/>
    <w:bookmarkStart w:id="71" w:name="ref-bradfordHowBadCould2013"/>
    <w:p>
      <w:pPr>
        <w:pStyle w:val="Bibliography"/>
      </w:pPr>
      <w:r>
        <w:t xml:space="preserve">Bradford, D. E., Shapiro, B. L., &amp; Curtin, J. J. (2013). 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w:t>
      </w:r>
      <w:r>
        <w:t xml:space="preserve"> </w:t>
      </w:r>
      <w:r>
        <w:rPr>
          <w:i/>
          <w:iCs/>
        </w:rPr>
        <w:t xml:space="preserve">24</w:t>
      </w:r>
      <w:r>
        <w:t xml:space="preserve">(12), 2541–2549.</w:t>
      </w:r>
      <w:r>
        <w:t xml:space="preserve"> </w:t>
      </w:r>
      <w:hyperlink r:id="rId70">
        <w:r>
          <w:rPr>
            <w:rStyle w:val="Hyperlink"/>
          </w:rPr>
          <w:t xml:space="preserve">https://doi.org/10.1177/0956797613499923</w:t>
        </w:r>
      </w:hyperlink>
    </w:p>
    <w:bookmarkEnd w:id="71"/>
    <w:bookmarkStart w:id="73" w:name="ref-buttonPowerFailureWhy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(5), 365–376.</w:t>
      </w:r>
      <w:r>
        <w:t xml:space="preserve"> </w:t>
      </w:r>
      <w:hyperlink r:id="rId72">
        <w:r>
          <w:rPr>
            <w:rStyle w:val="Hyperlink"/>
          </w:rPr>
          <w:t xml:space="preserve">https://doi.org/10.1038/nrn3475</w:t>
        </w:r>
      </w:hyperlink>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X7184952359760f4d1a5486dd020a7850c2f64c7"/>
    <w:p>
      <w:pPr>
        <w:pStyle w:val="Bibliography"/>
      </w:pPr>
      <w:r>
        <w:t xml:space="preserve">Cohen, J. (1962). 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w:t>
      </w:r>
      <w:r>
        <w:t xml:space="preserve"> </w:t>
      </w:r>
      <w:r>
        <w:rPr>
          <w:i/>
          <w:iCs/>
        </w:rPr>
        <w:t xml:space="preserve">65</w:t>
      </w:r>
      <w:r>
        <w:t xml:space="preserve">(3), 145–153.</w:t>
      </w:r>
      <w:r>
        <w:t xml:space="preserve"> </w:t>
      </w:r>
      <w:hyperlink r:id="rId76">
        <w:r>
          <w:rPr>
            <w:rStyle w:val="Hyperlink"/>
          </w:rPr>
          <w:t xml:space="preserve">https://doi.org/10.1037/h0045186</w:t>
        </w:r>
      </w:hyperlink>
    </w:p>
    <w:bookmarkEnd w:id="77"/>
    <w:bookmarkStart w:id="78" w:name="ref-cohenStatisticalPowerAnalysis1988"/>
    <w:p>
      <w:pPr>
        <w:pStyle w:val="Bibliography"/>
      </w:pPr>
      <w:r>
        <w:t xml:space="preserve">Cohen, J.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w:t>
      </w:r>
      <w:r>
        <w:t xml:space="preserve">(2 edition). Routledge.</w:t>
      </w:r>
    </w:p>
    <w:bookmarkEnd w:id="78"/>
    <w:bookmarkStart w:id="80" w:name="ref-fanelliPositiveResultsIncrease2010"/>
    <w:p>
      <w:pPr>
        <w:pStyle w:val="Bibliography"/>
      </w:pPr>
      <w:r>
        <w:t xml:space="preserve">Fanelli, D. (2010).</w:t>
      </w:r>
      <w:r>
        <w:t xml:space="preserve"> </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w:t>
      </w:r>
      <w:r>
        <w:t xml:space="preserve"> </w:t>
      </w:r>
      <w:r>
        <w:rPr>
          <w:i/>
          <w:iCs/>
        </w:rPr>
        <w:t xml:space="preserve">5</w:t>
      </w:r>
      <w:r>
        <w:t xml:space="preserve">(4), e10068.</w:t>
      </w:r>
      <w:r>
        <w:t xml:space="preserve"> </w:t>
      </w:r>
      <w:hyperlink r:id="rId79">
        <w:r>
          <w:rPr>
            <w:rStyle w:val="Hyperlink"/>
          </w:rPr>
          <w:t xml:space="preserve">https://doi.org/10.1371/journal.pone.0010068</w:t>
        </w:r>
      </w:hyperlink>
    </w:p>
    <w:bookmarkEnd w:id="80"/>
    <w:bookmarkStart w:id="82" w:name="ref-hefnerAlcoholStressResponse2013"/>
    <w:p>
      <w:pPr>
        <w:pStyle w:val="Bibliography"/>
      </w:pPr>
      <w:r>
        <w:t xml:space="preserve">Hefner, K. R., Moberg, C. A., Hachiya, L. Y., &amp; Curtin, J. J. (2013). Alcohol stress response dampening during imminent versus distal, uncertain threat.</w:t>
      </w:r>
      <w:r>
        <w:t xml:space="preserve"> </w:t>
      </w:r>
      <w:r>
        <w:rPr>
          <w:i/>
          <w:iCs/>
        </w:rPr>
        <w:t xml:space="preserve">Journal of Abnormal Psychology</w:t>
      </w:r>
      <w:r>
        <w:t xml:space="preserve">,</w:t>
      </w:r>
      <w:r>
        <w:t xml:space="preserve"> </w:t>
      </w:r>
      <w:r>
        <w:rPr>
          <w:i/>
          <w:iCs/>
        </w:rPr>
        <w:t xml:space="preserve">122</w:t>
      </w:r>
      <w:r>
        <w:t xml:space="preserve">(3), 756–769.</w:t>
      </w:r>
      <w:r>
        <w:t xml:space="preserve"> </w:t>
      </w:r>
      <w:hyperlink r:id="rId81">
        <w:r>
          <w:rPr>
            <w:rStyle w:val="Hyperlink"/>
          </w:rPr>
          <w:t xml:space="preserve">https://doi.org/10.1037/a0033407</w:t>
        </w:r>
      </w:hyperlink>
    </w:p>
    <w:bookmarkEnd w:id="82"/>
    <w:bookmarkStart w:id="84" w:name="X1d510f5e635c9bb1fe85b2bd18ed5a6e27b856d"/>
    <w:p>
      <w:pPr>
        <w:pStyle w:val="Bibliography"/>
      </w:pPr>
      <w:r>
        <w:t xml:space="preserve">Hernández, A. V., Steyerberg, E. W., &amp; Habbema, J. D. F. (2004). Covariate adjustment in randomized controlled trials with dichotomous outcomes increases statistical power and reduces sample size requirements.</w:t>
      </w:r>
      <w:r>
        <w:t xml:space="preserve"> </w:t>
      </w:r>
      <w:r>
        <w:rPr>
          <w:i/>
          <w:iCs/>
        </w:rPr>
        <w:t xml:space="preserve">Journal of Clinical Epidemiology</w:t>
      </w:r>
      <w:r>
        <w:t xml:space="preserve">,</w:t>
      </w:r>
      <w:r>
        <w:t xml:space="preserve"> </w:t>
      </w:r>
      <w:r>
        <w:rPr>
          <w:i/>
          <w:iCs/>
        </w:rPr>
        <w:t xml:space="preserve">57</w:t>
      </w:r>
      <w:r>
        <w:t xml:space="preserve">(5), 454–460.</w:t>
      </w:r>
      <w:r>
        <w:t xml:space="preserve"> </w:t>
      </w:r>
      <w:hyperlink r:id="rId83">
        <w:r>
          <w:rPr>
            <w:rStyle w:val="Hyperlink"/>
          </w:rPr>
          <w:t xml:space="preserve">https://doi.org/10.1016/j.jclinepi.2003.09.014</w:t>
        </w:r>
      </w:hyperlink>
    </w:p>
    <w:bookmarkEnd w:id="84"/>
    <w:bookmarkStart w:id="86" w:name="ref-ioannidisWhyMostPublished2005"/>
    <w:p>
      <w:pPr>
        <w:pStyle w:val="Bibliography"/>
      </w:pPr>
      <w:r>
        <w:t xml:space="preserve">Ioannidis, J. P. A. (2005). Why most published research findings are false.</w:t>
      </w:r>
      <w:r>
        <w:t xml:space="preserve"> </w:t>
      </w:r>
      <w:r>
        <w:rPr>
          <w:i/>
          <w:iCs/>
        </w:rPr>
        <w:t xml:space="preserve">PLoS Medicine</w:t>
      </w:r>
      <w:r>
        <w:t xml:space="preserve">,</w:t>
      </w:r>
      <w:r>
        <w:t xml:space="preserve"> </w:t>
      </w:r>
      <w:r>
        <w:rPr>
          <w:i/>
          <w:iCs/>
        </w:rPr>
        <w:t xml:space="preserve">2</w:t>
      </w:r>
      <w:r>
        <w:t xml:space="preserve">(8), e124.</w:t>
      </w:r>
      <w:r>
        <w:t xml:space="preserve"> </w:t>
      </w:r>
      <w:hyperlink r:id="rId85">
        <w:r>
          <w:rPr>
            <w:rStyle w:val="Hyperlink"/>
          </w:rPr>
          <w:t xml:space="preserve">https://doi.org/10.1371/journal.pmed.0020124</w:t>
        </w:r>
      </w:hyperlink>
    </w:p>
    <w:bookmarkEnd w:id="86"/>
    <w:bookmarkStart w:id="88" w:name="ref-kahanRisksRewardsCovariate2014"/>
    <w:p>
      <w:pPr>
        <w:pStyle w:val="Bibliography"/>
      </w:pPr>
      <w:r>
        <w:t xml:space="preserve">Kahan, B. C., Jairath, V., Doré, C. J., &amp; Morris, T. P. (2014). The risks and rewards of covariate adjustment in randomized trials: An assessment of 12 outcomes from 8 studies.</w:t>
      </w:r>
      <w:r>
        <w:t xml:space="preserve"> </w:t>
      </w:r>
      <w:r>
        <w:rPr>
          <w:i/>
          <w:iCs/>
        </w:rPr>
        <w:t xml:space="preserve">Trials</w:t>
      </w:r>
      <w:r>
        <w:t xml:space="preserve">,</w:t>
      </w:r>
      <w:r>
        <w:t xml:space="preserve"> </w:t>
      </w:r>
      <w:r>
        <w:rPr>
          <w:i/>
          <w:iCs/>
        </w:rPr>
        <w:t xml:space="preserve">15</w:t>
      </w:r>
      <w:r>
        <w:t xml:space="preserve">, 139.</w:t>
      </w:r>
      <w:r>
        <w:t xml:space="preserve"> </w:t>
      </w:r>
      <w:hyperlink r:id="rId87">
        <w:r>
          <w:rPr>
            <w:rStyle w:val="Hyperlink"/>
          </w:rPr>
          <w:t xml:space="preserve">https://doi.org/10.1186/1745-6215-15-139</w:t>
        </w:r>
      </w:hyperlink>
    </w:p>
    <w:bookmarkEnd w:id="88"/>
    <w:bookmarkStart w:id="8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9"/>
    <w:bookmarkStart w:id="91" w:name="Xacb972bec6951688223e59e5436f5358068fdee"/>
    <w:p>
      <w:pPr>
        <w:pStyle w:val="Bibliography"/>
      </w:pPr>
      <w:r>
        <w:t xml:space="preserve">Miller, G. A., &amp; Chapman, J. P. (2001).</w:t>
      </w:r>
      <w:r>
        <w:t xml:space="preserve"> </w:t>
      </w:r>
      <w:hyperlink r:id="rId90">
        <w:r>
          <w:rPr>
            <w:rStyle w:val="Hyperlink"/>
          </w:rPr>
          <w:t xml:space="preserve">Misunderstanding analysis of covariance</w:t>
        </w:r>
      </w:hyperlink>
      <w:r>
        <w:t xml:space="preserve">.</w:t>
      </w:r>
      <w:r>
        <w:t xml:space="preserve"> </w:t>
      </w:r>
      <w:r>
        <w:rPr>
          <w:i/>
          <w:iCs/>
        </w:rPr>
        <w:t xml:space="preserve">Journal of Abnormal Psychology</w:t>
      </w:r>
      <w:r>
        <w:t xml:space="preserve">,</w:t>
      </w:r>
      <w:r>
        <w:t xml:space="preserve"> </w:t>
      </w:r>
      <w:r>
        <w:rPr>
          <w:i/>
          <w:iCs/>
        </w:rPr>
        <w:t xml:space="preserve">110</w:t>
      </w:r>
      <w:r>
        <w:t xml:space="preserve">(1), 40–48.</w:t>
      </w:r>
    </w:p>
    <w:bookmarkEnd w:id="91"/>
    <w:bookmarkStart w:id="92"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92"/>
    <w:bookmarkStart w:id="94" w:name="X2622635a1d0cb17575e986ac7fc2f356c2369ea"/>
    <w:p>
      <w:pPr>
        <w:pStyle w:val="Bibliography"/>
      </w:pPr>
      <w:r>
        <w:t xml:space="preserve">Schelchter, M. D., &amp; Forsythe, A. B. (1985). Post-hoc selection of covariates in randomized experiments.</w:t>
      </w:r>
      <w:r>
        <w:t xml:space="preserve"> </w:t>
      </w:r>
      <w:r>
        <w:rPr>
          <w:i/>
          <w:iCs/>
        </w:rPr>
        <w:t xml:space="preserve">Communications in Statistics - Theory and Methods</w:t>
      </w:r>
      <w:r>
        <w:t xml:space="preserve">,</w:t>
      </w:r>
      <w:r>
        <w:t xml:space="preserve"> </w:t>
      </w:r>
      <w:r>
        <w:rPr>
          <w:i/>
          <w:iCs/>
        </w:rPr>
        <w:t xml:space="preserve">14</w:t>
      </w:r>
      <w:r>
        <w:t xml:space="preserve">(3), 679–699.</w:t>
      </w:r>
      <w:r>
        <w:t xml:space="preserve"> </w:t>
      </w:r>
      <w:hyperlink r:id="rId93">
        <w:r>
          <w:rPr>
            <w:rStyle w:val="Hyperlink"/>
          </w:rPr>
          <w:t xml:space="preserve">https://doi.org/10.1080/03610928508828942</w:t>
        </w:r>
      </w:hyperlink>
    </w:p>
    <w:bookmarkEnd w:id="94"/>
    <w:bookmarkStart w:id="96" w:name="X8e2c8939838df13f010698dd12f887c58598160"/>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95">
        <w:r>
          <w:rPr>
            <w:rStyle w:val="Hyperlink"/>
          </w:rPr>
          <w:t xml:space="preserve">https://doi.org/10.1177/0956797611417632</w:t>
        </w:r>
      </w:hyperlink>
    </w:p>
    <w:bookmarkEnd w:id="96"/>
    <w:bookmarkStart w:id="98" w:name="ref-simonsohnPcurveKeyFiledrawer2014"/>
    <w:p>
      <w:pPr>
        <w:pStyle w:val="Bibliography"/>
      </w:pPr>
      <w:r>
        <w:t xml:space="preserve">Simonsohn, U., Nelson, L. D., &amp; Simmons, J. P. (2014). 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97">
        <w:r>
          <w:rPr>
            <w:rStyle w:val="Hyperlink"/>
          </w:rPr>
          <w:t xml:space="preserve">https://doi.org/10.1037/a0033242</w:t>
        </w:r>
      </w:hyperlink>
    </w:p>
    <w:bookmarkEnd w:id="98"/>
    <w:bookmarkStart w:id="100" w:name="ref-thompsonCovariateAdjustmentHad2015"/>
    <w:p>
      <w:pPr>
        <w:pStyle w:val="Bibliography"/>
      </w:pPr>
      <w:r>
        <w:t xml:space="preserve">Thompson, D. D., Lingsma, H. F., Whiteley, W. N., Murray, G. D., &amp; Steyerberg, E. W. (2015). Covariate adjustment had similar benefits in small and large randomized controlled trials.</w:t>
      </w:r>
      <w:r>
        <w:t xml:space="preserve"> </w:t>
      </w:r>
      <w:r>
        <w:rPr>
          <w:i/>
          <w:iCs/>
        </w:rPr>
        <w:t xml:space="preserve">Journal of Clinical Epidemiology</w:t>
      </w:r>
      <w:r>
        <w:t xml:space="preserve">,</w:t>
      </w:r>
      <w:r>
        <w:t xml:space="preserve"> </w:t>
      </w:r>
      <w:r>
        <w:rPr>
          <w:i/>
          <w:iCs/>
        </w:rPr>
        <w:t xml:space="preserve">68</w:t>
      </w:r>
      <w:r>
        <w:t xml:space="preserve">(9), 1068–1075.</w:t>
      </w:r>
      <w:r>
        <w:t xml:space="preserve"> </w:t>
      </w:r>
      <w:hyperlink r:id="rId99">
        <w:r>
          <w:rPr>
            <w:rStyle w:val="Hyperlink"/>
          </w:rPr>
          <w:t xml:space="preserve">https://doi.org/10.1016/j.jclinepi.2014.11.001</w:t>
        </w:r>
      </w:hyperlink>
    </w:p>
    <w:bookmarkEnd w:id="100"/>
    <w:bookmarkStart w:id="102" w:name="X65fcee1c7a41f936cbb5091b59133225cfac5a3"/>
    <w:p>
      <w:pPr>
        <w:pStyle w:val="Bibliography"/>
      </w:pPr>
      <w:r>
        <w:t xml:space="preserve">Tibshirani, R. (1996). 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101">
        <w:r>
          <w:rPr>
            <w:rStyle w:val="Hyperlink"/>
          </w:rPr>
          <w:t xml:space="preserve">https://doi.org/10.1111/j.2517-6161.1996.tb02080.x</w:t>
        </w:r>
      </w:hyperlink>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48" Target="media/rId48.png" /><Relationship Type="http://schemas.openxmlformats.org/officeDocument/2006/relationships/hyperlink" Id="rId83" Target="https://doi.org/10.1016/j.jclinepi.2003.09.014" TargetMode="External" /><Relationship Type="http://schemas.openxmlformats.org/officeDocument/2006/relationships/hyperlink" Id="rId99" Target="https://doi.org/10.1016/j.jclinepi.2014.11.001" TargetMode="External" /><Relationship Type="http://schemas.openxmlformats.org/officeDocument/2006/relationships/hyperlink" Id="rId97" Target="https://doi.org/10.1037/a0033242" TargetMode="External" /><Relationship Type="http://schemas.openxmlformats.org/officeDocument/2006/relationships/hyperlink" Id="rId81" Target="https://doi.org/10.1037/a0033407" TargetMode="External" /><Relationship Type="http://schemas.openxmlformats.org/officeDocument/2006/relationships/hyperlink" Id="rId76" Target="https://doi.org/10.1037/h0045186" TargetMode="External" /><Relationship Type="http://schemas.openxmlformats.org/officeDocument/2006/relationships/hyperlink" Id="rId68" Target="https://doi.org/10.1038/533452a" TargetMode="External" /><Relationship Type="http://schemas.openxmlformats.org/officeDocument/2006/relationships/hyperlink" Id="rId72" Target="https://doi.org/10.1038/nrn3475" TargetMode="External" /><Relationship Type="http://schemas.openxmlformats.org/officeDocument/2006/relationships/hyperlink" Id="rId93" Target="https://doi.org/10.1080/03610928508828942" TargetMode="External" /><Relationship Type="http://schemas.openxmlformats.org/officeDocument/2006/relationships/hyperlink" Id="rId101" Target="https://doi.org/10.1111/j.2517-6161.1996.tb02080.x" TargetMode="External" /><Relationship Type="http://schemas.openxmlformats.org/officeDocument/2006/relationships/hyperlink" Id="rId95" Target="https://doi.org/10.1177/0956797611417632" TargetMode="External" /><Relationship Type="http://schemas.openxmlformats.org/officeDocument/2006/relationships/hyperlink" Id="rId70" Target="https://doi.org/10.1177/0956797613499923" TargetMode="External" /><Relationship Type="http://schemas.openxmlformats.org/officeDocument/2006/relationships/hyperlink" Id="rId87" Target="https://doi.org/10.1186/1745-6215-15-139" TargetMode="External" /><Relationship Type="http://schemas.openxmlformats.org/officeDocument/2006/relationships/hyperlink" Id="rId85" Target="https://doi.org/10.1371/journal.pmed.0020124" TargetMode="External" /><Relationship Type="http://schemas.openxmlformats.org/officeDocument/2006/relationships/hyperlink" Id="rId79" Target="https://doi.org/10.1371/journal.pone.0010068" TargetMode="External" /><Relationship Type="http://schemas.openxmlformats.org/officeDocument/2006/relationships/hyperlink" Id="rId74" Target="https://doi.org/10.21231/GNT1-HW21" TargetMode="External" /><Relationship Type="http://schemas.openxmlformats.org/officeDocument/2006/relationships/hyperlink" Id="rId31" Target="https://jjcurtin.github.io/study_cov/index.qmd.html" TargetMode="External" /><Relationship Type="http://schemas.openxmlformats.org/officeDocument/2006/relationships/hyperlink" Id="rId47" Target="https://jjcurtin.github.io/study_cov/notebooks/mak_figures-preview.html#cell-fig-bar-1" TargetMode="External" /><Relationship Type="http://schemas.openxmlformats.org/officeDocument/2006/relationships/hyperlink" Id="rId58" Target="https://jjcurtin.github.io/study_cov/notebooks/mak_figures-preview.html#cell-fig-bar-2" TargetMode="External" /><Relationship Type="http://schemas.openxmlformats.org/officeDocument/2006/relationships/hyperlink" Id="rId41" Target="https://jjcurtin.github.io/study_cov/notebooks/mak_figures-preview.html#cell-fig-distribution-bx" TargetMode="External" /><Relationship Type="http://schemas.openxmlformats.org/officeDocument/2006/relationships/hyperlink" Id="rId63" Target="https://jjcurtin.github.io/study_cov/notebooks/mak_figures-preview.html#cell-fig-panel-2" TargetMode="External" /><Relationship Type="http://schemas.openxmlformats.org/officeDocument/2006/relationships/hyperlink" Id="rId52" Target="https://jjcurtin.github.io/study_cov/notebooks/mak_figures-preview.html#cell-fig-type1-panel" TargetMode="External" /><Relationship Type="http://schemas.openxmlformats.org/officeDocument/2006/relationships/hyperlink" Id="rId29" Target="https://jjcurtin.github.io/study_cov/notebooks/mak_tables-preview.html#cell-tbl-dictionary" TargetMode="External" /><Relationship Type="http://schemas.openxmlformats.org/officeDocument/2006/relationships/hyperlink" Id="rId36" Target="https://jjcurtin.github.io/study_cov/notebooks/mak_tables-preview.html#cell-tbl-est" TargetMode="External" /><Relationship Type="http://schemas.openxmlformats.org/officeDocument/2006/relationships/hyperlink" Id="rId26" Target="https://jjcurtin.github.io/study_cov/notebooks/mak_tables-preview.html#cell-tbl-methods" TargetMode="External" /><Relationship Type="http://schemas.openxmlformats.org/officeDocument/2006/relationships/hyperlink" Id="rId22" Target="https://osf.io/zh5gn/" TargetMode="External" /><Relationship Type="http://schemas.openxmlformats.org/officeDocument/2006/relationships/hyperlink" Id="rId90"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16/j.jclinepi.2003.09.014" TargetMode="External" /><Relationship Type="http://schemas.openxmlformats.org/officeDocument/2006/relationships/hyperlink" Id="rId99" Target="https://doi.org/10.1016/j.jclinepi.2014.11.001" TargetMode="External" /><Relationship Type="http://schemas.openxmlformats.org/officeDocument/2006/relationships/hyperlink" Id="rId97" Target="https://doi.org/10.1037/a0033242" TargetMode="External" /><Relationship Type="http://schemas.openxmlformats.org/officeDocument/2006/relationships/hyperlink" Id="rId81" Target="https://doi.org/10.1037/a0033407" TargetMode="External" /><Relationship Type="http://schemas.openxmlformats.org/officeDocument/2006/relationships/hyperlink" Id="rId76" Target="https://doi.org/10.1037/h0045186" TargetMode="External" /><Relationship Type="http://schemas.openxmlformats.org/officeDocument/2006/relationships/hyperlink" Id="rId68" Target="https://doi.org/10.1038/533452a" TargetMode="External" /><Relationship Type="http://schemas.openxmlformats.org/officeDocument/2006/relationships/hyperlink" Id="rId72" Target="https://doi.org/10.1038/nrn3475" TargetMode="External" /><Relationship Type="http://schemas.openxmlformats.org/officeDocument/2006/relationships/hyperlink" Id="rId93" Target="https://doi.org/10.1080/03610928508828942" TargetMode="External" /><Relationship Type="http://schemas.openxmlformats.org/officeDocument/2006/relationships/hyperlink" Id="rId101" Target="https://doi.org/10.1111/j.2517-6161.1996.tb02080.x" TargetMode="External" /><Relationship Type="http://schemas.openxmlformats.org/officeDocument/2006/relationships/hyperlink" Id="rId95" Target="https://doi.org/10.1177/0956797611417632" TargetMode="External" /><Relationship Type="http://schemas.openxmlformats.org/officeDocument/2006/relationships/hyperlink" Id="rId70" Target="https://doi.org/10.1177/0956797613499923" TargetMode="External" /><Relationship Type="http://schemas.openxmlformats.org/officeDocument/2006/relationships/hyperlink" Id="rId87" Target="https://doi.org/10.1186/1745-6215-15-139" TargetMode="External" /><Relationship Type="http://schemas.openxmlformats.org/officeDocument/2006/relationships/hyperlink" Id="rId85" Target="https://doi.org/10.1371/journal.pmed.0020124" TargetMode="External" /><Relationship Type="http://schemas.openxmlformats.org/officeDocument/2006/relationships/hyperlink" Id="rId79" Target="https://doi.org/10.1371/journal.pone.0010068" TargetMode="External" /><Relationship Type="http://schemas.openxmlformats.org/officeDocument/2006/relationships/hyperlink" Id="rId74" Target="https://doi.org/10.21231/GNT1-HW21" TargetMode="External" /><Relationship Type="http://schemas.openxmlformats.org/officeDocument/2006/relationships/hyperlink" Id="rId31" Target="https://jjcurtin.github.io/study_cov/index.qmd.html" TargetMode="External" /><Relationship Type="http://schemas.openxmlformats.org/officeDocument/2006/relationships/hyperlink" Id="rId47" Target="https://jjcurtin.github.io/study_cov/notebooks/mak_figures-preview.html#cell-fig-bar-1" TargetMode="External" /><Relationship Type="http://schemas.openxmlformats.org/officeDocument/2006/relationships/hyperlink" Id="rId58" Target="https://jjcurtin.github.io/study_cov/notebooks/mak_figures-preview.html#cell-fig-bar-2" TargetMode="External" /><Relationship Type="http://schemas.openxmlformats.org/officeDocument/2006/relationships/hyperlink" Id="rId41" Target="https://jjcurtin.github.io/study_cov/notebooks/mak_figures-preview.html#cell-fig-distribution-bx" TargetMode="External" /><Relationship Type="http://schemas.openxmlformats.org/officeDocument/2006/relationships/hyperlink" Id="rId63" Target="https://jjcurtin.github.io/study_cov/notebooks/mak_figures-preview.html#cell-fig-panel-2" TargetMode="External" /><Relationship Type="http://schemas.openxmlformats.org/officeDocument/2006/relationships/hyperlink" Id="rId52" Target="https://jjcurtin.github.io/study_cov/notebooks/mak_figures-preview.html#cell-fig-type1-panel" TargetMode="External" /><Relationship Type="http://schemas.openxmlformats.org/officeDocument/2006/relationships/hyperlink" Id="rId29" Target="https://jjcurtin.github.io/study_cov/notebooks/mak_tables-preview.html#cell-tbl-dictionary" TargetMode="External" /><Relationship Type="http://schemas.openxmlformats.org/officeDocument/2006/relationships/hyperlink" Id="rId36" Target="https://jjcurtin.github.io/study_cov/notebooks/mak_tables-preview.html#cell-tbl-est" TargetMode="External" /><Relationship Type="http://schemas.openxmlformats.org/officeDocument/2006/relationships/hyperlink" Id="rId26" Target="https://jjcurtin.github.io/study_cov/notebooks/mak_tables-preview.html#cell-tbl-methods" TargetMode="External" /><Relationship Type="http://schemas.openxmlformats.org/officeDocument/2006/relationships/hyperlink" Id="rId22" Target="https://osf.io/zh5gn/" TargetMode="External" /><Relationship Type="http://schemas.openxmlformats.org/officeDocument/2006/relationships/hyperlink" Id="rId90"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Covariate Selection Approaches for Experimental Research: A Simulation Study</dc:title>
  <dc:creator>Kendra Wyant; Lauren Khoury; Markus Brauer; John J. Curtin</dc:creator>
  <cp:keywords/>
  <dcterms:created xsi:type="dcterms:W3CDTF">2026-06-23T20:35:00Z</dcterms:created>
  <dcterms:modified xsi:type="dcterms:W3CDTF">2026-06-23T20:35:00Z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apa.csl</vt:lpwstr>
  </property>
  <property fmtid="{D5CDD505-2E9C-101B-9397-08002B2CF9AE}" pid="11" name="date">
    <vt:lpwstr>2026-06-23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