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2026-01-09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Significant effects detected by studies with low power often do not replicate due to their low positive predictive value. Furthermore, estimates of the effect size for an IV may be positively biased when derived from studies with low power.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the set of possible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Of course, spastically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manifest significant relationships with the outcome variable in covariate screening models that are used to identify which covariates to include in the subsequent analysis that tests the focal IV. Across these screening models, we consider three modeling approaches (i.e., bivariate regression models that screen each covariate in its own model, multiple regression models that screen all covariates in a single model, and LASSO models that screen all covariates in a single model). Across these modeling approaches, we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1"/>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1"/>
        </w:numPr>
      </w:pPr>
      <w:r>
        <w:t xml:space="preserve">The strength of the relationship between the covariates and Y. All non-zero covariates (see characteristic 3) were given a moderate or large relationship to the outcome (i.e., correlations of 0.3 and 0.5), respectively. Since these covariates are all correlated with the outcome, it is likely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2.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.2</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2026-01-10T06:31:07Z</dcterms:created>
  <dcterms:modified xsi:type="dcterms:W3CDTF">2026-01-10T06:31:07Z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2026-01-09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