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23.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2026-06-19</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9"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et al. 2013; Hefner et al. 2013)</w:t>
      </w:r>
      <w:r>
        <w:t xml:space="preserve">. A valid test of the effect of such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when testing IV effects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Hernández et al. 2004; Hernández et al. 2006; Kahan et al. 2014; Van Breukelen 2006; Egbewale et al.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errors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et al. 2014)</w:t>
      </w:r>
      <w:r>
        <w:t xml:space="preserve">, seriously undermines the statistical validity of the analyses by substantially increasing the probability of Type I errors (i.e., rejecting the null hypothesis when it is not false</w:t>
      </w:r>
      <w:r>
        <w:t xml:space="preserve"> </w:t>
      </w:r>
      <w:r>
        <w:t xml:space="preserve">(Simmons et al.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this decision would increase the probability of Type II errors due to lower statistical power. 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Type II error rate and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Further detail on these approaches is provided below. For all traditional and data-driven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9"/>
    <w:bookmarkStart w:id="20" w:name="methods"/>
    <w:p>
      <w:pPr>
        <w:pStyle w:val="Heading1"/>
      </w:pPr>
      <w:r>
        <w:t xml:space="preserve">Methods</w:t>
      </w:r>
    </w:p>
    <w:bookmarkStart w:id="12"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cov lm”</w:t>
      </w:r>
      <w:r>
        <w:t xml:space="preserve"> </w:t>
      </w:r>
      <w:r>
        <w:t xml:space="preserve">approach), linear models that screened all covariates simultaneously in a single model (</w:t>
      </w:r>
      <w:r>
        <w:t xml:space="preserve">“simultaneous cov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cov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10"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10"/>
          <w:p/>
        </w:tc>
      </w:tr>
    </w:tbl>
    <w:p>
      <w:pPr>
        <w:pStyle w:val="BodyText"/>
      </w:pPr>
      <w:r>
        <w:rPr>
          <w:vertAlign w:val="subscript"/>
        </w:rPr>
        <w:t xml:space="preserve">Source:</w:t>
      </w:r>
      <w:r>
        <w:rPr>
          <w:vertAlign w:val="subscript"/>
        </w:rPr>
        <w:t xml:space="preserve"> </w:t>
      </w:r>
      <w:hyperlink r:id="rId11">
        <w:r>
          <w:rPr>
            <w:rStyle w:val="Hyperlink"/>
            <w:vertAlign w:val="subscript"/>
          </w:rPr>
          <w:t xml:space="preserve">Make Tables for Main Manuscript</w:t>
        </w:r>
      </w:hyperlink>
    </w:p>
    <w:bookmarkEnd w:id="12"/>
    <w:bookmarkStart w:id="15"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13"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13"/>
          <w:p/>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Make Tables for Main Manuscript</w:t>
        </w:r>
      </w:hyperlink>
    </w:p>
    <w:bookmarkEnd w:id="15"/>
    <w:bookmarkStart w:id="19"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17"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17"/>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16">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r>
          <m:rPr>
            <m:sty m:val="p"/>
          </m:rPr>
          <m:t>(</m:t>
        </m:r>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r>
          <m:rPr>
            <m:sty m:val="p"/>
          </m:rPr>
          <m:t>)</m:t>
        </m:r>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18">
        <w:r>
          <w:rPr>
            <w:rStyle w:val="Hyperlink"/>
          </w:rPr>
          <w:t xml:space="preserve">https://osf.io/zh5gn/</w:t>
        </w:r>
      </w:hyperlink>
      <w:r>
        <w:t xml:space="preserve">).</w:t>
      </w:r>
    </w:p>
    <w:bookmarkEnd w:id="19"/>
    <w:bookmarkEnd w:id="20"/>
    <w:bookmarkStart w:id="51" w:name="results"/>
    <w:p>
      <w:pPr>
        <w:pStyle w:val="Heading1"/>
      </w:pPr>
      <w:r>
        <w:t xml:space="preserve">Results</w:t>
      </w:r>
    </w:p>
    <w:bookmarkStart w:id="28"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distribution-bx"/>
          <w:p>
            <w:pPr>
              <w:pStyle w:val="Compact"/>
              <w:jc w:val="center"/>
            </w:pPr>
            <w:r>
              <w:drawing>
                <wp:inline>
                  <wp:extent cx="5334000" cy="6096000"/>
                  <wp:effectExtent b="0" l="0" r="0" t="0"/>
                  <wp:docPr descr="" title="" id="24" name="Picture"/>
                  <a:graphic>
                    <a:graphicData uri="http://schemas.openxmlformats.org/drawingml/2006/picture">
                      <pic:pic>
                        <pic:nvPicPr>
                          <pic:cNvPr descr="index_files/figure-docx/notebooks-mak_figures-fig-distribution-bx-output-1.png" id="25" name="Picture"/>
                          <pic:cNvPicPr>
                            <a:picLocks noChangeArrowheads="1" noChangeAspect="1"/>
                          </pic:cNvPicPr>
                        </pic:nvPicPr>
                        <pic:blipFill>
                          <a:blip r:embed="rId2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28"/>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et al.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End w:id="51"/>
    <w:bookmarkStart w:id="52"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et al.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w:t>
      </w:r>
    </w:p>
    <w:bookmarkEnd w:id="52"/>
    <w:bookmarkStart w:id="53"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53"/>
    <w:bookmarkStart w:id="98" w:name="references"/>
    <w:p>
      <w:pPr>
        <w:pStyle w:val="Heading1"/>
      </w:pPr>
      <w:r>
        <w:t xml:space="preserve">References</w:t>
      </w:r>
    </w:p>
    <w:bookmarkStart w:id="97" w:name="refs"/>
    <w:bookmarkStart w:id="55"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54">
        <w:r>
          <w:rPr>
            <w:rStyle w:val="Hyperlink"/>
          </w:rPr>
          <w:t xml:space="preserve">https://doi.org/10.1038/533452a</w:t>
        </w:r>
      </w:hyperlink>
      <w:r>
        <w:t xml:space="preserve">.</w:t>
      </w:r>
    </w:p>
    <w:bookmarkEnd w:id="55"/>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58">
        <w:r>
          <w:rPr>
            <w:rStyle w:val="Hyperlink"/>
          </w:rPr>
          <w:t xml:space="preserve">https://doi.org/10.1177/0956797613499923</w:t>
        </w:r>
      </w:hyperlink>
      <w:r>
        <w:t xml:space="preserve">.</w:t>
      </w:r>
    </w:p>
    <w:bookmarkEnd w:id="59"/>
    <w:bookmarkStart w:id="61" w:name="ref-buttonPowerFailureWhy2013"/>
    <w:p>
      <w:pPr>
        <w:pStyle w:val="Bibliography"/>
      </w:pPr>
      <w:r>
        <w:t xml:space="preserve">Button, Katherine S., John P. A. Ioannidis, Claire Mokrysz, et al.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0">
        <w:r>
          <w:rPr>
            <w:rStyle w:val="Hyperlink"/>
          </w:rPr>
          <w:t xml:space="preserve">https://doi.org/10.1038/nrn3475</w:t>
        </w:r>
      </w:hyperlink>
      <w:r>
        <w:t xml:space="preserve">.</w:t>
      </w:r>
    </w:p>
    <w:bookmarkEnd w:id="61"/>
    <w:bookmarkStart w:id="63"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2">
        <w:r>
          <w:rPr>
            <w:rStyle w:val="Hyperlink"/>
          </w:rPr>
          <w:t xml:space="preserve">https://doi.org/10.21231/GNT1-HW21</w:t>
        </w:r>
      </w:hyperlink>
      <w:r>
        <w:t xml:space="preserve">.</w:t>
      </w:r>
    </w:p>
    <w:bookmarkEnd w:id="63"/>
    <w:bookmarkStart w:id="65"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(US) 65 (3): 145–53.</w:t>
      </w:r>
      <w:r>
        <w:t xml:space="preserve"> </w:t>
      </w:r>
      <w:hyperlink r:id="rId64">
        <w:r>
          <w:rPr>
            <w:rStyle w:val="Hyperlink"/>
          </w:rPr>
          <w:t xml:space="preserve">https://doi.org/10.1037/h0045186</w:t>
        </w:r>
      </w:hyperlink>
      <w:r>
        <w:t xml:space="preserve">.</w:t>
      </w:r>
    </w:p>
    <w:bookmarkEnd w:id="65"/>
    <w:bookmarkStart w:id="66" w:name="ref-cohenStatisticalPowerAnalysis1988"/>
    <w:p>
      <w:pPr>
        <w:pStyle w:val="Bibliography"/>
      </w:pPr>
      <w:r>
        <w:t xml:space="preserve">Cohen, Jacob.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Routledge.</w:t>
      </w:r>
    </w:p>
    <w:bookmarkEnd w:id="66"/>
    <w:bookmarkStart w:id="67" w:name="ref-cohenPowerPrimer1992"/>
    <w:p>
      <w:pPr>
        <w:pStyle w:val="Bibliography"/>
      </w:pPr>
      <w:r>
        <w:t xml:space="preserve">Cohen, Jacob. 1992.</w:t>
      </w:r>
      <w:r>
        <w:t xml:space="preserve"> </w:t>
      </w:r>
      <w:r>
        <w:t xml:space="preserve">“A Power Primer.”</w:t>
      </w:r>
      <w:r>
        <w:t xml:space="preserve"> </w:t>
      </w:r>
      <w:r>
        <w:rPr>
          <w:i/>
          <w:iCs/>
        </w:rPr>
        <w:t xml:space="preserve">Psychological Bulletin</w:t>
      </w:r>
      <w:r>
        <w:t xml:space="preserve"> </w:t>
      </w:r>
      <w:r>
        <w:t xml:space="preserve">112 (1): 155–59.</w:t>
      </w:r>
    </w:p>
    <w:bookmarkEnd w:id="67"/>
    <w:bookmarkStart w:id="69"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8">
        <w:r>
          <w:rPr>
            <w:rStyle w:val="Hyperlink"/>
          </w:rPr>
          <w:t xml:space="preserve">https://doi.org/10.1186/1471-2288-14-49</w:t>
        </w:r>
      </w:hyperlink>
      <w:r>
        <w:t xml:space="preserve">.</w:t>
      </w:r>
    </w:p>
    <w:bookmarkEnd w:id="69"/>
    <w:bookmarkStart w:id="71"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70">
        <w:r>
          <w:rPr>
            <w:rStyle w:val="Hyperlink"/>
          </w:rPr>
          <w:t xml:space="preserve">https://doi.org/10.1371/journal.pone.0010068</w:t>
        </w:r>
      </w:hyperlink>
      <w:r>
        <w:t xml:space="preserve">.</w:t>
      </w:r>
    </w:p>
    <w:bookmarkEnd w:id="71"/>
    <w:bookmarkStart w:id="73"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2">
        <w:r>
          <w:rPr>
            <w:rStyle w:val="Hyperlink"/>
          </w:rPr>
          <w:t xml:space="preserve">https://doi.org/10.1037/a0033407</w:t>
        </w:r>
      </w:hyperlink>
      <w:r>
        <w:t xml:space="preserve">.</w:t>
      </w:r>
    </w:p>
    <w:bookmarkEnd w:id="73"/>
    <w:bookmarkStart w:id="75"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4">
        <w:r>
          <w:rPr>
            <w:rStyle w:val="Hyperlink"/>
          </w:rPr>
          <w:t xml:space="preserve">https://doi.org/10.1016/j.annepidem.2005.09.007</w:t>
        </w:r>
      </w:hyperlink>
      <w:r>
        <w:t xml:space="preserve">.</w:t>
      </w:r>
    </w:p>
    <w:bookmarkEnd w:id="75"/>
    <w:bookmarkStart w:id="77"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6">
        <w:r>
          <w:rPr>
            <w:rStyle w:val="Hyperlink"/>
          </w:rPr>
          <w:t xml:space="preserve">https://doi.org/10.1016/j.jclinepi.2003.09.014</w:t>
        </w:r>
      </w:hyperlink>
      <w:r>
        <w:t xml:space="preserve">.</w:t>
      </w:r>
    </w:p>
    <w:bookmarkEnd w:id="77"/>
    <w:bookmarkStart w:id="79"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8">
        <w:r>
          <w:rPr>
            <w:rStyle w:val="Hyperlink"/>
          </w:rPr>
          <w:t xml:space="preserve">https://doi.org/10.1371/journal.pmed.0020124</w:t>
        </w:r>
      </w:hyperlink>
      <w:r>
        <w:t xml:space="preserve">.</w:t>
      </w:r>
    </w:p>
    <w:bookmarkEnd w:id="79"/>
    <w:bookmarkStart w:id="81"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0">
        <w:r>
          <w:rPr>
            <w:rStyle w:val="Hyperlink"/>
          </w:rPr>
          <w:t xml:space="preserve">https://doi.org/10.1186/1745-6215-15-139</w:t>
        </w:r>
      </w:hyperlink>
      <w:r>
        <w:t xml:space="preserve">.</w:t>
      </w:r>
    </w:p>
    <w:bookmarkEnd w:id="81"/>
    <w:bookmarkStart w:id="82" w:name="ref-kuhnTidymodelsCollectionPackages2020"/>
    <w:p>
      <w:pPr>
        <w:pStyle w:val="Bibliography"/>
      </w:pPr>
      <w:r>
        <w:t xml:space="preserve">Kuhn, Max, and Hadley Wickham. 2020.</w:t>
      </w:r>
      <w:r>
        <w:t xml:space="preserve"> </w:t>
      </w:r>
      <w:r>
        <w:rPr>
          <w:i/>
          <w:iCs/>
        </w:rPr>
        <w:t xml:space="preserve">Tidymodels: A Collection of Packages for Modeling and Machine Learning Using Tidyverse Principles</w:t>
      </w:r>
      <w:r>
        <w:t xml:space="preserve">.</w:t>
      </w:r>
    </w:p>
    <w:bookmarkEnd w:id="82"/>
    <w:bookmarkStart w:id="84" w:name="Xacb972bec6951688223e59e5436f5358068fdee"/>
    <w:p>
      <w:pPr>
        <w:pStyle w:val="Bibliography"/>
      </w:pPr>
      <w:r>
        <w:t xml:space="preserve">Miller, G A, and J P Chapman. 2001.</w:t>
      </w:r>
      <w:r>
        <w:t xml:space="preserve"> </w:t>
      </w:r>
      <w:r>
        <w:t xml:space="preserve">“</w:t>
      </w:r>
      <w:hyperlink r:id="rId83">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84"/>
    <w:bookmarkStart w:id="8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74" Target="https://doi.org/10.1016/j.annepidem.2005.09.007" TargetMode="External" /><Relationship Type="http://schemas.openxmlformats.org/officeDocument/2006/relationships/hyperlink" Id="rId76"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2" Target="https://doi.org/10.1037/a0033407" TargetMode="External" /><Relationship Type="http://schemas.openxmlformats.org/officeDocument/2006/relationships/hyperlink" Id="rId64"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60"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58" Target="https://doi.org/10.1177/0956797613499923" TargetMode="External" /><Relationship Type="http://schemas.openxmlformats.org/officeDocument/2006/relationships/hyperlink" Id="rId68" Target="https://doi.org/10.1186/1471-2288-14-49" TargetMode="External" /><Relationship Type="http://schemas.openxmlformats.org/officeDocument/2006/relationships/hyperlink" Id="rId80" Target="https://doi.org/10.1186/1745-6215-15-139" TargetMode="External" /><Relationship Type="http://schemas.openxmlformats.org/officeDocument/2006/relationships/hyperlink" Id="rId78" Target="https://doi.org/10.1371/journal.pmed.0020124" TargetMode="External" /><Relationship Type="http://schemas.openxmlformats.org/officeDocument/2006/relationships/hyperlink" Id="rId70" Target="https://doi.org/10.1371/journal.pone.0010068" TargetMode="External" /><Relationship Type="http://schemas.openxmlformats.org/officeDocument/2006/relationships/hyperlink" Id="rId62"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83"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74" Target="https://doi.org/10.1016/j.annepidem.2005.09.007" TargetMode="External" /><Relationship Type="http://schemas.openxmlformats.org/officeDocument/2006/relationships/hyperlink" Id="rId76"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2" Target="https://doi.org/10.1037/a0033407" TargetMode="External" /><Relationship Type="http://schemas.openxmlformats.org/officeDocument/2006/relationships/hyperlink" Id="rId64" Target="https://doi.org/10.1037/h0045186" TargetMode="External" /><Relationship Type="http://schemas.openxmlformats.org/officeDocument/2006/relationships/hyperlink" Id="rId54" Target="https://doi.org/10.1038/533452a" TargetMode="External" /><Relationship Type="http://schemas.openxmlformats.org/officeDocument/2006/relationships/hyperlink" Id="rId60"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58" Target="https://doi.org/10.1177/0956797613499923" TargetMode="External" /><Relationship Type="http://schemas.openxmlformats.org/officeDocument/2006/relationships/hyperlink" Id="rId68" Target="https://doi.org/10.1186/1471-2288-14-49" TargetMode="External" /><Relationship Type="http://schemas.openxmlformats.org/officeDocument/2006/relationships/hyperlink" Id="rId80" Target="https://doi.org/10.1186/1745-6215-15-139" TargetMode="External" /><Relationship Type="http://schemas.openxmlformats.org/officeDocument/2006/relationships/hyperlink" Id="rId78" Target="https://doi.org/10.1371/journal.pmed.0020124" TargetMode="External" /><Relationship Type="http://schemas.openxmlformats.org/officeDocument/2006/relationships/hyperlink" Id="rId70" Target="https://doi.org/10.1371/journal.pone.0010068" TargetMode="External" /><Relationship Type="http://schemas.openxmlformats.org/officeDocument/2006/relationships/hyperlink" Id="rId62" Target="https://doi.org/10.21231/GNT1-HW21" TargetMode="External" /><Relationship Type="http://schemas.openxmlformats.org/officeDocument/2006/relationships/hyperlink" Id="rId16" Target="https://jjcurtin.github.io/study_cov/index.qmd.html"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27" Target="https://jjcurtin.github.io/study_cov/notebooks\mak_figures-preview.html#cell-fig-distribution-bx"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14" Target="https://jjcurtin.github.io/study_cov/notebooks\mak_tables-preview.html#cell-tbl-dictionary" TargetMode="External" /><Relationship Type="http://schemas.openxmlformats.org/officeDocument/2006/relationships/hyperlink" Id="rId22" Target="https://jjcurtin.github.io/study_cov/notebooks\mak_tables-preview.html#cell-tbl-est" TargetMode="External" /><Relationship Type="http://schemas.openxmlformats.org/officeDocument/2006/relationships/hyperlink" Id="rId11" Target="https://jjcurtin.github.io/study_cov/notebooks\mak_tables-preview.html#cell-tbl-methods" TargetMode="External" /><Relationship Type="http://schemas.openxmlformats.org/officeDocument/2006/relationships/hyperlink" Id="rId18" Target="https://osf.io/zh5gn/" TargetMode="External" /><Relationship Type="http://schemas.openxmlformats.org/officeDocument/2006/relationships/hyperlink" Id="rId83"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2026-06-19T19:47:16Z</dcterms:created>
  <dcterms:modified xsi:type="dcterms:W3CDTF">2026-06-19T19:47:16Z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2026-06-19</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