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2025-12-03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 These concerns have led to a replication crisis and have prompted increased caution and consideration around researcher decisions in statistical tests.</w:t>
      </w:r>
      <w:r>
        <w:t xml:space="preserve"> </w:t>
      </w:r>
      <w:r>
        <w:t xml:space="preserve"> </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contexts. These contexts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(single covariate linear model, all covariates linear model, and all covariates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context.</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variables designed to mimic varying research contexts that psychology researchers might be working in. We crossed all levels of each variable to create a total of 540 unique research contexts.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“good”</w:t>
      </w:r>
      <w:r>
        <w:t xml:space="preserve"> </w:t>
      </w:r>
      <w:r>
        <w:t xml:space="preserve">covariates. We used varying proportions of good covariates across research contexts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w:t>
      </w:r>
      <w:r>
        <w:t xml:space="preserve"> </w:t>
      </w:r>
      <w:r>
        <w:t xml:space="preserve"> </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0.3, and 0.5). Detailed tables of range and average error rates for each research context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context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all covariates linear model with</w:t>
      </w:r>
      <w:r>
        <w:t xml:space="preserve"> </w:t>
      </w:r>
      <w:r>
        <w:rPr>
          <w:i/>
          <w:iCs/>
        </w:rPr>
        <w:t xml:space="preserve">X</w:t>
      </w:r>
      <w:r>
        <w:t xml:space="preserve"> </w:t>
      </w:r>
      <w:r>
        <w:t xml:space="preserve">and all covariates LASSO with</w:t>
      </w:r>
      <w:r>
        <w:t xml:space="preserve"> </w:t>
      </w:r>
      <w:r>
        <w:rPr>
          <w:i/>
          <w:iCs/>
        </w:rPr>
        <w:t xml:space="preserve">X</w:t>
      </w:r>
      <w:r>
        <w:t xml:space="preserve">, and to a lesser degree single covariate linear model.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contexts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.3</w:t>
                  </w:r>
                </w:p>
              </w:tc>
              <w:tc>
                <w:tcPr/>
                <w:p>
                  <w:pPr>
                    <w:pStyle w:val="Compact"/>
                    <w:jc w:val="right"/>
                    <w:jc w:val="center"/>
                  </w:pPr>
                  <w:r>
                    <w:t xml:space="preserve">d = .5</w:t>
                  </w:r>
                </w:p>
              </w:tc>
            </w:tr>
            <w:tr>
              <w:tc>
                <w:tcPr/>
                <w:p>
                  <w:pPr>
                    <w:pStyle w:val="Compact"/>
                    <w:jc w:val="left"/>
                    <w:jc w:val="center"/>
                  </w:pPr>
                  <w:r>
                    <w:t xml:space="preserve">Researcher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2.5-fold increase from the 4-covariate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2025-12-04T00:24:17Z</dcterms:created>
  <dcterms:modified xsi:type="dcterms:W3CDTF">2025-12-04T00:24:17Z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2025-12-03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